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7D78" w14:textId="77777777" w:rsidR="00100E8E" w:rsidRPr="00951CBC" w:rsidRDefault="00100E8E" w:rsidP="0046497A">
      <w:pPr>
        <w:spacing w:line="480" w:lineRule="auto"/>
        <w:rPr>
          <w:color w:val="000000" w:themeColor="text1"/>
          <w:sz w:val="20"/>
          <w:szCs w:val="20"/>
        </w:rPr>
      </w:pPr>
    </w:p>
    <w:p w14:paraId="07073465" w14:textId="77777777" w:rsidR="00100E8E" w:rsidRPr="00951CBC" w:rsidRDefault="00100E8E" w:rsidP="0046497A">
      <w:pPr>
        <w:spacing w:line="480" w:lineRule="auto"/>
        <w:rPr>
          <w:color w:val="000000" w:themeColor="text1"/>
          <w:sz w:val="20"/>
          <w:szCs w:val="20"/>
        </w:rPr>
      </w:pPr>
    </w:p>
    <w:p w14:paraId="3A71CB54" w14:textId="77777777" w:rsidR="00100E8E" w:rsidRPr="00951CBC" w:rsidRDefault="00100E8E" w:rsidP="0046497A">
      <w:pPr>
        <w:spacing w:line="480" w:lineRule="auto"/>
        <w:rPr>
          <w:color w:val="000000" w:themeColor="text1"/>
          <w:sz w:val="20"/>
          <w:szCs w:val="20"/>
        </w:rPr>
      </w:pPr>
    </w:p>
    <w:p w14:paraId="3A9217AE" w14:textId="77777777" w:rsidR="00100E8E" w:rsidRPr="00951CBC" w:rsidRDefault="00100E8E" w:rsidP="0046497A">
      <w:pPr>
        <w:spacing w:line="480" w:lineRule="auto"/>
        <w:rPr>
          <w:color w:val="000000" w:themeColor="text1"/>
          <w:sz w:val="20"/>
          <w:szCs w:val="20"/>
        </w:rPr>
      </w:pPr>
    </w:p>
    <w:p w14:paraId="11A3309A" w14:textId="77777777" w:rsidR="008E093A" w:rsidRPr="00951CBC" w:rsidRDefault="008E093A" w:rsidP="0046497A">
      <w:pPr>
        <w:spacing w:line="480" w:lineRule="auto"/>
        <w:rPr>
          <w:color w:val="000000" w:themeColor="text1"/>
          <w:sz w:val="20"/>
          <w:szCs w:val="20"/>
        </w:rPr>
      </w:pPr>
    </w:p>
    <w:p w14:paraId="3C8C34E0" w14:textId="77777777" w:rsidR="008E093A" w:rsidRPr="00951CBC" w:rsidRDefault="008E093A" w:rsidP="0046497A">
      <w:pPr>
        <w:spacing w:line="480" w:lineRule="auto"/>
        <w:rPr>
          <w:color w:val="000000" w:themeColor="text1"/>
          <w:sz w:val="20"/>
          <w:szCs w:val="20"/>
        </w:rPr>
      </w:pPr>
    </w:p>
    <w:p w14:paraId="69D5404D" w14:textId="77777777" w:rsidR="008E093A" w:rsidRPr="00951CBC" w:rsidRDefault="008E093A" w:rsidP="0046497A">
      <w:pPr>
        <w:spacing w:line="480" w:lineRule="auto"/>
        <w:rPr>
          <w:color w:val="000000" w:themeColor="text1"/>
          <w:sz w:val="20"/>
          <w:szCs w:val="20"/>
        </w:rPr>
      </w:pPr>
    </w:p>
    <w:p w14:paraId="3510BC64" w14:textId="77777777" w:rsidR="0046497A" w:rsidRPr="00C868F2" w:rsidRDefault="0046497A" w:rsidP="0046497A">
      <w:pPr>
        <w:spacing w:line="480" w:lineRule="auto"/>
        <w:rPr>
          <w:color w:val="000000" w:themeColor="text1"/>
        </w:rPr>
      </w:pPr>
    </w:p>
    <w:p w14:paraId="5E1809D0" w14:textId="77777777" w:rsidR="00100E8E" w:rsidRPr="00C868F2" w:rsidRDefault="00100E8E" w:rsidP="007A2EF2">
      <w:pPr>
        <w:jc w:val="center"/>
        <w:rPr>
          <w:color w:val="000000" w:themeColor="text1"/>
        </w:rPr>
      </w:pPr>
      <w:r w:rsidRPr="00C868F2">
        <w:rPr>
          <w:color w:val="000000" w:themeColor="text1"/>
        </w:rPr>
        <w:t>University of Maryland, Baltimore County</w:t>
      </w:r>
    </w:p>
    <w:p w14:paraId="5B3D6753" w14:textId="77777777" w:rsidR="0046497A" w:rsidRPr="00C868F2" w:rsidRDefault="0046497A" w:rsidP="007A2EF2">
      <w:pPr>
        <w:jc w:val="center"/>
        <w:rPr>
          <w:color w:val="000000" w:themeColor="text1"/>
        </w:rPr>
      </w:pPr>
    </w:p>
    <w:p w14:paraId="5DB1B12B" w14:textId="7A3B0B01" w:rsidR="00100E8E" w:rsidRPr="00C868F2" w:rsidRDefault="00100E8E" w:rsidP="007A2EF2">
      <w:pPr>
        <w:jc w:val="center"/>
        <w:rPr>
          <w:b/>
          <w:bCs/>
          <w:color w:val="000000" w:themeColor="text1"/>
        </w:rPr>
      </w:pPr>
      <w:r w:rsidRPr="00C868F2">
        <w:rPr>
          <w:b/>
          <w:bCs/>
          <w:color w:val="000000" w:themeColor="text1"/>
        </w:rPr>
        <w:t xml:space="preserve">Cost Benefit Analysis of a Hypothetical Safe Consumption Site in Baltimore City: Revisited post </w:t>
      </w:r>
      <w:r w:rsidR="005F7307" w:rsidRPr="00C868F2">
        <w:rPr>
          <w:b/>
          <w:bCs/>
          <w:color w:val="000000" w:themeColor="text1"/>
        </w:rPr>
        <w:t>Covid</w:t>
      </w:r>
      <w:r w:rsidRPr="00C868F2">
        <w:rPr>
          <w:b/>
          <w:bCs/>
          <w:color w:val="000000" w:themeColor="text1"/>
        </w:rPr>
        <w:t xml:space="preserve"> </w:t>
      </w:r>
      <w:r w:rsidR="00376B24" w:rsidRPr="00C868F2">
        <w:rPr>
          <w:b/>
          <w:bCs/>
          <w:color w:val="000000" w:themeColor="text1"/>
        </w:rPr>
        <w:t>-</w:t>
      </w:r>
      <w:r w:rsidRPr="00C868F2">
        <w:rPr>
          <w:b/>
          <w:bCs/>
          <w:color w:val="000000" w:themeColor="text1"/>
        </w:rPr>
        <w:t>19 Pandemic</w:t>
      </w:r>
    </w:p>
    <w:p w14:paraId="04E6AC8B" w14:textId="77777777" w:rsidR="0046497A" w:rsidRPr="00C868F2" w:rsidRDefault="0046497A" w:rsidP="007A2EF2">
      <w:pPr>
        <w:jc w:val="center"/>
        <w:rPr>
          <w:color w:val="000000" w:themeColor="text1"/>
        </w:rPr>
      </w:pPr>
    </w:p>
    <w:p w14:paraId="207615E2" w14:textId="77777777" w:rsidR="00100E8E" w:rsidRPr="00C868F2" w:rsidRDefault="00100E8E" w:rsidP="007A2EF2">
      <w:pPr>
        <w:jc w:val="center"/>
        <w:rPr>
          <w:color w:val="000000" w:themeColor="text1"/>
        </w:rPr>
      </w:pPr>
      <w:r w:rsidRPr="00C868F2">
        <w:rPr>
          <w:color w:val="000000" w:themeColor="text1"/>
        </w:rPr>
        <w:t>Elizabeth Blake</w:t>
      </w:r>
    </w:p>
    <w:p w14:paraId="6D323A38" w14:textId="77777777" w:rsidR="00100E8E" w:rsidRPr="00C868F2" w:rsidRDefault="00100E8E" w:rsidP="007A2EF2">
      <w:pPr>
        <w:jc w:val="center"/>
        <w:rPr>
          <w:color w:val="000000" w:themeColor="text1"/>
        </w:rPr>
      </w:pPr>
      <w:r w:rsidRPr="00C868F2">
        <w:rPr>
          <w:color w:val="000000" w:themeColor="text1"/>
        </w:rPr>
        <w:t>Advising Professor: Dr. Zoë McLaren</w:t>
      </w:r>
    </w:p>
    <w:p w14:paraId="3AF05C3F" w14:textId="77777777" w:rsidR="0046497A" w:rsidRPr="00C868F2" w:rsidRDefault="0046497A" w:rsidP="007A2EF2">
      <w:pPr>
        <w:jc w:val="center"/>
        <w:rPr>
          <w:color w:val="000000" w:themeColor="text1"/>
        </w:rPr>
      </w:pPr>
    </w:p>
    <w:p w14:paraId="320FB7ED" w14:textId="77777777" w:rsidR="00100E8E" w:rsidRPr="00C868F2" w:rsidRDefault="00100E8E" w:rsidP="007A2EF2">
      <w:pPr>
        <w:jc w:val="center"/>
        <w:rPr>
          <w:color w:val="000000" w:themeColor="text1"/>
        </w:rPr>
      </w:pPr>
      <w:r w:rsidRPr="00C868F2">
        <w:rPr>
          <w:color w:val="000000" w:themeColor="text1"/>
        </w:rPr>
        <w:t>Econ 699</w:t>
      </w:r>
    </w:p>
    <w:p w14:paraId="200FCD2D" w14:textId="77777777" w:rsidR="00100E8E" w:rsidRPr="00C868F2" w:rsidRDefault="00100E8E" w:rsidP="007A2EF2">
      <w:pPr>
        <w:jc w:val="center"/>
        <w:rPr>
          <w:color w:val="000000" w:themeColor="text1"/>
        </w:rPr>
      </w:pPr>
      <w:r w:rsidRPr="00C868F2">
        <w:rPr>
          <w:color w:val="000000" w:themeColor="text1"/>
        </w:rPr>
        <w:t>Dr. David Mitch</w:t>
      </w:r>
    </w:p>
    <w:p w14:paraId="193EF52B" w14:textId="77777777" w:rsidR="00100E8E" w:rsidRPr="00C868F2" w:rsidRDefault="00100E8E" w:rsidP="0046497A">
      <w:pPr>
        <w:spacing w:line="480" w:lineRule="auto"/>
        <w:jc w:val="center"/>
        <w:rPr>
          <w:color w:val="000000" w:themeColor="text1"/>
        </w:rPr>
      </w:pPr>
    </w:p>
    <w:p w14:paraId="1F50207B" w14:textId="77777777" w:rsidR="00100E8E" w:rsidRPr="00C868F2" w:rsidRDefault="00100E8E" w:rsidP="0046497A">
      <w:pPr>
        <w:spacing w:line="480" w:lineRule="auto"/>
        <w:jc w:val="center"/>
        <w:rPr>
          <w:color w:val="000000" w:themeColor="text1"/>
        </w:rPr>
      </w:pPr>
    </w:p>
    <w:p w14:paraId="5FFAC874" w14:textId="77777777" w:rsidR="00100E8E" w:rsidRPr="00951CBC" w:rsidRDefault="00100E8E" w:rsidP="0046497A">
      <w:pPr>
        <w:spacing w:line="480" w:lineRule="auto"/>
        <w:jc w:val="center"/>
        <w:rPr>
          <w:color w:val="000000" w:themeColor="text1"/>
          <w:sz w:val="20"/>
          <w:szCs w:val="20"/>
        </w:rPr>
      </w:pPr>
    </w:p>
    <w:p w14:paraId="32E8E5B4" w14:textId="77777777" w:rsidR="00100E8E" w:rsidRPr="00951CBC" w:rsidRDefault="00100E8E" w:rsidP="0046497A">
      <w:pPr>
        <w:spacing w:line="480" w:lineRule="auto"/>
        <w:jc w:val="center"/>
        <w:rPr>
          <w:color w:val="000000" w:themeColor="text1"/>
          <w:sz w:val="20"/>
          <w:szCs w:val="20"/>
        </w:rPr>
      </w:pPr>
    </w:p>
    <w:p w14:paraId="2BC102E2" w14:textId="77777777" w:rsidR="00100E8E" w:rsidRPr="00951CBC" w:rsidRDefault="00100E8E" w:rsidP="0046497A">
      <w:pPr>
        <w:spacing w:line="480" w:lineRule="auto"/>
        <w:jc w:val="center"/>
        <w:rPr>
          <w:color w:val="000000" w:themeColor="text1"/>
          <w:sz w:val="20"/>
          <w:szCs w:val="20"/>
        </w:rPr>
      </w:pPr>
    </w:p>
    <w:p w14:paraId="26985F6F" w14:textId="77777777" w:rsidR="00100E8E" w:rsidRPr="00951CBC" w:rsidRDefault="00100E8E" w:rsidP="0046497A">
      <w:pPr>
        <w:spacing w:line="480" w:lineRule="auto"/>
        <w:jc w:val="center"/>
        <w:rPr>
          <w:color w:val="000000" w:themeColor="text1"/>
          <w:sz w:val="20"/>
          <w:szCs w:val="20"/>
        </w:rPr>
      </w:pPr>
    </w:p>
    <w:p w14:paraId="3E91FC2B" w14:textId="77777777" w:rsidR="00100E8E" w:rsidRPr="00951CBC" w:rsidRDefault="00100E8E" w:rsidP="0046497A">
      <w:pPr>
        <w:spacing w:line="480" w:lineRule="auto"/>
        <w:jc w:val="center"/>
        <w:rPr>
          <w:color w:val="000000" w:themeColor="text1"/>
          <w:sz w:val="20"/>
          <w:szCs w:val="20"/>
        </w:rPr>
      </w:pPr>
    </w:p>
    <w:p w14:paraId="0183C51B" w14:textId="77777777" w:rsidR="007A2EF2" w:rsidRPr="00951CBC" w:rsidRDefault="007A2EF2" w:rsidP="0046497A">
      <w:pPr>
        <w:spacing w:line="480" w:lineRule="auto"/>
        <w:jc w:val="center"/>
        <w:rPr>
          <w:color w:val="000000" w:themeColor="text1"/>
          <w:sz w:val="20"/>
          <w:szCs w:val="20"/>
        </w:rPr>
      </w:pPr>
    </w:p>
    <w:p w14:paraId="372D5B3A" w14:textId="48CF4F98" w:rsidR="007A2EF2" w:rsidRPr="00951CBC" w:rsidRDefault="007A2EF2" w:rsidP="008E093A">
      <w:pPr>
        <w:spacing w:line="480" w:lineRule="auto"/>
        <w:rPr>
          <w:color w:val="000000" w:themeColor="text1"/>
          <w:sz w:val="20"/>
          <w:szCs w:val="20"/>
        </w:rPr>
      </w:pPr>
    </w:p>
    <w:p w14:paraId="542D6511" w14:textId="77777777" w:rsidR="00EF636E" w:rsidRPr="00951CBC" w:rsidRDefault="00EF636E" w:rsidP="008E093A">
      <w:pPr>
        <w:spacing w:line="480" w:lineRule="auto"/>
        <w:rPr>
          <w:color w:val="000000" w:themeColor="text1"/>
          <w:sz w:val="20"/>
          <w:szCs w:val="20"/>
        </w:rPr>
      </w:pPr>
    </w:p>
    <w:p w14:paraId="62117F4F" w14:textId="48EB7E03" w:rsidR="00100E8E" w:rsidRDefault="00100E8E" w:rsidP="00284959">
      <w:pPr>
        <w:spacing w:line="480" w:lineRule="auto"/>
        <w:rPr>
          <w:color w:val="000000" w:themeColor="text1"/>
          <w:sz w:val="20"/>
          <w:szCs w:val="20"/>
        </w:rPr>
      </w:pPr>
    </w:p>
    <w:p w14:paraId="0D4E2271" w14:textId="77777777" w:rsidR="00951CBC" w:rsidRPr="00951CBC" w:rsidRDefault="00951CBC" w:rsidP="00284959">
      <w:pPr>
        <w:spacing w:line="480" w:lineRule="auto"/>
        <w:rPr>
          <w:color w:val="000000" w:themeColor="text1"/>
          <w:sz w:val="20"/>
          <w:szCs w:val="20"/>
        </w:rPr>
      </w:pPr>
    </w:p>
    <w:sdt>
      <w:sdtPr>
        <w:rPr>
          <w:rFonts w:ascii="Times New Roman" w:eastAsia="Times New Roman" w:hAnsi="Times New Roman" w:cs="Times New Roman"/>
          <w:b w:val="0"/>
          <w:bCs w:val="0"/>
          <w:color w:val="auto"/>
          <w:sz w:val="24"/>
          <w:szCs w:val="24"/>
        </w:rPr>
        <w:id w:val="-435747006"/>
        <w:docPartObj>
          <w:docPartGallery w:val="Table of Contents"/>
          <w:docPartUnique/>
        </w:docPartObj>
      </w:sdtPr>
      <w:sdtEndPr>
        <w:rPr>
          <w:noProof/>
          <w:sz w:val="20"/>
          <w:szCs w:val="20"/>
        </w:rPr>
      </w:sdtEndPr>
      <w:sdtContent>
        <w:p w14:paraId="544DEAB1" w14:textId="77777777" w:rsidR="00284959" w:rsidRPr="0001280F" w:rsidRDefault="00284959" w:rsidP="00284959">
          <w:pPr>
            <w:pStyle w:val="TOCHeading"/>
            <w:jc w:val="center"/>
            <w:rPr>
              <w:rFonts w:ascii="Times New Roman" w:hAnsi="Times New Roman" w:cs="Times New Roman"/>
              <w:color w:val="000000" w:themeColor="text1"/>
              <w:sz w:val="24"/>
              <w:szCs w:val="24"/>
            </w:rPr>
          </w:pPr>
          <w:r w:rsidRPr="0001280F">
            <w:rPr>
              <w:rFonts w:ascii="Times New Roman" w:hAnsi="Times New Roman" w:cs="Times New Roman"/>
              <w:color w:val="000000" w:themeColor="text1"/>
              <w:sz w:val="24"/>
              <w:szCs w:val="24"/>
            </w:rPr>
            <w:t>Table of Contents</w:t>
          </w:r>
        </w:p>
        <w:p w14:paraId="64633380" w14:textId="28AE11A1" w:rsidR="0001280F" w:rsidRPr="0001280F" w:rsidRDefault="00284959">
          <w:pPr>
            <w:pStyle w:val="TOC1"/>
            <w:tabs>
              <w:tab w:val="right" w:pos="9350"/>
            </w:tabs>
            <w:rPr>
              <w:rFonts w:asciiTheme="minorHAnsi" w:eastAsiaTheme="minorEastAsia" w:hAnsiTheme="minorHAnsi" w:cstheme="minorBidi"/>
              <w:b w:val="0"/>
              <w:bCs w:val="0"/>
              <w:caps w:val="0"/>
              <w:noProof/>
              <w:u w:val="none"/>
            </w:rPr>
          </w:pPr>
          <w:r w:rsidRPr="0001280F">
            <w:rPr>
              <w:b w:val="0"/>
              <w:bCs w:val="0"/>
              <w:sz w:val="13"/>
              <w:szCs w:val="13"/>
            </w:rPr>
            <w:fldChar w:fldCharType="begin"/>
          </w:r>
          <w:r w:rsidRPr="0001280F">
            <w:rPr>
              <w:sz w:val="13"/>
              <w:szCs w:val="13"/>
            </w:rPr>
            <w:instrText xml:space="preserve"> TOC \o "1-3" \h \z \u </w:instrText>
          </w:r>
          <w:r w:rsidRPr="0001280F">
            <w:rPr>
              <w:b w:val="0"/>
              <w:bCs w:val="0"/>
              <w:sz w:val="13"/>
              <w:szCs w:val="13"/>
            </w:rPr>
            <w:fldChar w:fldCharType="separate"/>
          </w:r>
          <w:hyperlink w:anchor="_Toc103539021" w:history="1">
            <w:r w:rsidR="0001280F" w:rsidRPr="0001280F">
              <w:rPr>
                <w:rStyle w:val="Hyperlink"/>
                <w:noProof/>
                <w:sz w:val="21"/>
                <w:szCs w:val="21"/>
              </w:rPr>
              <w:t>I. Introduction</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_Toc103539021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3</w:t>
            </w:r>
            <w:r w:rsidR="0001280F" w:rsidRPr="0001280F">
              <w:rPr>
                <w:noProof/>
                <w:webHidden/>
                <w:sz w:val="21"/>
                <w:szCs w:val="21"/>
              </w:rPr>
              <w:fldChar w:fldCharType="end"/>
            </w:r>
          </w:hyperlink>
        </w:p>
        <w:p w14:paraId="4CBB97A8" w14:textId="2DB506E0"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22" w:history="1">
            <w:r w:rsidR="0001280F" w:rsidRPr="0001280F">
              <w:rPr>
                <w:rStyle w:val="Hyperlink"/>
                <w:noProof/>
                <w:sz w:val="21"/>
                <w:szCs w:val="21"/>
              </w:rPr>
              <w:t>II. Background &amp; Literature Review</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_Toc103539022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4</w:t>
            </w:r>
            <w:r w:rsidR="0001280F" w:rsidRPr="0001280F">
              <w:rPr>
                <w:noProof/>
                <w:webHidden/>
                <w:sz w:val="21"/>
                <w:szCs w:val="21"/>
              </w:rPr>
              <w:fldChar w:fldCharType="end"/>
            </w:r>
          </w:hyperlink>
        </w:p>
        <w:p w14:paraId="53B5DFEC" w14:textId="56C16051"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23" w:history="1">
            <w:r w:rsidR="0001280F" w:rsidRPr="0001280F">
              <w:rPr>
                <w:rStyle w:val="Hyperlink"/>
                <w:noProof/>
                <w:sz w:val="21"/>
                <w:szCs w:val="21"/>
              </w:rPr>
              <w:t>Impacts of Safe Consumption site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_Toc103539023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4</w:t>
            </w:r>
            <w:r w:rsidR="0001280F" w:rsidRPr="0001280F">
              <w:rPr>
                <w:noProof/>
                <w:webHidden/>
                <w:sz w:val="21"/>
                <w:szCs w:val="21"/>
              </w:rPr>
              <w:fldChar w:fldCharType="end"/>
            </w:r>
          </w:hyperlink>
        </w:p>
        <w:p w14:paraId="035C3D0D" w14:textId="634B8B8C" w:rsidR="0001280F" w:rsidRPr="0001280F" w:rsidRDefault="00372454">
          <w:pPr>
            <w:pStyle w:val="TOC3"/>
            <w:tabs>
              <w:tab w:val="right" w:pos="9350"/>
            </w:tabs>
            <w:rPr>
              <w:rFonts w:asciiTheme="minorHAnsi" w:eastAsiaTheme="minorEastAsia" w:hAnsiTheme="minorHAnsi" w:cstheme="minorBidi"/>
              <w:smallCaps w:val="0"/>
              <w:noProof/>
            </w:rPr>
          </w:pPr>
          <w:hyperlink w:anchor="_Toc103539024" w:history="1">
            <w:r w:rsidR="0001280F" w:rsidRPr="0001280F">
              <w:rPr>
                <w:rStyle w:val="Hyperlink"/>
                <w:b/>
                <w:bCs/>
                <w:noProof/>
                <w:sz w:val="21"/>
                <w:szCs w:val="21"/>
              </w:rPr>
              <w:t>Personal Impacts for Users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_Toc103539024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5</w:t>
            </w:r>
            <w:r w:rsidR="0001280F" w:rsidRPr="0001280F">
              <w:rPr>
                <w:noProof/>
                <w:webHidden/>
                <w:sz w:val="21"/>
                <w:szCs w:val="21"/>
              </w:rPr>
              <w:fldChar w:fldCharType="end"/>
            </w:r>
          </w:hyperlink>
        </w:p>
        <w:p w14:paraId="049EC6CF" w14:textId="4A2B9FC7" w:rsidR="0001280F" w:rsidRPr="0001280F" w:rsidRDefault="00372454">
          <w:pPr>
            <w:pStyle w:val="TOC3"/>
            <w:tabs>
              <w:tab w:val="right" w:pos="9350"/>
            </w:tabs>
            <w:rPr>
              <w:rFonts w:asciiTheme="minorHAnsi" w:eastAsiaTheme="minorEastAsia" w:hAnsiTheme="minorHAnsi" w:cstheme="minorBidi"/>
              <w:smallCaps w:val="0"/>
              <w:noProof/>
            </w:rPr>
          </w:pPr>
          <w:hyperlink w:anchor="_Toc103539025" w:history="1">
            <w:r w:rsidR="0001280F" w:rsidRPr="0001280F">
              <w:rPr>
                <w:rStyle w:val="Hyperlink"/>
                <w:b/>
                <w:bCs/>
                <w:noProof/>
                <w:sz w:val="21"/>
                <w:szCs w:val="21"/>
              </w:rPr>
              <w:t>Impacts on Communities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_Toc103539025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7</w:t>
            </w:r>
            <w:r w:rsidR="0001280F" w:rsidRPr="0001280F">
              <w:rPr>
                <w:noProof/>
                <w:webHidden/>
                <w:sz w:val="21"/>
                <w:szCs w:val="21"/>
              </w:rPr>
              <w:fldChar w:fldCharType="end"/>
            </w:r>
          </w:hyperlink>
        </w:p>
        <w:p w14:paraId="5A3DB7AF" w14:textId="60D9D150"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26" w:history="1">
            <w:r w:rsidR="0001280F" w:rsidRPr="0001280F">
              <w:rPr>
                <w:rStyle w:val="Hyperlink"/>
                <w:noProof/>
                <w:sz w:val="21"/>
                <w:szCs w:val="21"/>
              </w:rPr>
              <w:t>Impacts on Hospitals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_Toc103539026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7</w:t>
            </w:r>
            <w:r w:rsidR="0001280F" w:rsidRPr="0001280F">
              <w:rPr>
                <w:noProof/>
                <w:webHidden/>
                <w:sz w:val="21"/>
                <w:szCs w:val="21"/>
              </w:rPr>
              <w:fldChar w:fldCharType="end"/>
            </w:r>
          </w:hyperlink>
        </w:p>
        <w:p w14:paraId="0CBC8F2A" w14:textId="25DFE6F8" w:rsidR="0001280F" w:rsidRPr="0001280F" w:rsidRDefault="00372454">
          <w:pPr>
            <w:pStyle w:val="TOC3"/>
            <w:tabs>
              <w:tab w:val="right" w:pos="9350"/>
            </w:tabs>
            <w:rPr>
              <w:rFonts w:asciiTheme="minorHAnsi" w:eastAsiaTheme="minorEastAsia" w:hAnsiTheme="minorHAnsi" w:cstheme="minorBidi"/>
              <w:smallCaps w:val="0"/>
              <w:noProof/>
            </w:rPr>
          </w:pPr>
          <w:hyperlink w:anchor="_Toc103539027" w:history="1">
            <w:r w:rsidR="0001280F" w:rsidRPr="0001280F">
              <w:rPr>
                <w:rStyle w:val="Hyperlink"/>
                <w:b/>
                <w:bCs/>
                <w:i/>
                <w:iCs/>
                <w:noProof/>
                <w:sz w:val="21"/>
                <w:szCs w:val="21"/>
              </w:rPr>
              <w:t>Emergency Medical Service Use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_Toc103539027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8</w:t>
            </w:r>
            <w:r w:rsidR="0001280F" w:rsidRPr="0001280F">
              <w:rPr>
                <w:noProof/>
                <w:webHidden/>
                <w:sz w:val="21"/>
                <w:szCs w:val="21"/>
              </w:rPr>
              <w:fldChar w:fldCharType="end"/>
            </w:r>
          </w:hyperlink>
        </w:p>
        <w:p w14:paraId="38CD08E3" w14:textId="6D295CC2" w:rsidR="0001280F" w:rsidRPr="0001280F" w:rsidRDefault="00372454">
          <w:pPr>
            <w:pStyle w:val="TOC3"/>
            <w:tabs>
              <w:tab w:val="right" w:pos="9350"/>
            </w:tabs>
            <w:rPr>
              <w:rFonts w:asciiTheme="minorHAnsi" w:eastAsiaTheme="minorEastAsia" w:hAnsiTheme="minorHAnsi" w:cstheme="minorBidi"/>
              <w:smallCaps w:val="0"/>
              <w:noProof/>
            </w:rPr>
          </w:pPr>
          <w:hyperlink w:anchor="_Toc103539028" w:history="1">
            <w:r w:rsidR="0001280F" w:rsidRPr="0001280F">
              <w:rPr>
                <w:rStyle w:val="Hyperlink"/>
                <w:b/>
                <w:bCs/>
                <w:i/>
                <w:iCs/>
                <w:noProof/>
                <w:sz w:val="21"/>
                <w:szCs w:val="21"/>
              </w:rPr>
              <w:t>Emergency Room Use and Inpatient Hospital Admissions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_Toc103539028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8</w:t>
            </w:r>
            <w:r w:rsidR="0001280F" w:rsidRPr="0001280F">
              <w:rPr>
                <w:noProof/>
                <w:webHidden/>
                <w:sz w:val="21"/>
                <w:szCs w:val="21"/>
              </w:rPr>
              <w:fldChar w:fldCharType="end"/>
            </w:r>
          </w:hyperlink>
        </w:p>
        <w:p w14:paraId="2CDAC302" w14:textId="29BC65B3"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29" w:history="1">
            <w:r w:rsidR="0001280F" w:rsidRPr="0001280F">
              <w:rPr>
                <w:rStyle w:val="Hyperlink"/>
                <w:noProof/>
                <w:sz w:val="21"/>
                <w:szCs w:val="21"/>
              </w:rPr>
              <w:t>Impacts on Non -Users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_Toc103539029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9</w:t>
            </w:r>
            <w:r w:rsidR="0001280F" w:rsidRPr="0001280F">
              <w:rPr>
                <w:noProof/>
                <w:webHidden/>
                <w:sz w:val="21"/>
                <w:szCs w:val="21"/>
              </w:rPr>
              <w:fldChar w:fldCharType="end"/>
            </w:r>
          </w:hyperlink>
        </w:p>
        <w:p w14:paraId="5F77F5B2" w14:textId="5640DE22"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30" w:history="1">
            <w:r w:rsidR="0001280F" w:rsidRPr="0001280F">
              <w:rPr>
                <w:rStyle w:val="Hyperlink"/>
                <w:noProof/>
                <w:sz w:val="21"/>
                <w:szCs w:val="21"/>
              </w:rPr>
              <w:t>Political Feasibility &amp; The Current Political Climate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_Toc103539030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9</w:t>
            </w:r>
            <w:r w:rsidR="0001280F" w:rsidRPr="0001280F">
              <w:rPr>
                <w:noProof/>
                <w:webHidden/>
                <w:sz w:val="21"/>
                <w:szCs w:val="21"/>
              </w:rPr>
              <w:fldChar w:fldCharType="end"/>
            </w:r>
          </w:hyperlink>
        </w:p>
        <w:p w14:paraId="1819A2EE" w14:textId="6ECED323"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31" w:history="1">
            <w:r w:rsidR="0001280F" w:rsidRPr="0001280F">
              <w:rPr>
                <w:rStyle w:val="Hyperlink"/>
                <w:noProof/>
                <w:sz w:val="21"/>
                <w:szCs w:val="21"/>
              </w:rPr>
              <w:t>Cost-Benefit Analyses of Safe Consumption Sites in the U.S.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_Toc103539031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10</w:t>
            </w:r>
            <w:r w:rsidR="0001280F" w:rsidRPr="0001280F">
              <w:rPr>
                <w:noProof/>
                <w:webHidden/>
                <w:sz w:val="21"/>
                <w:szCs w:val="21"/>
              </w:rPr>
              <w:fldChar w:fldCharType="end"/>
            </w:r>
          </w:hyperlink>
        </w:p>
        <w:p w14:paraId="2A8C4234" w14:textId="091F2230"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32" w:history="1">
            <w:r w:rsidR="0001280F" w:rsidRPr="0001280F">
              <w:rPr>
                <w:rStyle w:val="Hyperlink"/>
                <w:noProof/>
                <w:sz w:val="21"/>
                <w:szCs w:val="21"/>
              </w:rPr>
              <w:t>III. Methodology</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_Toc103539032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11</w:t>
            </w:r>
            <w:r w:rsidR="0001280F" w:rsidRPr="0001280F">
              <w:rPr>
                <w:noProof/>
                <w:webHidden/>
                <w:sz w:val="21"/>
                <w:szCs w:val="21"/>
              </w:rPr>
              <w:fldChar w:fldCharType="end"/>
            </w:r>
          </w:hyperlink>
        </w:p>
        <w:p w14:paraId="61D49224" w14:textId="4A5EA443"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33" w:history="1">
            <w:r w:rsidR="0001280F" w:rsidRPr="0001280F">
              <w:rPr>
                <w:rStyle w:val="Hyperlink"/>
                <w:noProof/>
                <w:sz w:val="21"/>
                <w:szCs w:val="21"/>
              </w:rPr>
              <w:t>IV. Collected Data</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_Toc103539033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13</w:t>
            </w:r>
            <w:r w:rsidR="0001280F" w:rsidRPr="0001280F">
              <w:rPr>
                <w:noProof/>
                <w:webHidden/>
                <w:sz w:val="21"/>
                <w:szCs w:val="21"/>
              </w:rPr>
              <w:fldChar w:fldCharType="end"/>
            </w:r>
          </w:hyperlink>
        </w:p>
        <w:p w14:paraId="32F75355" w14:textId="6E2C1220"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34" w:history="1">
            <w:r w:rsidR="0001280F" w:rsidRPr="0001280F">
              <w:rPr>
                <w:rStyle w:val="Hyperlink"/>
                <w:noProof/>
                <w:sz w:val="21"/>
                <w:szCs w:val="21"/>
              </w:rPr>
              <w:t>Overdose Mortality and Morbidity Data</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_Toc103539034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13</w:t>
            </w:r>
            <w:r w:rsidR="0001280F" w:rsidRPr="0001280F">
              <w:rPr>
                <w:noProof/>
                <w:webHidden/>
                <w:sz w:val="21"/>
                <w:szCs w:val="21"/>
              </w:rPr>
              <w:fldChar w:fldCharType="end"/>
            </w:r>
          </w:hyperlink>
        </w:p>
        <w:p w14:paraId="5544BF11" w14:textId="7A9F48A6"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35" w:history="1">
            <w:r w:rsidR="0001280F" w:rsidRPr="0001280F">
              <w:rPr>
                <w:rStyle w:val="Hyperlink"/>
                <w:noProof/>
                <w:sz w:val="21"/>
                <w:szCs w:val="21"/>
              </w:rPr>
              <w:t>V. Results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_Toc103539035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14</w:t>
            </w:r>
            <w:r w:rsidR="0001280F" w:rsidRPr="0001280F">
              <w:rPr>
                <w:noProof/>
                <w:webHidden/>
                <w:sz w:val="21"/>
                <w:szCs w:val="21"/>
              </w:rPr>
              <w:fldChar w:fldCharType="end"/>
            </w:r>
          </w:hyperlink>
        </w:p>
        <w:p w14:paraId="4962CB30" w14:textId="2A621E21"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36" w:history="1">
            <w:r w:rsidR="0001280F" w:rsidRPr="0001280F">
              <w:rPr>
                <w:rStyle w:val="Hyperlink"/>
                <w:noProof/>
                <w:sz w:val="21"/>
                <w:szCs w:val="21"/>
              </w:rPr>
              <w:t>Cost and Benefit Estimates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_Toc103539036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14</w:t>
            </w:r>
            <w:r w:rsidR="0001280F" w:rsidRPr="0001280F">
              <w:rPr>
                <w:noProof/>
                <w:webHidden/>
                <w:sz w:val="21"/>
                <w:szCs w:val="21"/>
              </w:rPr>
              <w:fldChar w:fldCharType="end"/>
            </w:r>
          </w:hyperlink>
        </w:p>
        <w:p w14:paraId="6E19CC5F" w14:textId="588C01D9"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37" w:history="1">
            <w:r w:rsidR="0001280F" w:rsidRPr="0001280F">
              <w:rPr>
                <w:rStyle w:val="Hyperlink"/>
                <w:i/>
                <w:iCs/>
                <w:noProof/>
                <w:sz w:val="21"/>
                <w:szCs w:val="21"/>
              </w:rPr>
              <w:t>Cost of the Facility</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_Toc103539037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14</w:t>
            </w:r>
            <w:r w:rsidR="0001280F" w:rsidRPr="0001280F">
              <w:rPr>
                <w:noProof/>
                <w:webHidden/>
                <w:sz w:val="21"/>
                <w:szCs w:val="21"/>
              </w:rPr>
              <w:fldChar w:fldCharType="end"/>
            </w:r>
          </w:hyperlink>
        </w:p>
        <w:p w14:paraId="6EC253D7" w14:textId="72B7B587"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38" w:history="1">
            <w:r w:rsidR="0001280F" w:rsidRPr="0001280F">
              <w:rPr>
                <w:rStyle w:val="Hyperlink"/>
                <w:i/>
                <w:iCs/>
                <w:noProof/>
                <w:sz w:val="21"/>
                <w:szCs w:val="21"/>
              </w:rPr>
              <w:t>Overdose Mortality Benefits: Present Value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_Toc103539038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15</w:t>
            </w:r>
            <w:r w:rsidR="0001280F" w:rsidRPr="0001280F">
              <w:rPr>
                <w:noProof/>
                <w:webHidden/>
                <w:sz w:val="21"/>
                <w:szCs w:val="21"/>
              </w:rPr>
              <w:fldChar w:fldCharType="end"/>
            </w:r>
          </w:hyperlink>
        </w:p>
        <w:p w14:paraId="30175EB6" w14:textId="0CABFD36"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39" w:history="1">
            <w:r w:rsidR="0001280F" w:rsidRPr="0001280F">
              <w:rPr>
                <w:rStyle w:val="Hyperlink"/>
                <w:i/>
                <w:iCs/>
                <w:noProof/>
                <w:sz w:val="21"/>
                <w:szCs w:val="21"/>
              </w:rPr>
              <w:t>Overdose Mortality Benefits: Value of a Statistical Life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_Toc103539039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17</w:t>
            </w:r>
            <w:r w:rsidR="0001280F" w:rsidRPr="0001280F">
              <w:rPr>
                <w:noProof/>
                <w:webHidden/>
                <w:sz w:val="21"/>
                <w:szCs w:val="21"/>
              </w:rPr>
              <w:fldChar w:fldCharType="end"/>
            </w:r>
          </w:hyperlink>
        </w:p>
        <w:p w14:paraId="0B992C7C" w14:textId="2D1596B3"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0" w:history="1">
            <w:r w:rsidR="0001280F" w:rsidRPr="0001280F">
              <w:rPr>
                <w:rStyle w:val="Hyperlink"/>
                <w:i/>
                <w:iCs/>
                <w:noProof/>
                <w:sz w:val="21"/>
                <w:szCs w:val="21"/>
              </w:rPr>
              <w:t>Overdose Morbidity Benefits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_Toc103539040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18</w:t>
            </w:r>
            <w:r w:rsidR="0001280F" w:rsidRPr="0001280F">
              <w:rPr>
                <w:noProof/>
                <w:webHidden/>
                <w:sz w:val="21"/>
                <w:szCs w:val="21"/>
              </w:rPr>
              <w:fldChar w:fldCharType="end"/>
            </w:r>
          </w:hyperlink>
        </w:p>
        <w:p w14:paraId="0E4C45A6" w14:textId="2B103CF8"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1" w:history="1">
            <w:r w:rsidR="0001280F" w:rsidRPr="0001280F">
              <w:rPr>
                <w:rStyle w:val="Hyperlink"/>
                <w:i/>
                <w:iCs/>
                <w:noProof/>
                <w:sz w:val="21"/>
                <w:szCs w:val="21"/>
              </w:rPr>
              <w:t>Medication-Assisted Treatment Benefits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_Toc103539041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20</w:t>
            </w:r>
            <w:r w:rsidR="0001280F" w:rsidRPr="0001280F">
              <w:rPr>
                <w:noProof/>
                <w:webHidden/>
                <w:sz w:val="21"/>
                <w:szCs w:val="21"/>
              </w:rPr>
              <w:fldChar w:fldCharType="end"/>
            </w:r>
          </w:hyperlink>
        </w:p>
        <w:p w14:paraId="1F18B86A" w14:textId="2F9C5E77"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2" w:history="1">
            <w:r w:rsidR="0001280F" w:rsidRPr="0001280F">
              <w:rPr>
                <w:rStyle w:val="Hyperlink"/>
                <w:noProof/>
                <w:sz w:val="21"/>
                <w:szCs w:val="21"/>
              </w:rPr>
              <w:t>Sensitivity Analysis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_Toc103539042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21</w:t>
            </w:r>
            <w:r w:rsidR="0001280F" w:rsidRPr="0001280F">
              <w:rPr>
                <w:noProof/>
                <w:webHidden/>
                <w:sz w:val="21"/>
                <w:szCs w:val="21"/>
              </w:rPr>
              <w:fldChar w:fldCharType="end"/>
            </w:r>
          </w:hyperlink>
        </w:p>
        <w:p w14:paraId="12677C73" w14:textId="7239FA86"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3" w:history="1">
            <w:r w:rsidR="0001280F" w:rsidRPr="0001280F">
              <w:rPr>
                <w:rStyle w:val="Hyperlink"/>
                <w:i/>
                <w:iCs/>
                <w:noProof/>
                <w:sz w:val="21"/>
                <w:szCs w:val="21"/>
              </w:rPr>
              <w:t>Overdose Mortality: Present Value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_Toc103539043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21</w:t>
            </w:r>
            <w:r w:rsidR="0001280F" w:rsidRPr="0001280F">
              <w:rPr>
                <w:noProof/>
                <w:webHidden/>
                <w:sz w:val="21"/>
                <w:szCs w:val="21"/>
              </w:rPr>
              <w:fldChar w:fldCharType="end"/>
            </w:r>
          </w:hyperlink>
        </w:p>
        <w:p w14:paraId="271DF543" w14:textId="13146DAF"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4" w:history="1">
            <w:r w:rsidR="0001280F" w:rsidRPr="0001280F">
              <w:rPr>
                <w:rStyle w:val="Hyperlink"/>
                <w:i/>
                <w:iCs/>
                <w:noProof/>
                <w:sz w:val="21"/>
                <w:szCs w:val="21"/>
              </w:rPr>
              <w:t>Overdose Mortality: Value of a Statistical Life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_Toc103539044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22</w:t>
            </w:r>
            <w:r w:rsidR="0001280F" w:rsidRPr="0001280F">
              <w:rPr>
                <w:noProof/>
                <w:webHidden/>
                <w:sz w:val="21"/>
                <w:szCs w:val="21"/>
              </w:rPr>
              <w:fldChar w:fldCharType="end"/>
            </w:r>
          </w:hyperlink>
        </w:p>
        <w:p w14:paraId="4356C8A2" w14:textId="124D3E8C"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5" w:history="1">
            <w:r w:rsidR="0001280F" w:rsidRPr="0001280F">
              <w:rPr>
                <w:rStyle w:val="Hyperlink"/>
                <w:i/>
                <w:iCs/>
                <w:noProof/>
                <w:sz w:val="21"/>
                <w:szCs w:val="21"/>
              </w:rPr>
              <w:t>Overdose Morbidity</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_Toc103539045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23</w:t>
            </w:r>
            <w:r w:rsidR="0001280F" w:rsidRPr="0001280F">
              <w:rPr>
                <w:noProof/>
                <w:webHidden/>
                <w:sz w:val="21"/>
                <w:szCs w:val="21"/>
              </w:rPr>
              <w:fldChar w:fldCharType="end"/>
            </w:r>
          </w:hyperlink>
        </w:p>
        <w:p w14:paraId="735BB8A7" w14:textId="5B55CFB4"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6" w:history="1">
            <w:r w:rsidR="0001280F" w:rsidRPr="0001280F">
              <w:rPr>
                <w:rStyle w:val="Hyperlink"/>
                <w:i/>
                <w:iCs/>
                <w:noProof/>
                <w:sz w:val="21"/>
                <w:szCs w:val="21"/>
              </w:rPr>
              <w:t>Medication-Assisted Treatment</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_Toc103539046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23</w:t>
            </w:r>
            <w:r w:rsidR="0001280F" w:rsidRPr="0001280F">
              <w:rPr>
                <w:noProof/>
                <w:webHidden/>
                <w:sz w:val="21"/>
                <w:szCs w:val="21"/>
              </w:rPr>
              <w:fldChar w:fldCharType="end"/>
            </w:r>
          </w:hyperlink>
        </w:p>
        <w:p w14:paraId="20C7DBA7" w14:textId="5D60B5A5"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47" w:history="1">
            <w:r w:rsidR="0001280F" w:rsidRPr="0001280F">
              <w:rPr>
                <w:rStyle w:val="Hyperlink"/>
                <w:noProof/>
                <w:sz w:val="21"/>
                <w:szCs w:val="21"/>
              </w:rPr>
              <w:t>Overall Results using the Present Value of a Life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_Toc103539047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24</w:t>
            </w:r>
            <w:r w:rsidR="0001280F" w:rsidRPr="0001280F">
              <w:rPr>
                <w:noProof/>
                <w:webHidden/>
                <w:sz w:val="21"/>
                <w:szCs w:val="21"/>
              </w:rPr>
              <w:fldChar w:fldCharType="end"/>
            </w:r>
          </w:hyperlink>
        </w:p>
        <w:p w14:paraId="2E42483F" w14:textId="5A3FA40F" w:rsidR="0001280F" w:rsidRPr="0001280F" w:rsidRDefault="00372454">
          <w:pPr>
            <w:pStyle w:val="TOC3"/>
            <w:tabs>
              <w:tab w:val="right" w:pos="9350"/>
            </w:tabs>
            <w:rPr>
              <w:rFonts w:asciiTheme="minorHAnsi" w:eastAsiaTheme="minorEastAsia" w:hAnsiTheme="minorHAnsi" w:cstheme="minorBidi"/>
              <w:smallCaps w:val="0"/>
              <w:noProof/>
            </w:rPr>
          </w:pPr>
          <w:hyperlink w:anchor="_Toc103539048" w:history="1">
            <w:r w:rsidR="0001280F" w:rsidRPr="0001280F">
              <w:rPr>
                <w:rStyle w:val="Hyperlink"/>
                <w:b/>
                <w:bCs/>
                <w:i/>
                <w:iCs/>
                <w:noProof/>
                <w:sz w:val="21"/>
                <w:szCs w:val="21"/>
              </w:rPr>
              <w:t>Median Per Capita Income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_Toc103539048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24</w:t>
            </w:r>
            <w:r w:rsidR="0001280F" w:rsidRPr="0001280F">
              <w:rPr>
                <w:noProof/>
                <w:webHidden/>
                <w:sz w:val="21"/>
                <w:szCs w:val="21"/>
              </w:rPr>
              <w:fldChar w:fldCharType="end"/>
            </w:r>
          </w:hyperlink>
        </w:p>
        <w:p w14:paraId="3FDA63AA" w14:textId="744D1FA4" w:rsidR="0001280F" w:rsidRPr="0001280F" w:rsidRDefault="00372454">
          <w:pPr>
            <w:pStyle w:val="TOC3"/>
            <w:tabs>
              <w:tab w:val="right" w:pos="9350"/>
            </w:tabs>
            <w:rPr>
              <w:rFonts w:asciiTheme="minorHAnsi" w:eastAsiaTheme="minorEastAsia" w:hAnsiTheme="minorHAnsi" w:cstheme="minorBidi"/>
              <w:smallCaps w:val="0"/>
              <w:noProof/>
            </w:rPr>
          </w:pPr>
          <w:hyperlink w:anchor="_Toc103539049" w:history="1">
            <w:r w:rsidR="0001280F" w:rsidRPr="0001280F">
              <w:rPr>
                <w:rStyle w:val="Hyperlink"/>
                <w:b/>
                <w:bCs/>
                <w:noProof/>
                <w:sz w:val="21"/>
                <w:szCs w:val="21"/>
              </w:rPr>
              <w:t>Median Income Fluctuations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_Toc103539049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25</w:t>
            </w:r>
            <w:r w:rsidR="0001280F" w:rsidRPr="0001280F">
              <w:rPr>
                <w:noProof/>
                <w:webHidden/>
                <w:sz w:val="21"/>
                <w:szCs w:val="21"/>
              </w:rPr>
              <w:fldChar w:fldCharType="end"/>
            </w:r>
          </w:hyperlink>
        </w:p>
        <w:p w14:paraId="382E553D" w14:textId="021F8AE1" w:rsidR="0001280F" w:rsidRPr="0001280F" w:rsidRDefault="00372454">
          <w:pPr>
            <w:pStyle w:val="TOC2"/>
            <w:tabs>
              <w:tab w:val="right" w:pos="9350"/>
            </w:tabs>
            <w:rPr>
              <w:rFonts w:asciiTheme="minorHAnsi" w:eastAsiaTheme="minorEastAsia" w:hAnsiTheme="minorHAnsi" w:cstheme="minorBidi"/>
              <w:b w:val="0"/>
              <w:bCs w:val="0"/>
              <w:smallCaps w:val="0"/>
              <w:noProof/>
            </w:rPr>
          </w:pPr>
          <w:hyperlink w:anchor="_Toc103539050" w:history="1">
            <w:r w:rsidR="0001280F" w:rsidRPr="0001280F">
              <w:rPr>
                <w:rStyle w:val="Hyperlink"/>
                <w:noProof/>
                <w:sz w:val="21"/>
                <w:szCs w:val="21"/>
              </w:rPr>
              <w:t>Overall Results using the Value of a Statistical Life</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_Toc103539050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27</w:t>
            </w:r>
            <w:r w:rsidR="0001280F" w:rsidRPr="0001280F">
              <w:rPr>
                <w:noProof/>
                <w:webHidden/>
                <w:sz w:val="21"/>
                <w:szCs w:val="21"/>
              </w:rPr>
              <w:fldChar w:fldCharType="end"/>
            </w:r>
          </w:hyperlink>
        </w:p>
        <w:p w14:paraId="6488CEE3" w14:textId="22CDA602"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51" w:history="1">
            <w:r w:rsidR="0001280F" w:rsidRPr="0001280F">
              <w:rPr>
                <w:rStyle w:val="Hyperlink"/>
                <w:noProof/>
                <w:sz w:val="21"/>
                <w:szCs w:val="21"/>
              </w:rPr>
              <w:t>VI. Discussion</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_Toc103539051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28</w:t>
            </w:r>
            <w:r w:rsidR="0001280F" w:rsidRPr="0001280F">
              <w:rPr>
                <w:noProof/>
                <w:webHidden/>
                <w:sz w:val="21"/>
                <w:szCs w:val="21"/>
              </w:rPr>
              <w:fldChar w:fldCharType="end"/>
            </w:r>
          </w:hyperlink>
        </w:p>
        <w:p w14:paraId="6F75D079" w14:textId="0E7D0894"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52" w:history="1">
            <w:r w:rsidR="0001280F" w:rsidRPr="0001280F">
              <w:rPr>
                <w:rStyle w:val="Hyperlink"/>
                <w:noProof/>
                <w:sz w:val="21"/>
                <w:szCs w:val="21"/>
              </w:rPr>
              <w:t>VII. Conclusion</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_Toc103539052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30</w:t>
            </w:r>
            <w:r w:rsidR="0001280F" w:rsidRPr="0001280F">
              <w:rPr>
                <w:noProof/>
                <w:webHidden/>
                <w:sz w:val="21"/>
                <w:szCs w:val="21"/>
              </w:rPr>
              <w:fldChar w:fldCharType="end"/>
            </w:r>
          </w:hyperlink>
        </w:p>
        <w:p w14:paraId="15CBB562" w14:textId="43A673F8"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53" w:history="1">
            <w:r w:rsidR="0001280F" w:rsidRPr="0001280F">
              <w:rPr>
                <w:rStyle w:val="Hyperlink"/>
                <w:noProof/>
                <w:sz w:val="21"/>
                <w:szCs w:val="21"/>
              </w:rPr>
              <w:t>References</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_Toc103539053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31</w:t>
            </w:r>
            <w:r w:rsidR="0001280F" w:rsidRPr="0001280F">
              <w:rPr>
                <w:noProof/>
                <w:webHidden/>
                <w:sz w:val="21"/>
                <w:szCs w:val="21"/>
              </w:rPr>
              <w:fldChar w:fldCharType="end"/>
            </w:r>
          </w:hyperlink>
        </w:p>
        <w:p w14:paraId="42FA3B28" w14:textId="42D6F4F3" w:rsidR="0001280F" w:rsidRPr="0001280F" w:rsidRDefault="00372454">
          <w:pPr>
            <w:pStyle w:val="TOC1"/>
            <w:tabs>
              <w:tab w:val="right" w:pos="9350"/>
            </w:tabs>
            <w:rPr>
              <w:rFonts w:asciiTheme="minorHAnsi" w:eastAsiaTheme="minorEastAsia" w:hAnsiTheme="minorHAnsi" w:cstheme="minorBidi"/>
              <w:b w:val="0"/>
              <w:bCs w:val="0"/>
              <w:caps w:val="0"/>
              <w:noProof/>
              <w:u w:val="none"/>
            </w:rPr>
          </w:pPr>
          <w:hyperlink w:anchor="_Toc103539054" w:history="1">
            <w:r w:rsidR="0001280F" w:rsidRPr="0001280F">
              <w:rPr>
                <w:rStyle w:val="Hyperlink"/>
                <w:noProof/>
                <w:sz w:val="21"/>
                <w:szCs w:val="21"/>
              </w:rPr>
              <w:t>Appendix</w:t>
            </w:r>
            <w:r w:rsidR="0001280F" w:rsidRPr="0001280F">
              <w:rPr>
                <w:noProof/>
                <w:webHidden/>
                <w:sz w:val="21"/>
                <w:szCs w:val="21"/>
              </w:rPr>
              <w:tab/>
            </w:r>
            <w:r w:rsidR="0001280F" w:rsidRPr="0001280F">
              <w:rPr>
                <w:noProof/>
                <w:webHidden/>
                <w:sz w:val="21"/>
                <w:szCs w:val="21"/>
              </w:rPr>
              <w:fldChar w:fldCharType="begin"/>
            </w:r>
            <w:r w:rsidR="0001280F" w:rsidRPr="0001280F">
              <w:rPr>
                <w:noProof/>
                <w:webHidden/>
                <w:sz w:val="21"/>
                <w:szCs w:val="21"/>
              </w:rPr>
              <w:instrText xml:space="preserve"> PAGEREF _Toc103539054 \h </w:instrText>
            </w:r>
            <w:r w:rsidR="0001280F" w:rsidRPr="0001280F">
              <w:rPr>
                <w:noProof/>
                <w:webHidden/>
                <w:sz w:val="21"/>
                <w:szCs w:val="21"/>
              </w:rPr>
            </w:r>
            <w:r w:rsidR="0001280F" w:rsidRPr="0001280F">
              <w:rPr>
                <w:noProof/>
                <w:webHidden/>
                <w:sz w:val="21"/>
                <w:szCs w:val="21"/>
              </w:rPr>
              <w:fldChar w:fldCharType="separate"/>
            </w:r>
            <w:r w:rsidR="00E057E2">
              <w:rPr>
                <w:noProof/>
                <w:webHidden/>
                <w:sz w:val="21"/>
                <w:szCs w:val="21"/>
              </w:rPr>
              <w:t>35</w:t>
            </w:r>
            <w:r w:rsidR="0001280F" w:rsidRPr="0001280F">
              <w:rPr>
                <w:noProof/>
                <w:webHidden/>
                <w:sz w:val="21"/>
                <w:szCs w:val="21"/>
              </w:rPr>
              <w:fldChar w:fldCharType="end"/>
            </w:r>
          </w:hyperlink>
        </w:p>
        <w:p w14:paraId="30CF16D3" w14:textId="14BC3D1C" w:rsidR="00B76492" w:rsidRPr="00951CBC" w:rsidRDefault="00284959" w:rsidP="00B76492">
          <w:pPr>
            <w:jc w:val="center"/>
            <w:rPr>
              <w:b/>
              <w:bCs/>
              <w:noProof/>
              <w:sz w:val="20"/>
              <w:szCs w:val="20"/>
            </w:rPr>
          </w:pPr>
          <w:r w:rsidRPr="0001280F">
            <w:rPr>
              <w:b/>
              <w:bCs/>
              <w:noProof/>
              <w:sz w:val="13"/>
              <w:szCs w:val="13"/>
            </w:rPr>
            <w:lastRenderedPageBreak/>
            <w:fldChar w:fldCharType="end"/>
          </w:r>
        </w:p>
      </w:sdtContent>
    </w:sdt>
    <w:p w14:paraId="13AB6BEE" w14:textId="77777777" w:rsidR="004E7308" w:rsidRPr="00951CBC" w:rsidRDefault="004E7308" w:rsidP="00957FC9">
      <w:pPr>
        <w:jc w:val="center"/>
        <w:rPr>
          <w:b/>
          <w:bCs/>
          <w:color w:val="000000" w:themeColor="text1"/>
          <w:sz w:val="20"/>
          <w:szCs w:val="20"/>
        </w:rPr>
      </w:pPr>
    </w:p>
    <w:p w14:paraId="325843AE" w14:textId="77777777" w:rsidR="004E7308" w:rsidRPr="00951CBC" w:rsidRDefault="004E7308" w:rsidP="00957FC9">
      <w:pPr>
        <w:jc w:val="center"/>
        <w:rPr>
          <w:b/>
          <w:bCs/>
          <w:color w:val="000000" w:themeColor="text1"/>
          <w:sz w:val="20"/>
          <w:szCs w:val="20"/>
        </w:rPr>
      </w:pPr>
    </w:p>
    <w:p w14:paraId="7F294937" w14:textId="77777777" w:rsidR="004E7308" w:rsidRPr="00951CBC" w:rsidRDefault="004E7308" w:rsidP="00957FC9">
      <w:pPr>
        <w:jc w:val="center"/>
        <w:rPr>
          <w:b/>
          <w:bCs/>
          <w:color w:val="000000" w:themeColor="text1"/>
          <w:sz w:val="20"/>
          <w:szCs w:val="20"/>
        </w:rPr>
      </w:pPr>
    </w:p>
    <w:p w14:paraId="6DEACF78" w14:textId="77777777" w:rsidR="004E7308" w:rsidRPr="00951CBC" w:rsidRDefault="004E7308" w:rsidP="00957FC9">
      <w:pPr>
        <w:jc w:val="center"/>
        <w:rPr>
          <w:b/>
          <w:bCs/>
          <w:color w:val="000000" w:themeColor="text1"/>
          <w:sz w:val="20"/>
          <w:szCs w:val="20"/>
        </w:rPr>
      </w:pPr>
    </w:p>
    <w:p w14:paraId="64261E9C" w14:textId="77777777" w:rsidR="004E7308" w:rsidRPr="00951CBC" w:rsidRDefault="004E7308" w:rsidP="00957FC9">
      <w:pPr>
        <w:jc w:val="center"/>
        <w:rPr>
          <w:b/>
          <w:bCs/>
          <w:color w:val="000000" w:themeColor="text1"/>
          <w:sz w:val="20"/>
          <w:szCs w:val="20"/>
        </w:rPr>
      </w:pPr>
    </w:p>
    <w:p w14:paraId="257135CB" w14:textId="77777777" w:rsidR="004E7308" w:rsidRPr="00C868F2" w:rsidRDefault="004E7308" w:rsidP="00957FC9">
      <w:pPr>
        <w:jc w:val="center"/>
        <w:rPr>
          <w:b/>
          <w:bCs/>
          <w:color w:val="000000" w:themeColor="text1"/>
        </w:rPr>
      </w:pPr>
    </w:p>
    <w:p w14:paraId="03296E8A" w14:textId="2C24B7A9" w:rsidR="004E7308" w:rsidRPr="00C868F2" w:rsidRDefault="004E7308" w:rsidP="00957FC9">
      <w:pPr>
        <w:jc w:val="center"/>
        <w:rPr>
          <w:b/>
          <w:bCs/>
          <w:color w:val="000000" w:themeColor="text1"/>
        </w:rPr>
      </w:pPr>
    </w:p>
    <w:p w14:paraId="17A6A683" w14:textId="6F4EBA71" w:rsidR="00DA3762" w:rsidRPr="00C868F2" w:rsidRDefault="00DA3762" w:rsidP="00957FC9">
      <w:pPr>
        <w:jc w:val="center"/>
        <w:rPr>
          <w:b/>
          <w:bCs/>
          <w:color w:val="000000" w:themeColor="text1"/>
        </w:rPr>
      </w:pPr>
    </w:p>
    <w:p w14:paraId="0B6B2FC0" w14:textId="77777777" w:rsidR="004E7308" w:rsidRPr="00C868F2" w:rsidRDefault="004E7308" w:rsidP="006C002E">
      <w:pPr>
        <w:rPr>
          <w:b/>
          <w:bCs/>
          <w:color w:val="000000" w:themeColor="text1"/>
        </w:rPr>
      </w:pPr>
    </w:p>
    <w:p w14:paraId="2A139272" w14:textId="77777777" w:rsidR="004E7308" w:rsidRPr="00C868F2" w:rsidRDefault="004E7308" w:rsidP="00957FC9">
      <w:pPr>
        <w:jc w:val="center"/>
        <w:rPr>
          <w:b/>
          <w:bCs/>
          <w:color w:val="000000" w:themeColor="text1"/>
        </w:rPr>
      </w:pPr>
    </w:p>
    <w:p w14:paraId="4BE5F402" w14:textId="77777777" w:rsidR="00D55114" w:rsidRPr="00C868F2" w:rsidRDefault="00D55114" w:rsidP="00957FC9">
      <w:pPr>
        <w:jc w:val="center"/>
      </w:pPr>
      <w:r w:rsidRPr="00C868F2">
        <w:rPr>
          <w:b/>
          <w:bCs/>
          <w:color w:val="000000" w:themeColor="text1"/>
        </w:rPr>
        <w:t>Abstract</w:t>
      </w:r>
    </w:p>
    <w:p w14:paraId="4FCECD56" w14:textId="77777777" w:rsidR="004553D0" w:rsidRPr="00C868F2" w:rsidRDefault="004553D0" w:rsidP="004553D0"/>
    <w:p w14:paraId="4BA84990" w14:textId="25531115" w:rsidR="00D55114" w:rsidRPr="00C868F2" w:rsidRDefault="001654A0" w:rsidP="001654A0">
      <w:r w:rsidRPr="00C868F2">
        <w:rPr>
          <w:b/>
          <w:bCs/>
        </w:rPr>
        <w:t xml:space="preserve">Background: </w:t>
      </w:r>
      <w:r w:rsidR="009A3A90" w:rsidRPr="00C868F2">
        <w:t xml:space="preserve">Since the global pandemic, there has not been an updated cost benefit analysis for a hypothetical </w:t>
      </w:r>
      <w:r w:rsidR="000A0033" w:rsidRPr="00C868F2">
        <w:t>safe consumption site</w:t>
      </w:r>
      <w:r w:rsidR="009A3A90" w:rsidRPr="00C868F2">
        <w:t xml:space="preserve"> in Baltimore City, Maryland. </w:t>
      </w:r>
      <w:r w:rsidR="00E175AE" w:rsidRPr="00C868F2">
        <w:rPr>
          <w:color w:val="000000" w:themeColor="text1"/>
        </w:rPr>
        <w:t xml:space="preserve">This paper seeks to analyze how the </w:t>
      </w:r>
      <w:r w:rsidR="005F7307" w:rsidRPr="00C868F2">
        <w:rPr>
          <w:color w:val="000000" w:themeColor="text1"/>
        </w:rPr>
        <w:t>Covid</w:t>
      </w:r>
      <w:r w:rsidR="00E175AE" w:rsidRPr="00C868F2">
        <w:rPr>
          <w:color w:val="000000" w:themeColor="text1"/>
        </w:rPr>
        <w:t xml:space="preserve"> </w:t>
      </w:r>
      <w:r w:rsidR="00376B24" w:rsidRPr="00C868F2">
        <w:rPr>
          <w:color w:val="000000" w:themeColor="text1"/>
        </w:rPr>
        <w:t>-</w:t>
      </w:r>
      <w:r w:rsidR="00E175AE" w:rsidRPr="00C868F2">
        <w:rPr>
          <w:color w:val="000000" w:themeColor="text1"/>
        </w:rPr>
        <w:t xml:space="preserve">19 pandemic has impacted the cost </w:t>
      </w:r>
      <w:r w:rsidR="00376B24" w:rsidRPr="00C868F2">
        <w:rPr>
          <w:color w:val="000000" w:themeColor="text1"/>
        </w:rPr>
        <w:t>-</w:t>
      </w:r>
      <w:r w:rsidR="00E175AE" w:rsidRPr="00C868F2">
        <w:rPr>
          <w:color w:val="000000" w:themeColor="text1"/>
        </w:rPr>
        <w:t xml:space="preserve">saving effects estimated in the 2017 CBA titled </w:t>
      </w:r>
      <w:r w:rsidR="00E175AE" w:rsidRPr="00C868F2">
        <w:rPr>
          <w:i/>
          <w:iCs/>
          <w:color w:val="000000" w:themeColor="text1"/>
        </w:rPr>
        <w:t>Mitigating the Heroin Crisis in Baltimore, MD, USA: a Hypothetical Supervised Injection Facility</w:t>
      </w:r>
      <w:r w:rsidR="00E175AE" w:rsidRPr="00C868F2">
        <w:rPr>
          <w:color w:val="000000" w:themeColor="text1"/>
        </w:rPr>
        <w:t xml:space="preserve"> by Irwin et al. (2017). However, instead of only focusing on heroin related externalities, this analysis will focus on all fatalities related to any opioid</w:t>
      </w:r>
      <w:r w:rsidR="00DF65B2" w:rsidRPr="00C868F2">
        <w:rPr>
          <w:color w:val="000000" w:themeColor="text1"/>
        </w:rPr>
        <w:t xml:space="preserve"> in Baltimore City</w:t>
      </w:r>
      <w:r w:rsidR="00E175AE" w:rsidRPr="00C868F2">
        <w:rPr>
          <w:color w:val="000000" w:themeColor="text1"/>
        </w:rPr>
        <w:t xml:space="preserve">. </w:t>
      </w:r>
      <w:r w:rsidR="009A3A90" w:rsidRPr="00C868F2">
        <w:t xml:space="preserve"> </w:t>
      </w:r>
    </w:p>
    <w:p w14:paraId="121AF3AE" w14:textId="77777777" w:rsidR="001654A0" w:rsidRPr="00C868F2" w:rsidRDefault="001654A0" w:rsidP="001654A0">
      <w:pPr>
        <w:rPr>
          <w:b/>
          <w:bCs/>
        </w:rPr>
      </w:pPr>
    </w:p>
    <w:p w14:paraId="2F030FF0" w14:textId="77777777" w:rsidR="001654A0" w:rsidRPr="00C868F2" w:rsidRDefault="001654A0" w:rsidP="001654A0">
      <w:r w:rsidRPr="00C868F2">
        <w:rPr>
          <w:b/>
          <w:bCs/>
        </w:rPr>
        <w:t xml:space="preserve">Methods: </w:t>
      </w:r>
      <w:r w:rsidR="00483291" w:rsidRPr="00C868F2">
        <w:t>I use data from the Baltimore City Fire Department</w:t>
      </w:r>
      <w:r w:rsidR="007832D1" w:rsidRPr="00C868F2">
        <w:t>, Maryland Department of Health</w:t>
      </w:r>
      <w:r w:rsidR="00483291" w:rsidRPr="00C868F2">
        <w:t xml:space="preserve"> as well as data on existing safe consumption sites in Canada to revisit a 2017 CBA conducted for Baltimore City. This analysis uses cost estimates to estimate the impact of a safe consumption site in zip code 21217 for the following categories: overdose mortality, overdose morbidity, and medication assisted treatment enrollment</w:t>
      </w:r>
      <w:r w:rsidR="007832D1" w:rsidRPr="00C868F2">
        <w:t xml:space="preserve"> for opioid dependence</w:t>
      </w:r>
      <w:r w:rsidR="00483291" w:rsidRPr="00C868F2">
        <w:t xml:space="preserve">. </w:t>
      </w:r>
    </w:p>
    <w:p w14:paraId="238726BB" w14:textId="77777777" w:rsidR="001654A0" w:rsidRPr="00C868F2" w:rsidRDefault="001654A0" w:rsidP="001654A0">
      <w:pPr>
        <w:rPr>
          <w:b/>
          <w:bCs/>
        </w:rPr>
      </w:pPr>
    </w:p>
    <w:p w14:paraId="12E5A4C9" w14:textId="6D1FC294" w:rsidR="001654A0" w:rsidRPr="00C868F2" w:rsidRDefault="001654A0" w:rsidP="001654A0">
      <w:r w:rsidRPr="00C868F2">
        <w:rPr>
          <w:b/>
          <w:bCs/>
        </w:rPr>
        <w:t xml:space="preserve">Results: </w:t>
      </w:r>
      <w:r w:rsidR="002F7411" w:rsidRPr="00C868F2">
        <w:t xml:space="preserve">I predict that the annual cost for a safe </w:t>
      </w:r>
      <w:r w:rsidR="000A0033" w:rsidRPr="00C868F2">
        <w:t>consumption</w:t>
      </w:r>
      <w:r w:rsidR="002F7411" w:rsidRPr="00C868F2">
        <w:t xml:space="preserve"> site would be approximately $1.8 million but would generate $1</w:t>
      </w:r>
      <w:r w:rsidR="00751CDF" w:rsidRPr="00C868F2">
        <w:t>0.8</w:t>
      </w:r>
      <w:r w:rsidR="002F7411" w:rsidRPr="00C868F2">
        <w:t xml:space="preserve"> million in savings yielding an annual net benefit of roughly $13.5 million</w:t>
      </w:r>
      <w:r w:rsidR="003C1955" w:rsidRPr="00C868F2">
        <w:t xml:space="preserve"> when using the Irwin et al. cost estimate methods</w:t>
      </w:r>
      <w:r w:rsidR="002F7411" w:rsidRPr="00C868F2">
        <w:t>. This would mean that for every $1 put towards a safe consumption site, it would generate $</w:t>
      </w:r>
      <w:r w:rsidR="008D0FF9" w:rsidRPr="00C868F2">
        <w:t>5.91</w:t>
      </w:r>
      <w:r w:rsidR="002F7411" w:rsidRPr="00C868F2">
        <w:t>.</w:t>
      </w:r>
      <w:r w:rsidR="003C1955" w:rsidRPr="00C868F2">
        <w:t xml:space="preserve"> When updating the analysis using the value of a statistical life, for every $1 put towards the safe consumption site, it would yield $</w:t>
      </w:r>
      <w:r w:rsidR="00E9370E">
        <w:t>105.37</w:t>
      </w:r>
      <w:r w:rsidR="003C1955" w:rsidRPr="00C868F2">
        <w:t xml:space="preserve"> in benefits. </w:t>
      </w:r>
      <w:r w:rsidR="00646AF4" w:rsidRPr="00C868F2">
        <w:t xml:space="preserve">My estimates indicate that a safe consumption site would prevent 13 overdose fatalities, 593 ambulance deployments, 423 emergency department visits, and 147 </w:t>
      </w:r>
      <w:r w:rsidR="003E2653" w:rsidRPr="00C868F2">
        <w:t>days’ worth</w:t>
      </w:r>
      <w:r w:rsidR="00646AF4" w:rsidRPr="00C868F2">
        <w:t xml:space="preserve"> of inpatient hospital stays</w:t>
      </w:r>
      <w:r w:rsidR="00760778" w:rsidRPr="00C868F2">
        <w:t xml:space="preserve"> annually</w:t>
      </w:r>
      <w:r w:rsidR="00646AF4" w:rsidRPr="00C868F2">
        <w:t>. Additionally, the safe consumption site would refer about 44 PWUD into medication-assisted treatment</w:t>
      </w:r>
      <w:r w:rsidR="00760778" w:rsidRPr="00C868F2">
        <w:t xml:space="preserve"> annually</w:t>
      </w:r>
      <w:r w:rsidR="00646AF4" w:rsidRPr="00C868F2">
        <w:t xml:space="preserve">. </w:t>
      </w:r>
    </w:p>
    <w:p w14:paraId="0EEF6620" w14:textId="77777777" w:rsidR="001654A0" w:rsidRPr="00C868F2" w:rsidRDefault="001654A0" w:rsidP="001654A0">
      <w:pPr>
        <w:rPr>
          <w:b/>
          <w:bCs/>
        </w:rPr>
      </w:pPr>
    </w:p>
    <w:p w14:paraId="112D8875" w14:textId="1BCE4A1A" w:rsidR="001D53B3" w:rsidRPr="00C868F2" w:rsidRDefault="009A3A90" w:rsidP="008B115A">
      <w:pPr>
        <w:rPr>
          <w:b/>
          <w:bCs/>
          <w:i/>
          <w:iCs/>
        </w:rPr>
      </w:pPr>
      <w:r w:rsidRPr="00C868F2">
        <w:rPr>
          <w:b/>
          <w:bCs/>
        </w:rPr>
        <w:t xml:space="preserve">Conclusion: </w:t>
      </w:r>
      <w:r w:rsidR="00760778" w:rsidRPr="00C868F2">
        <w:t xml:space="preserve">A </w:t>
      </w:r>
      <w:r w:rsidR="000A0033" w:rsidRPr="00C868F2">
        <w:t>safe consumption site</w:t>
      </w:r>
      <w:r w:rsidR="00760778" w:rsidRPr="00C868F2">
        <w:t xml:space="preserve"> in Baltimore </w:t>
      </w:r>
      <w:r w:rsidR="00CB6799" w:rsidRPr="00C868F2">
        <w:t>C</w:t>
      </w:r>
      <w:r w:rsidR="00760778" w:rsidRPr="00C868F2">
        <w:t>ity w</w:t>
      </w:r>
      <w:r w:rsidR="003C1955" w:rsidRPr="00C868F2">
        <w:t>ould</w:t>
      </w:r>
      <w:r w:rsidR="00760778" w:rsidRPr="00C868F2">
        <w:t xml:space="preserve"> save lives and cut down on unnecessary health care costs.</w:t>
      </w:r>
    </w:p>
    <w:p w14:paraId="1AD8B823" w14:textId="77777777" w:rsidR="00F870DE" w:rsidRPr="00C868F2" w:rsidRDefault="00F870DE" w:rsidP="008B115A">
      <w:pPr>
        <w:rPr>
          <w:b/>
          <w:bCs/>
        </w:rPr>
      </w:pPr>
    </w:p>
    <w:p w14:paraId="071CE312" w14:textId="77777777" w:rsidR="00F870DE" w:rsidRPr="00C868F2" w:rsidRDefault="00F870DE" w:rsidP="008B115A">
      <w:pPr>
        <w:rPr>
          <w:b/>
          <w:bCs/>
        </w:rPr>
      </w:pPr>
    </w:p>
    <w:p w14:paraId="419D5780" w14:textId="45A3E38D" w:rsidR="00F870DE" w:rsidRPr="00C868F2" w:rsidRDefault="00F870DE" w:rsidP="008B115A">
      <w:pPr>
        <w:rPr>
          <w:b/>
          <w:bCs/>
        </w:rPr>
      </w:pPr>
    </w:p>
    <w:p w14:paraId="3B5D7A28" w14:textId="098C0B5E" w:rsidR="003C1955" w:rsidRPr="00C868F2" w:rsidRDefault="003C1955" w:rsidP="008B115A">
      <w:pPr>
        <w:rPr>
          <w:b/>
          <w:bCs/>
        </w:rPr>
      </w:pPr>
    </w:p>
    <w:p w14:paraId="5C9CBF1B" w14:textId="045C643A" w:rsidR="00951CBC" w:rsidRPr="00C868F2" w:rsidRDefault="00951CBC" w:rsidP="008B115A">
      <w:pPr>
        <w:rPr>
          <w:b/>
          <w:bCs/>
        </w:rPr>
      </w:pPr>
    </w:p>
    <w:p w14:paraId="677DAA62" w14:textId="5AFE5CF9" w:rsidR="00951CBC" w:rsidRPr="00C868F2" w:rsidRDefault="00951CBC" w:rsidP="008B115A">
      <w:pPr>
        <w:rPr>
          <w:b/>
          <w:bCs/>
        </w:rPr>
      </w:pPr>
    </w:p>
    <w:p w14:paraId="6B41A175" w14:textId="4FDC0003" w:rsidR="00951CBC" w:rsidRPr="00C868F2" w:rsidRDefault="00951CBC" w:rsidP="008B115A">
      <w:pPr>
        <w:rPr>
          <w:b/>
          <w:bCs/>
        </w:rPr>
      </w:pPr>
    </w:p>
    <w:p w14:paraId="45F94C54" w14:textId="07F2192C" w:rsidR="00951CBC" w:rsidRPr="00C868F2" w:rsidRDefault="00951CBC" w:rsidP="008B115A">
      <w:pPr>
        <w:rPr>
          <w:b/>
          <w:bCs/>
        </w:rPr>
      </w:pPr>
    </w:p>
    <w:p w14:paraId="5F0D97A0" w14:textId="77777777" w:rsidR="003C1955" w:rsidRPr="00C868F2" w:rsidRDefault="003C1955" w:rsidP="008B115A"/>
    <w:p w14:paraId="4C32970D" w14:textId="34BCA820" w:rsidR="00100E8E" w:rsidRPr="00C868F2" w:rsidRDefault="00100E8E" w:rsidP="00F76E8F">
      <w:pPr>
        <w:pStyle w:val="Heading1"/>
        <w:spacing w:line="480" w:lineRule="auto"/>
        <w:rPr>
          <w:rFonts w:ascii="Times New Roman" w:hAnsi="Times New Roman" w:cs="Times New Roman"/>
          <w:b/>
          <w:bCs/>
          <w:color w:val="000000" w:themeColor="text1"/>
          <w:sz w:val="24"/>
          <w:szCs w:val="24"/>
        </w:rPr>
      </w:pPr>
      <w:bookmarkStart w:id="0" w:name="_Toc103539021"/>
      <w:r w:rsidRPr="00C868F2">
        <w:rPr>
          <w:rFonts w:ascii="Times New Roman" w:hAnsi="Times New Roman" w:cs="Times New Roman"/>
          <w:b/>
          <w:bCs/>
          <w:color w:val="000000" w:themeColor="text1"/>
          <w:sz w:val="24"/>
          <w:szCs w:val="24"/>
        </w:rPr>
        <w:lastRenderedPageBreak/>
        <w:t>I. Introduction</w:t>
      </w:r>
      <w:bookmarkEnd w:id="0"/>
    </w:p>
    <w:p w14:paraId="4BD9A77D" w14:textId="4AB42E5C" w:rsidR="00100E8E" w:rsidRPr="00C868F2" w:rsidRDefault="00100E8E" w:rsidP="00F76E8F">
      <w:pPr>
        <w:spacing w:line="480" w:lineRule="auto"/>
        <w:ind w:firstLine="720"/>
        <w:rPr>
          <w:color w:val="000000" w:themeColor="text1"/>
        </w:rPr>
      </w:pPr>
      <w:r w:rsidRPr="00C868F2">
        <w:rPr>
          <w:color w:val="000000" w:themeColor="text1"/>
        </w:rPr>
        <w:t xml:space="preserve">Drug overdose fatalities continue to rise in the United States. The CDC’s </w:t>
      </w:r>
      <w:r w:rsidRPr="00C868F2">
        <w:rPr>
          <w:color w:val="000000" w:themeColor="text1"/>
          <w:shd w:val="clear" w:color="auto" w:fill="FFFFFF"/>
        </w:rPr>
        <w:t>National Center for Health Statistics reported an estimated 100,306 drug overdose deaths in the U.S. during</w:t>
      </w:r>
      <w:r w:rsidR="00E32394">
        <w:rPr>
          <w:color w:val="000000" w:themeColor="text1"/>
          <w:shd w:val="clear" w:color="auto" w:fill="FFFFFF"/>
        </w:rPr>
        <w:t xml:space="preserve"> the</w:t>
      </w:r>
      <w:r w:rsidRPr="00C868F2">
        <w:rPr>
          <w:color w:val="000000" w:themeColor="text1"/>
          <w:shd w:val="clear" w:color="auto" w:fill="FFFFFF"/>
        </w:rPr>
        <w:t xml:space="preserve"> 12-month period ending in April 2021 (2021). This shows an increase of 28.5% from the 78,056 deaths during the same period in the year 2020 (CDC, 2021). The opioid and heroin epidemic</w:t>
      </w:r>
      <w:r w:rsidR="00141048" w:rsidRPr="00C868F2">
        <w:rPr>
          <w:color w:val="000000" w:themeColor="text1"/>
          <w:shd w:val="clear" w:color="auto" w:fill="FFFFFF"/>
        </w:rPr>
        <w:t xml:space="preserve"> has increased during the </w:t>
      </w:r>
      <w:r w:rsidR="005F7307" w:rsidRPr="00C868F2">
        <w:rPr>
          <w:color w:val="000000" w:themeColor="text1"/>
          <w:shd w:val="clear" w:color="auto" w:fill="FFFFFF"/>
        </w:rPr>
        <w:t>Covid</w:t>
      </w:r>
      <w:r w:rsidR="00141048" w:rsidRPr="00C868F2">
        <w:rPr>
          <w:color w:val="000000" w:themeColor="text1"/>
          <w:shd w:val="clear" w:color="auto" w:fill="FFFFFF"/>
        </w:rPr>
        <w:t>-19 pandemic</w:t>
      </w:r>
      <w:r w:rsidRPr="00C868F2">
        <w:rPr>
          <w:color w:val="000000" w:themeColor="text1"/>
          <w:shd w:val="clear" w:color="auto" w:fill="FFFFFF"/>
        </w:rPr>
        <w:t xml:space="preserve"> in the U.S. </w:t>
      </w:r>
      <w:r w:rsidR="0033281A" w:rsidRPr="00C868F2">
        <w:rPr>
          <w:color w:val="000000" w:themeColor="text1"/>
          <w:shd w:val="clear" w:color="auto" w:fill="FFFFFF"/>
        </w:rPr>
        <w:t xml:space="preserve">demonstrating </w:t>
      </w:r>
      <w:r w:rsidRPr="00C868F2">
        <w:rPr>
          <w:color w:val="000000" w:themeColor="text1"/>
          <w:shd w:val="clear" w:color="auto" w:fill="FFFFFF"/>
        </w:rPr>
        <w:t>that this is an issue that needs immediate attention and intervention.</w:t>
      </w:r>
      <w:r w:rsidR="00E752EE" w:rsidRPr="00C868F2">
        <w:rPr>
          <w:color w:val="000000" w:themeColor="text1"/>
          <w:shd w:val="clear" w:color="auto" w:fill="FFFFFF"/>
        </w:rPr>
        <w:t xml:space="preserve"> In Baltimore City alone, there was a 13% increase in opioid related deaths from CY 2019 to CY 2020 (Maryland Department of Health, 2021). </w:t>
      </w:r>
      <w:r w:rsidRPr="00C868F2">
        <w:rPr>
          <w:color w:val="000000" w:themeColor="text1"/>
          <w:shd w:val="clear" w:color="auto" w:fill="FFFFFF"/>
        </w:rPr>
        <w:t xml:space="preserve"> In order to decrease the negative externalities associated with the epidemic, a har</w:t>
      </w:r>
      <w:r w:rsidR="0033281A" w:rsidRPr="00C868F2">
        <w:rPr>
          <w:color w:val="000000" w:themeColor="text1"/>
          <w:shd w:val="clear" w:color="auto" w:fill="FFFFFF"/>
        </w:rPr>
        <w:t>m-</w:t>
      </w:r>
      <w:r w:rsidRPr="00C868F2">
        <w:rPr>
          <w:color w:val="000000" w:themeColor="text1"/>
          <w:shd w:val="clear" w:color="auto" w:fill="FFFFFF"/>
        </w:rPr>
        <w:t xml:space="preserve">reduction model could be a potential solution. Safe consumption sites (SCS) are harm reduction tools used to decrease </w:t>
      </w:r>
      <w:r w:rsidRPr="00C868F2">
        <w:rPr>
          <w:color w:val="000000" w:themeColor="text1"/>
        </w:rPr>
        <w:t xml:space="preserve">the direct and indirect harms associated with substance abuse with an emphasis on injection drug use (Vearrier, 2019). Other countries have seen great success with the implementation of this harm reduction tool (Potier, 2014), and the U.S. could be underutilizing this intervention. There are numerous health impacts for people who use drugs (PWUD) and communities alike. Safe consumption sites decrease the barriers to care and treatment for PWUD and are aimed at reaching the most marginalized groups of PWUD. </w:t>
      </w:r>
    </w:p>
    <w:p w14:paraId="77FB311C" w14:textId="6FEF91A0" w:rsidR="00760778" w:rsidRPr="00C868F2" w:rsidRDefault="00100E8E" w:rsidP="00760778">
      <w:pPr>
        <w:spacing w:line="480" w:lineRule="auto"/>
        <w:ind w:firstLine="720"/>
        <w:rPr>
          <w:color w:val="000000" w:themeColor="text1"/>
        </w:rPr>
      </w:pPr>
      <w:r w:rsidRPr="00C868F2">
        <w:rPr>
          <w:color w:val="000000" w:themeColor="text1"/>
        </w:rPr>
        <w:t>Overdose fatalities continue to rise</w:t>
      </w:r>
      <w:r w:rsidR="0033281A" w:rsidRPr="00C868F2">
        <w:rPr>
          <w:color w:val="000000" w:themeColor="text1"/>
        </w:rPr>
        <w:t>. U</w:t>
      </w:r>
      <w:r w:rsidRPr="00C868F2">
        <w:rPr>
          <w:color w:val="000000" w:themeColor="text1"/>
        </w:rPr>
        <w:t>nsafe needle use and disposal as well as public and semi-public injections are still common practices.</w:t>
      </w:r>
      <w:r w:rsidR="000E586F" w:rsidRPr="00C868F2">
        <w:rPr>
          <w:color w:val="000000" w:themeColor="text1"/>
        </w:rPr>
        <w:t xml:space="preserve"> The CDC has estimated that the U.S. spends roughly</w:t>
      </w:r>
      <w:r w:rsidR="00A81590" w:rsidRPr="00C868F2">
        <w:rPr>
          <w:color w:val="000000" w:themeColor="text1"/>
        </w:rPr>
        <w:t xml:space="preserve"> $78.5 billion every year on the opioid and heroin crisis (202</w:t>
      </w:r>
      <w:r w:rsidR="001F615A" w:rsidRPr="00C868F2">
        <w:rPr>
          <w:color w:val="000000" w:themeColor="text1"/>
        </w:rPr>
        <w:t>2</w:t>
      </w:r>
      <w:r w:rsidR="00A81590" w:rsidRPr="00C868F2">
        <w:rPr>
          <w:color w:val="000000" w:themeColor="text1"/>
        </w:rPr>
        <w:t>)</w:t>
      </w:r>
      <w:r w:rsidRPr="00C868F2">
        <w:rPr>
          <w:color w:val="000000" w:themeColor="text1"/>
        </w:rPr>
        <w:t xml:space="preserve">. Even with this large volume of money being spent on decreasing drug trafficking and drug use, there has been no decrease in overdose fatalities in the United States (Osler, 2020). Since the beginning of the </w:t>
      </w:r>
      <w:r w:rsidR="005F7307" w:rsidRPr="00C868F2">
        <w:rPr>
          <w:color w:val="000000" w:themeColor="text1"/>
        </w:rPr>
        <w:t>Covid</w:t>
      </w:r>
      <w:r w:rsidR="00376B24" w:rsidRPr="00C868F2">
        <w:rPr>
          <w:color w:val="000000" w:themeColor="text1"/>
        </w:rPr>
        <w:t>-</w:t>
      </w:r>
      <w:r w:rsidRPr="00C868F2">
        <w:rPr>
          <w:color w:val="000000" w:themeColor="text1"/>
        </w:rPr>
        <w:t>19 pandemic, which has negatively impacted overdose deaths, there has not been an updated cost</w:t>
      </w:r>
      <w:r w:rsidR="00376B24" w:rsidRPr="00C868F2">
        <w:rPr>
          <w:color w:val="000000" w:themeColor="text1"/>
        </w:rPr>
        <w:t>-</w:t>
      </w:r>
      <w:r w:rsidRPr="00C868F2">
        <w:rPr>
          <w:color w:val="000000" w:themeColor="text1"/>
        </w:rPr>
        <w:t xml:space="preserve">benefit analysis (CBA) conducted for Baltimore City, Maryland that looks at the </w:t>
      </w:r>
      <w:r w:rsidRPr="00C868F2">
        <w:rPr>
          <w:color w:val="000000" w:themeColor="text1"/>
        </w:rPr>
        <w:lastRenderedPageBreak/>
        <w:t>costs and savings related to the opioid epidemic.</w:t>
      </w:r>
      <w:r w:rsidR="00760778" w:rsidRPr="00C868F2">
        <w:rPr>
          <w:color w:val="000000" w:themeColor="text1"/>
        </w:rPr>
        <w:t xml:space="preserve"> In 2017, Irwin et al conducted a CBA for a hypothetical</w:t>
      </w:r>
      <w:r w:rsidR="00286DDF" w:rsidRPr="00C868F2">
        <w:rPr>
          <w:color w:val="000000" w:themeColor="text1"/>
        </w:rPr>
        <w:t xml:space="preserve"> SCS</w:t>
      </w:r>
      <w:r w:rsidR="00760778" w:rsidRPr="00C868F2">
        <w:rPr>
          <w:color w:val="000000" w:themeColor="text1"/>
        </w:rPr>
        <w:t xml:space="preserve"> in Baltimore City. They estimated the costs and benefits of opening a SCS based on the number of unintentional fatalities due to heroin overdoses. For my analysis,  I will improve upon th</w:t>
      </w:r>
      <w:r w:rsidR="008C168B" w:rsidRPr="00C868F2">
        <w:rPr>
          <w:color w:val="000000" w:themeColor="text1"/>
        </w:rPr>
        <w:t>e</w:t>
      </w:r>
      <w:r w:rsidR="00760778" w:rsidRPr="00C868F2">
        <w:rPr>
          <w:color w:val="000000" w:themeColor="text1"/>
        </w:rPr>
        <w:t xml:space="preserve"> 2017 study in t</w:t>
      </w:r>
      <w:r w:rsidR="0026041A" w:rsidRPr="00C868F2">
        <w:rPr>
          <w:color w:val="000000" w:themeColor="text1"/>
        </w:rPr>
        <w:t>hree</w:t>
      </w:r>
      <w:r w:rsidR="00760778" w:rsidRPr="00C868F2">
        <w:rPr>
          <w:color w:val="000000" w:themeColor="text1"/>
        </w:rPr>
        <w:t xml:space="preserve"> ways: (a) update the CBA for the </w:t>
      </w:r>
      <w:r w:rsidR="005F7307" w:rsidRPr="00C868F2">
        <w:rPr>
          <w:color w:val="000000" w:themeColor="text1"/>
        </w:rPr>
        <w:t>Covid</w:t>
      </w:r>
      <w:r w:rsidR="00760778" w:rsidRPr="00C868F2">
        <w:rPr>
          <w:color w:val="000000" w:themeColor="text1"/>
        </w:rPr>
        <w:t xml:space="preserve"> </w:t>
      </w:r>
      <w:r w:rsidR="00376B24" w:rsidRPr="00C868F2">
        <w:rPr>
          <w:color w:val="000000" w:themeColor="text1"/>
        </w:rPr>
        <w:t>-</w:t>
      </w:r>
      <w:r w:rsidR="00760778" w:rsidRPr="00C868F2">
        <w:rPr>
          <w:color w:val="000000" w:themeColor="text1"/>
        </w:rPr>
        <w:t>19 pandemic, (b) extend the analysis to all opioid related deaths in Baltimore City</w:t>
      </w:r>
      <w:r w:rsidR="0026041A" w:rsidRPr="00C868F2">
        <w:rPr>
          <w:color w:val="000000" w:themeColor="text1"/>
        </w:rPr>
        <w:t>, and (c) bring the value of a life saved up to date by using the current Department of Health &amp; Human Services</w:t>
      </w:r>
      <w:r w:rsidR="00AD686C" w:rsidRPr="00C868F2">
        <w:rPr>
          <w:color w:val="000000" w:themeColor="text1"/>
        </w:rPr>
        <w:t xml:space="preserve"> (HHS)</w:t>
      </w:r>
      <w:r w:rsidR="0026041A" w:rsidRPr="00C868F2">
        <w:rPr>
          <w:color w:val="000000" w:themeColor="text1"/>
        </w:rPr>
        <w:t xml:space="preserve"> valuation technique</w:t>
      </w:r>
      <w:r w:rsidR="00760778" w:rsidRPr="00C868F2">
        <w:rPr>
          <w:color w:val="000000" w:themeColor="text1"/>
        </w:rPr>
        <w:t xml:space="preserve">. </w:t>
      </w:r>
    </w:p>
    <w:p w14:paraId="7A98030B" w14:textId="6003E3E2" w:rsidR="00760778" w:rsidRPr="00C868F2" w:rsidRDefault="00760778" w:rsidP="00760778">
      <w:pPr>
        <w:pStyle w:val="Heading1"/>
        <w:spacing w:line="480" w:lineRule="auto"/>
        <w:rPr>
          <w:rFonts w:ascii="Times New Roman" w:eastAsiaTheme="minorHAnsi" w:hAnsi="Times New Roman" w:cs="Times New Roman"/>
          <w:b/>
          <w:bCs/>
          <w:color w:val="000000" w:themeColor="text1"/>
          <w:sz w:val="24"/>
          <w:szCs w:val="24"/>
        </w:rPr>
      </w:pPr>
      <w:bookmarkStart w:id="1" w:name="_Toc103539022"/>
      <w:r w:rsidRPr="00C868F2">
        <w:rPr>
          <w:rFonts w:ascii="Times New Roman" w:hAnsi="Times New Roman" w:cs="Times New Roman"/>
          <w:b/>
          <w:bCs/>
          <w:color w:val="000000" w:themeColor="text1"/>
          <w:sz w:val="24"/>
          <w:szCs w:val="24"/>
        </w:rPr>
        <w:t>II. Background &amp; Literature Review</w:t>
      </w:r>
      <w:bookmarkEnd w:id="1"/>
    </w:p>
    <w:p w14:paraId="34B9B136" w14:textId="1D12A309" w:rsidR="00CD1DDF" w:rsidRPr="00C868F2" w:rsidRDefault="00CD1DDF" w:rsidP="00F76E8F">
      <w:pPr>
        <w:spacing w:line="480" w:lineRule="auto"/>
        <w:ind w:firstLine="720"/>
        <w:rPr>
          <w:color w:val="000000" w:themeColor="text1"/>
        </w:rPr>
      </w:pPr>
      <w:r w:rsidRPr="00C868F2">
        <w:rPr>
          <w:color w:val="000000" w:themeColor="text1"/>
        </w:rPr>
        <w:t>Safe consumption sites are a harm reduction tool that is being utilized all over the world with approximately 120 operating sites. In November of 2021, New York City opened the doors to the first sanctioned SCS in the U.S. (Mays &amp; Newman, 2021), and the U.S. News Associated Press released a report saying Rhode Island is not far behind (2021). The majority of the research based on these sites</w:t>
      </w:r>
      <w:r w:rsidR="007F26BD" w:rsidRPr="00C868F2">
        <w:rPr>
          <w:color w:val="000000" w:themeColor="text1"/>
        </w:rPr>
        <w:t xml:space="preserve"> has shown that</w:t>
      </w:r>
      <w:r w:rsidR="00286DDF" w:rsidRPr="00C868F2">
        <w:rPr>
          <w:color w:val="000000" w:themeColor="text1"/>
        </w:rPr>
        <w:t xml:space="preserve"> SCS</w:t>
      </w:r>
      <w:r w:rsidR="007F26BD" w:rsidRPr="00C868F2">
        <w:rPr>
          <w:color w:val="000000" w:themeColor="text1"/>
        </w:rPr>
        <w:t xml:space="preserve"> decrease overdose fatalities, needle sharing related infections, unnecessary emergency service usage, and increases enrollment into medicated assisted treatment</w:t>
      </w:r>
      <w:r w:rsidRPr="00C868F2">
        <w:rPr>
          <w:color w:val="000000" w:themeColor="text1"/>
        </w:rPr>
        <w:t xml:space="preserve"> (Potier et al., 2014). As a harm reduction tool, its goal is to decrease fatal and non</w:t>
      </w:r>
      <w:r w:rsidR="00BA7A0C" w:rsidRPr="00C868F2">
        <w:rPr>
          <w:color w:val="000000" w:themeColor="text1"/>
        </w:rPr>
        <w:t>-</w:t>
      </w:r>
      <w:r w:rsidRPr="00C868F2">
        <w:rPr>
          <w:color w:val="000000" w:themeColor="text1"/>
        </w:rPr>
        <w:t xml:space="preserve">fatal overdoses, needle sharing related infections, and emergency service usage, as well as increase the probability of PWUD enrolling into treatment. </w:t>
      </w:r>
    </w:p>
    <w:p w14:paraId="52D033F7" w14:textId="296CFF53" w:rsidR="00CD1DDF" w:rsidRPr="00C868F2" w:rsidRDefault="00CD1DDF" w:rsidP="00F76E8F">
      <w:pPr>
        <w:pStyle w:val="Heading2"/>
        <w:spacing w:line="480" w:lineRule="auto"/>
        <w:rPr>
          <w:rFonts w:ascii="Times New Roman" w:eastAsia="Times New Roman" w:hAnsi="Times New Roman" w:cs="Times New Roman"/>
          <w:b/>
          <w:bCs/>
          <w:color w:val="000000" w:themeColor="text1"/>
          <w:sz w:val="24"/>
          <w:szCs w:val="24"/>
        </w:rPr>
      </w:pPr>
      <w:bookmarkStart w:id="2" w:name="_Toc103539023"/>
      <w:r w:rsidRPr="00C868F2">
        <w:rPr>
          <w:rFonts w:ascii="Times New Roman" w:eastAsia="Times New Roman" w:hAnsi="Times New Roman" w:cs="Times New Roman"/>
          <w:b/>
          <w:bCs/>
          <w:color w:val="000000" w:themeColor="text1"/>
          <w:sz w:val="24"/>
          <w:szCs w:val="24"/>
        </w:rPr>
        <w:t>Impacts of Safe Consumption site</w:t>
      </w:r>
      <w:bookmarkEnd w:id="2"/>
    </w:p>
    <w:p w14:paraId="18667249" w14:textId="77777777" w:rsidR="00CD1DDF" w:rsidRPr="00C868F2" w:rsidRDefault="00CD1DDF" w:rsidP="00F76E8F">
      <w:pPr>
        <w:spacing w:line="480" w:lineRule="auto"/>
        <w:ind w:firstLine="720"/>
        <w:rPr>
          <w:color w:val="000000" w:themeColor="text1"/>
        </w:rPr>
      </w:pPr>
      <w:r w:rsidRPr="00C868F2">
        <w:rPr>
          <w:color w:val="000000" w:themeColor="text1"/>
        </w:rPr>
        <w:t xml:space="preserve">Safe consumption sites operate under the harm reduction model meaning their intended use is to decrease the </w:t>
      </w:r>
      <w:r w:rsidR="007F26BD" w:rsidRPr="00C868F2">
        <w:rPr>
          <w:color w:val="000000" w:themeColor="text1"/>
        </w:rPr>
        <w:t>harms</w:t>
      </w:r>
      <w:r w:rsidRPr="00C868F2">
        <w:rPr>
          <w:color w:val="000000" w:themeColor="text1"/>
        </w:rPr>
        <w:t xml:space="preserve"> associated with substance abuse. The sites have the ability to impact individuals and communities alike by increasing public health and decreasing the direct and indirect harms associated with substance abuse. </w:t>
      </w:r>
    </w:p>
    <w:p w14:paraId="2D3B0F0C" w14:textId="1D50C6F1" w:rsidR="00CD1DDF" w:rsidRPr="00C868F2" w:rsidRDefault="00CD1DDF" w:rsidP="00F76E8F">
      <w:pPr>
        <w:pStyle w:val="Heading3"/>
        <w:spacing w:line="480" w:lineRule="auto"/>
        <w:rPr>
          <w:rFonts w:ascii="Times New Roman" w:eastAsia="Times New Roman" w:hAnsi="Times New Roman" w:cs="Times New Roman"/>
          <w:b/>
          <w:bCs/>
          <w:color w:val="000000" w:themeColor="text1"/>
        </w:rPr>
      </w:pPr>
      <w:bookmarkStart w:id="3" w:name="_Toc103539024"/>
      <w:r w:rsidRPr="00C868F2">
        <w:rPr>
          <w:rFonts w:ascii="Times New Roman" w:eastAsia="Times New Roman" w:hAnsi="Times New Roman" w:cs="Times New Roman"/>
          <w:b/>
          <w:bCs/>
          <w:color w:val="000000" w:themeColor="text1"/>
        </w:rPr>
        <w:lastRenderedPageBreak/>
        <w:t>Personal Impacts for Users</w:t>
      </w:r>
      <w:bookmarkEnd w:id="3"/>
    </w:p>
    <w:p w14:paraId="4DBCFF7F" w14:textId="262E58FD" w:rsidR="00CD1DDF" w:rsidRPr="00C868F2" w:rsidRDefault="00CD1DDF" w:rsidP="00F76E8F">
      <w:pPr>
        <w:spacing w:line="480" w:lineRule="auto"/>
        <w:ind w:firstLine="720"/>
        <w:rPr>
          <w:color w:val="000000" w:themeColor="text1"/>
        </w:rPr>
      </w:pPr>
      <w:r w:rsidRPr="00C868F2">
        <w:rPr>
          <w:color w:val="000000" w:themeColor="text1"/>
        </w:rPr>
        <w:t xml:space="preserve">Safe consumption sites are intended to reach the most marginalized groups of PWUD and decrease their risk of overdose, viral and bacterial infections, as well as increase their access to treatment. Evidence shows that SCS decrease fatal and non </w:t>
      </w:r>
      <w:r w:rsidR="00376B24" w:rsidRPr="00C868F2">
        <w:rPr>
          <w:color w:val="000000" w:themeColor="text1"/>
        </w:rPr>
        <w:t>-</w:t>
      </w:r>
      <w:r w:rsidRPr="00C868F2">
        <w:rPr>
          <w:color w:val="000000" w:themeColor="text1"/>
        </w:rPr>
        <w:t xml:space="preserve">fatal overdoses, needle sharing related infections, and increase enrollment into treatment (Potier et al., 2014). </w:t>
      </w:r>
    </w:p>
    <w:p w14:paraId="66A2978E" w14:textId="5AE55497" w:rsidR="00CD1DDF" w:rsidRPr="00C868F2" w:rsidRDefault="00CD1DDF" w:rsidP="00F76E8F">
      <w:pPr>
        <w:pStyle w:val="Heading4"/>
        <w:spacing w:line="480" w:lineRule="auto"/>
        <w:rPr>
          <w:rFonts w:ascii="Times New Roman" w:eastAsia="Times New Roman" w:hAnsi="Times New Roman" w:cs="Times New Roman"/>
          <w:b/>
          <w:bCs/>
          <w:color w:val="000000" w:themeColor="text1"/>
        </w:rPr>
      </w:pPr>
      <w:r w:rsidRPr="00C868F2">
        <w:rPr>
          <w:rFonts w:ascii="Times New Roman" w:eastAsia="Times New Roman" w:hAnsi="Times New Roman" w:cs="Times New Roman"/>
          <w:b/>
          <w:bCs/>
          <w:color w:val="000000" w:themeColor="text1"/>
        </w:rPr>
        <w:t xml:space="preserve">Fatal and Non </w:t>
      </w:r>
      <w:r w:rsidR="00376B24" w:rsidRPr="00C868F2">
        <w:rPr>
          <w:rFonts w:ascii="Times New Roman" w:eastAsia="Times New Roman" w:hAnsi="Times New Roman" w:cs="Times New Roman"/>
          <w:b/>
          <w:bCs/>
          <w:color w:val="000000" w:themeColor="text1"/>
        </w:rPr>
        <w:t>-</w:t>
      </w:r>
      <w:r w:rsidRPr="00C868F2">
        <w:rPr>
          <w:rFonts w:ascii="Times New Roman" w:eastAsia="Times New Roman" w:hAnsi="Times New Roman" w:cs="Times New Roman"/>
          <w:b/>
          <w:bCs/>
          <w:color w:val="000000" w:themeColor="text1"/>
        </w:rPr>
        <w:t xml:space="preserve">Fatal Overdoses </w:t>
      </w:r>
    </w:p>
    <w:p w14:paraId="069D1C6C" w14:textId="3A36F634" w:rsidR="00CD1DDF" w:rsidRPr="00C868F2" w:rsidRDefault="00CD1DDF" w:rsidP="00F76E8F">
      <w:pPr>
        <w:spacing w:line="480" w:lineRule="auto"/>
        <w:ind w:firstLine="720"/>
        <w:rPr>
          <w:color w:val="000000" w:themeColor="text1"/>
        </w:rPr>
      </w:pPr>
      <w:r w:rsidRPr="00C868F2">
        <w:rPr>
          <w:color w:val="000000" w:themeColor="text1"/>
        </w:rPr>
        <w:t>Available literature surrounding SCSs show that there have been no reported deaths at a SCS (Potier et al</w:t>
      </w:r>
      <w:r w:rsidR="004F536D">
        <w:rPr>
          <w:color w:val="000000" w:themeColor="text1"/>
        </w:rPr>
        <w:t>.</w:t>
      </w:r>
      <w:r w:rsidRPr="00C868F2">
        <w:rPr>
          <w:color w:val="000000" w:themeColor="text1"/>
        </w:rPr>
        <w:t>, 2014). In 2003, Vancouver, Canada opened its first safe consumption site. Since then, overdose deaths near the site decreased from 253 to 165 per 100,000 pe</w:t>
      </w:r>
      <w:r w:rsidR="007F26BD" w:rsidRPr="00C868F2">
        <w:rPr>
          <w:color w:val="000000" w:themeColor="text1"/>
        </w:rPr>
        <w:t>rsons living near the site</w:t>
      </w:r>
      <w:r w:rsidRPr="00C868F2">
        <w:rPr>
          <w:color w:val="000000" w:themeColor="text1"/>
        </w:rPr>
        <w:t xml:space="preserve"> annually</w:t>
      </w:r>
      <w:r w:rsidR="007F26BD" w:rsidRPr="00C868F2">
        <w:rPr>
          <w:color w:val="000000" w:themeColor="text1"/>
        </w:rPr>
        <w:t xml:space="preserve"> </w:t>
      </w:r>
      <w:r w:rsidRPr="00C868F2">
        <w:rPr>
          <w:color w:val="000000" w:themeColor="text1"/>
          <w:shd w:val="clear" w:color="auto" w:fill="FFFFFF"/>
        </w:rPr>
        <w:t xml:space="preserve">(Ng, et al., 2017). </w:t>
      </w:r>
      <w:r w:rsidRPr="00C868F2">
        <w:rPr>
          <w:color w:val="000000" w:themeColor="text1"/>
        </w:rPr>
        <w:t>This success is not isolated to Vancouver. The NYC Department of Health and Mental Hygiene put out a press release saying the SCS in NYC averted 59 overdoses within the first three weeks of operation (2021). One reason for this success can be brought back to the medical staff onsite that have the ability to reverse overdoses using overdose reversal drugs and other treatment strategies such as oxygen treatment. Another factor associated with a decrease in overdoses is the PWUD ability to inject their drugs slowly and without fear of being caught. At an unsanctioned safe consumption site in the U.S., over 80</w:t>
      </w:r>
      <w:r w:rsidR="00944B71" w:rsidRPr="00C868F2">
        <w:rPr>
          <w:color w:val="000000" w:themeColor="text1"/>
        </w:rPr>
        <w:t>%</w:t>
      </w:r>
      <w:r w:rsidR="00251E1E">
        <w:rPr>
          <w:color w:val="000000" w:themeColor="text1"/>
        </w:rPr>
        <w:t xml:space="preserve"> </w:t>
      </w:r>
      <w:r w:rsidRPr="00C868F2">
        <w:rPr>
          <w:color w:val="000000" w:themeColor="text1"/>
        </w:rPr>
        <w:t xml:space="preserve">of the clients reported having to rush injections when not using the site (Kral &amp; Davidson, 2017). Safe consumption sites give PWUD a sense of security because PWUD are safe from arrests and criminalization related to their drug use while visiting the site. Staff onsite also educate users on safe injection practices which helps decrease the probability of overdose as well as infections. </w:t>
      </w:r>
    </w:p>
    <w:p w14:paraId="54581C0C" w14:textId="77777777" w:rsidR="00CD1DDF" w:rsidRPr="00C868F2" w:rsidRDefault="00CD1DDF" w:rsidP="00F76E8F">
      <w:pPr>
        <w:pStyle w:val="Heading4"/>
        <w:spacing w:line="480" w:lineRule="auto"/>
        <w:rPr>
          <w:rFonts w:ascii="Times New Roman" w:eastAsia="Times New Roman" w:hAnsi="Times New Roman" w:cs="Times New Roman"/>
          <w:b/>
          <w:bCs/>
          <w:color w:val="000000" w:themeColor="text1"/>
        </w:rPr>
      </w:pPr>
      <w:r w:rsidRPr="00C868F2">
        <w:rPr>
          <w:rFonts w:ascii="Times New Roman" w:eastAsia="Times New Roman" w:hAnsi="Times New Roman" w:cs="Times New Roman"/>
          <w:b/>
          <w:bCs/>
          <w:color w:val="000000" w:themeColor="text1"/>
        </w:rPr>
        <w:t>Needle Sharing Related Infections</w:t>
      </w:r>
    </w:p>
    <w:p w14:paraId="5338D6C5" w14:textId="77777777" w:rsidR="00CD1DDF" w:rsidRPr="00C868F2" w:rsidRDefault="00CD1DDF" w:rsidP="00F76E8F">
      <w:pPr>
        <w:spacing w:line="480" w:lineRule="auto"/>
        <w:ind w:firstLine="720"/>
        <w:rPr>
          <w:color w:val="000000" w:themeColor="text1"/>
        </w:rPr>
      </w:pPr>
      <w:r w:rsidRPr="00C868F2">
        <w:rPr>
          <w:color w:val="000000" w:themeColor="text1"/>
        </w:rPr>
        <w:t xml:space="preserve">The impact of safe consumption sites on needle sharing related infections like HIV and </w:t>
      </w:r>
      <w:r w:rsidR="00D45FB2" w:rsidRPr="00C868F2">
        <w:rPr>
          <w:color w:val="000000" w:themeColor="text1"/>
        </w:rPr>
        <w:t>HCV</w:t>
      </w:r>
      <w:r w:rsidRPr="00C868F2">
        <w:rPr>
          <w:color w:val="000000" w:themeColor="text1"/>
        </w:rPr>
        <w:t xml:space="preserve"> are largely dependent on the state’s rate of transmission. In areas with a high prevalence of </w:t>
      </w:r>
      <w:r w:rsidRPr="00C868F2">
        <w:rPr>
          <w:color w:val="000000" w:themeColor="text1"/>
        </w:rPr>
        <w:lastRenderedPageBreak/>
        <w:t xml:space="preserve">needle sharing and high HIV and </w:t>
      </w:r>
      <w:r w:rsidR="00D45FB2" w:rsidRPr="00C868F2">
        <w:rPr>
          <w:color w:val="000000" w:themeColor="text1"/>
        </w:rPr>
        <w:t>HCV</w:t>
      </w:r>
      <w:r w:rsidRPr="00C868F2">
        <w:rPr>
          <w:color w:val="000000" w:themeColor="text1"/>
        </w:rPr>
        <w:t xml:space="preserve"> transmission rates,  SCS’s are going to have the most impact when it comes to decreasing infections. Risky needle sharing behaviors are the main contributing factor for higher rates of HIV and </w:t>
      </w:r>
      <w:r w:rsidR="00D45FB2" w:rsidRPr="00C868F2">
        <w:rPr>
          <w:color w:val="000000" w:themeColor="text1"/>
        </w:rPr>
        <w:t>HCV</w:t>
      </w:r>
      <w:r w:rsidRPr="00C868F2">
        <w:rPr>
          <w:color w:val="000000" w:themeColor="text1"/>
        </w:rPr>
        <w:t xml:space="preserve"> in PWUD (Belackova et al., 2018).  Safe consumption sites aim to educate users on safe injection practices, offer clean injection supplies, and proper needle disposal in order to decrease transmission. </w:t>
      </w:r>
    </w:p>
    <w:p w14:paraId="4694184F" w14:textId="77777777" w:rsidR="00CD1DDF" w:rsidRPr="00C868F2" w:rsidRDefault="00CD1DDF" w:rsidP="00F76E8F">
      <w:pPr>
        <w:pStyle w:val="Heading4"/>
        <w:spacing w:line="480" w:lineRule="auto"/>
        <w:rPr>
          <w:rFonts w:ascii="Times New Roman" w:eastAsia="Times New Roman" w:hAnsi="Times New Roman" w:cs="Times New Roman"/>
          <w:b/>
          <w:bCs/>
          <w:color w:val="000000" w:themeColor="text1"/>
        </w:rPr>
      </w:pPr>
      <w:r w:rsidRPr="00C868F2">
        <w:rPr>
          <w:rFonts w:ascii="Times New Roman" w:eastAsia="Times New Roman" w:hAnsi="Times New Roman" w:cs="Times New Roman"/>
          <w:b/>
          <w:bCs/>
          <w:color w:val="000000" w:themeColor="text1"/>
        </w:rPr>
        <w:t xml:space="preserve">Rehabilitation </w:t>
      </w:r>
    </w:p>
    <w:p w14:paraId="3A75793F" w14:textId="3BF0CF6F" w:rsidR="00CC76BF" w:rsidRPr="00C868F2" w:rsidRDefault="00CD1DDF" w:rsidP="00F76E8F">
      <w:pPr>
        <w:spacing w:line="480" w:lineRule="auto"/>
        <w:ind w:firstLine="720"/>
        <w:rPr>
          <w:color w:val="000000" w:themeColor="text1"/>
        </w:rPr>
      </w:pPr>
      <w:r w:rsidRPr="00C868F2">
        <w:rPr>
          <w:color w:val="000000" w:themeColor="text1"/>
        </w:rPr>
        <w:t>A secondary benefit for individuals who use SCS’s is the access to resources for medicated assisted treatment programs as well as rehabilitation programs. In the city of Vancouver, a 2007 study found that injection drug users who used the local SCS were 30% more likely to enter detoxification services after the sites opening (Wood, et al., 2007).</w:t>
      </w:r>
      <w:r w:rsidR="007F26BD" w:rsidRPr="00C868F2">
        <w:rPr>
          <w:color w:val="000000" w:themeColor="text1"/>
        </w:rPr>
        <w:t xml:space="preserve"> </w:t>
      </w:r>
      <w:r w:rsidRPr="00C868F2">
        <w:rPr>
          <w:color w:val="000000" w:themeColor="text1"/>
        </w:rPr>
        <w:t xml:space="preserve"> The researchers used a Cox regression to determine whether or not the SCS was the cause of enrollment into detoxification services (Wood, et al., 2007).</w:t>
      </w:r>
      <w:r w:rsidR="007F26BD" w:rsidRPr="00C868F2">
        <w:rPr>
          <w:color w:val="000000" w:themeColor="text1"/>
        </w:rPr>
        <w:t xml:space="preserve"> The increased likelihood of entering detoxification services might be especially valuable given that SCS users end to be young. </w:t>
      </w:r>
      <w:r w:rsidRPr="00C868F2">
        <w:rPr>
          <w:color w:val="000000" w:themeColor="text1"/>
        </w:rPr>
        <w:t>In 2019, another group of researchers found that on average, frequent users of the SCS in Vancouver were younger than non</w:t>
      </w:r>
      <w:r w:rsidR="00F74CEA" w:rsidRPr="00C868F2">
        <w:rPr>
          <w:color w:val="000000" w:themeColor="text1"/>
        </w:rPr>
        <w:t>-</w:t>
      </w:r>
      <w:r w:rsidRPr="00C868F2">
        <w:rPr>
          <w:color w:val="000000" w:themeColor="text1"/>
        </w:rPr>
        <w:t xml:space="preserve">frequent users (Kennedy et al., 2019). This finding was not unique to this study. In the city of Ottawa, Canada an SCS is accountable for tracking services and reporting quarterly results to the Ontario Provincial Government (DelVillano et al., 2019). Their report shows that 75% of their clients identified as male and most (60%) were between 25 and 45 years old (DelVillano et al., 2019). </w:t>
      </w:r>
      <w:r w:rsidR="00C7113A" w:rsidRPr="00C868F2">
        <w:rPr>
          <w:color w:val="000000" w:themeColor="text1"/>
        </w:rPr>
        <w:t xml:space="preserve">Additionally, 12% of clients reported they were between 18 to 25 years old (DelVillano et al., </w:t>
      </w:r>
      <w:r w:rsidRPr="00C868F2">
        <w:rPr>
          <w:color w:val="000000" w:themeColor="text1"/>
        </w:rPr>
        <w:t xml:space="preserve">2019). This is an important aspect to note considering that users who frequent the SCS’s are younger and more likely to enroll into detoxification programs showing that the negative externalities associated with early substance </w:t>
      </w:r>
      <w:r w:rsidRPr="00C868F2">
        <w:rPr>
          <w:color w:val="000000" w:themeColor="text1"/>
        </w:rPr>
        <w:lastRenderedPageBreak/>
        <w:t xml:space="preserve">abuse can potentially be mitigated for younger users which can increase their chances of recovering and becoming more productive members of society. </w:t>
      </w:r>
    </w:p>
    <w:p w14:paraId="47B94AF7" w14:textId="3FE7F482" w:rsidR="00CD1DDF" w:rsidRPr="00C868F2" w:rsidRDefault="00CD1DDF" w:rsidP="00F76E8F">
      <w:pPr>
        <w:pStyle w:val="Heading3"/>
        <w:spacing w:line="480" w:lineRule="auto"/>
        <w:rPr>
          <w:rFonts w:ascii="Times New Roman" w:eastAsia="Times New Roman" w:hAnsi="Times New Roman" w:cs="Times New Roman"/>
          <w:b/>
          <w:bCs/>
          <w:color w:val="000000" w:themeColor="text1"/>
        </w:rPr>
      </w:pPr>
      <w:bookmarkStart w:id="4" w:name="_Toc103539025"/>
      <w:r w:rsidRPr="00C868F2">
        <w:rPr>
          <w:rFonts w:ascii="Times New Roman" w:eastAsia="Times New Roman" w:hAnsi="Times New Roman" w:cs="Times New Roman"/>
          <w:b/>
          <w:bCs/>
          <w:color w:val="000000" w:themeColor="text1"/>
        </w:rPr>
        <w:t>Impacts on Communities</w:t>
      </w:r>
      <w:bookmarkEnd w:id="4"/>
      <w:r w:rsidRPr="00C868F2">
        <w:rPr>
          <w:rFonts w:ascii="Times New Roman" w:eastAsia="Times New Roman" w:hAnsi="Times New Roman" w:cs="Times New Roman"/>
          <w:b/>
          <w:bCs/>
          <w:color w:val="000000" w:themeColor="text1"/>
        </w:rPr>
        <w:t xml:space="preserve"> </w:t>
      </w:r>
    </w:p>
    <w:p w14:paraId="2A7DC0D8" w14:textId="43077828" w:rsidR="00CD1DDF" w:rsidRPr="00C868F2" w:rsidRDefault="00CD1DDF" w:rsidP="00F76E8F">
      <w:pPr>
        <w:spacing w:line="480" w:lineRule="auto"/>
        <w:ind w:firstLine="720"/>
        <w:rPr>
          <w:color w:val="000000" w:themeColor="text1"/>
        </w:rPr>
      </w:pPr>
      <w:r w:rsidRPr="00C868F2">
        <w:rPr>
          <w:color w:val="000000" w:themeColor="text1"/>
        </w:rPr>
        <w:t xml:space="preserve">Safe consumption sites have the ability to address the public health issues related to the opioid and heroin epidemic that effect communities. When PWUD have no safe place to use, public and semi </w:t>
      </w:r>
      <w:r w:rsidR="00376B24" w:rsidRPr="00C868F2">
        <w:rPr>
          <w:color w:val="000000" w:themeColor="text1"/>
        </w:rPr>
        <w:t>-</w:t>
      </w:r>
      <w:r w:rsidRPr="00C868F2">
        <w:rPr>
          <w:color w:val="000000" w:themeColor="text1"/>
        </w:rPr>
        <w:t xml:space="preserve">public injections are their only options. With public and semi </w:t>
      </w:r>
      <w:r w:rsidR="00376B24" w:rsidRPr="00C868F2">
        <w:rPr>
          <w:color w:val="000000" w:themeColor="text1"/>
        </w:rPr>
        <w:t>-</w:t>
      </w:r>
      <w:r w:rsidRPr="00C868F2">
        <w:rPr>
          <w:color w:val="000000" w:themeColor="text1"/>
        </w:rPr>
        <w:t xml:space="preserve">public injection comes improper needle disposal which includes practices such as littering used syringes, selling used syringes, or giving away used syringes.  Improper needle disposal is not only an issue for PWUD but also for people who live in communities with a high prevalence of injection drug use. Common places for PWUD to inject include public restrooms, parking lots, stairwells, abandoned buildings, and parks.  Over a two year period, an unsanctioned safe consumption site in an anonymous city in the U.S. reported to have averted 2,300 instances of public injection in the neighborhood (Kral, et al., 2017). </w:t>
      </w:r>
    </w:p>
    <w:p w14:paraId="355BF383" w14:textId="3BB5BC74" w:rsidR="00CD1DDF" w:rsidRPr="00C868F2" w:rsidRDefault="00CD1DDF" w:rsidP="00F76E8F">
      <w:pPr>
        <w:pStyle w:val="Heading2"/>
        <w:spacing w:line="480" w:lineRule="auto"/>
        <w:rPr>
          <w:rFonts w:ascii="Times New Roman" w:eastAsia="Times New Roman" w:hAnsi="Times New Roman" w:cs="Times New Roman"/>
          <w:b/>
          <w:bCs/>
          <w:color w:val="000000" w:themeColor="text1"/>
          <w:sz w:val="24"/>
          <w:szCs w:val="24"/>
        </w:rPr>
      </w:pPr>
      <w:bookmarkStart w:id="5" w:name="_Toc103539026"/>
      <w:r w:rsidRPr="00C868F2">
        <w:rPr>
          <w:rFonts w:ascii="Times New Roman" w:eastAsia="Times New Roman" w:hAnsi="Times New Roman" w:cs="Times New Roman"/>
          <w:b/>
          <w:bCs/>
          <w:color w:val="000000" w:themeColor="text1"/>
          <w:sz w:val="24"/>
          <w:szCs w:val="24"/>
        </w:rPr>
        <w:t>Impacts on Hospitals</w:t>
      </w:r>
      <w:bookmarkEnd w:id="5"/>
    </w:p>
    <w:p w14:paraId="2399C8A6" w14:textId="5EFECFFE" w:rsidR="00CD1DDF" w:rsidRPr="00C868F2" w:rsidRDefault="00BA7A0C" w:rsidP="00F76E8F">
      <w:pPr>
        <w:spacing w:line="480" w:lineRule="auto"/>
        <w:ind w:firstLine="720"/>
        <w:rPr>
          <w:color w:val="000000" w:themeColor="text1"/>
        </w:rPr>
      </w:pPr>
      <w:r w:rsidRPr="00C868F2">
        <w:rPr>
          <w:color w:val="000000" w:themeColor="text1"/>
        </w:rPr>
        <w:t xml:space="preserve">Emergency departments all around the country experience overcrowding which has only gotten worse during the </w:t>
      </w:r>
      <w:r w:rsidR="005F7307" w:rsidRPr="00C868F2">
        <w:rPr>
          <w:color w:val="000000" w:themeColor="text1"/>
        </w:rPr>
        <w:t>Covid</w:t>
      </w:r>
      <w:r w:rsidRPr="00C868F2">
        <w:rPr>
          <w:color w:val="000000" w:themeColor="text1"/>
        </w:rPr>
        <w:t xml:space="preserve"> </w:t>
      </w:r>
      <w:r w:rsidR="00376B24" w:rsidRPr="00C868F2">
        <w:rPr>
          <w:color w:val="000000" w:themeColor="text1"/>
        </w:rPr>
        <w:t>-</w:t>
      </w:r>
      <w:r w:rsidRPr="00C868F2">
        <w:rPr>
          <w:color w:val="000000" w:themeColor="text1"/>
        </w:rPr>
        <w:t>19 pandemic implying that resources for people with non-</w:t>
      </w:r>
      <w:r w:rsidR="005F7307" w:rsidRPr="00C868F2">
        <w:rPr>
          <w:color w:val="000000" w:themeColor="text1"/>
        </w:rPr>
        <w:t>Covid</w:t>
      </w:r>
      <w:r w:rsidRPr="00C868F2">
        <w:rPr>
          <w:color w:val="000000" w:themeColor="text1"/>
        </w:rPr>
        <w:t xml:space="preserve"> related emergencies is scarce. </w:t>
      </w:r>
      <w:r w:rsidR="00CD1DDF" w:rsidRPr="00C868F2">
        <w:rPr>
          <w:color w:val="000000" w:themeColor="text1"/>
        </w:rPr>
        <w:t>Regardless of ability to pay and insurance status, all patients who enter an emergency department are required to be seen and stabilized before being discharged according to the Centers for Medicare &amp; Medicaid Services (2021). In 2020, approximately 28 million people were uninsured (Keisler-Starkey &amp; Bunch, 2021). Safe consumption sites have the ability to lessen this burden on hospitals by treating and preventing overdoses and infections</w:t>
      </w:r>
      <w:r w:rsidR="00D45FB2" w:rsidRPr="00C868F2">
        <w:rPr>
          <w:color w:val="000000" w:themeColor="text1"/>
        </w:rPr>
        <w:t xml:space="preserve"> thus decreasing preventable emergency service usage</w:t>
      </w:r>
      <w:r w:rsidR="00CD1DDF" w:rsidRPr="00C868F2">
        <w:rPr>
          <w:color w:val="000000" w:themeColor="text1"/>
        </w:rPr>
        <w:t xml:space="preserve">. </w:t>
      </w:r>
    </w:p>
    <w:p w14:paraId="5DB35CE6" w14:textId="6CE8A191" w:rsidR="00CD1DDF" w:rsidRPr="00C868F2" w:rsidRDefault="00CD1DDF" w:rsidP="00F76E8F">
      <w:pPr>
        <w:pStyle w:val="Heading3"/>
        <w:spacing w:line="480" w:lineRule="auto"/>
        <w:rPr>
          <w:rFonts w:ascii="Times New Roman" w:eastAsia="Times New Roman" w:hAnsi="Times New Roman" w:cs="Times New Roman"/>
          <w:b/>
          <w:bCs/>
          <w:i/>
          <w:iCs/>
          <w:color w:val="000000" w:themeColor="text1"/>
        </w:rPr>
      </w:pPr>
      <w:bookmarkStart w:id="6" w:name="_Toc103539027"/>
      <w:r w:rsidRPr="00C868F2">
        <w:rPr>
          <w:rFonts w:ascii="Times New Roman" w:eastAsia="Times New Roman" w:hAnsi="Times New Roman" w:cs="Times New Roman"/>
          <w:b/>
          <w:bCs/>
          <w:i/>
          <w:iCs/>
          <w:color w:val="000000" w:themeColor="text1"/>
        </w:rPr>
        <w:lastRenderedPageBreak/>
        <w:t>Emergency Medical Service Use</w:t>
      </w:r>
      <w:bookmarkEnd w:id="6"/>
    </w:p>
    <w:p w14:paraId="44FFC02B" w14:textId="20529E75" w:rsidR="00CD1DDF" w:rsidRPr="00C868F2" w:rsidRDefault="00CD1DDF" w:rsidP="00F76E8F">
      <w:pPr>
        <w:spacing w:line="480" w:lineRule="auto"/>
        <w:ind w:firstLine="720"/>
        <w:rPr>
          <w:color w:val="000000" w:themeColor="text1"/>
        </w:rPr>
      </w:pPr>
      <w:r w:rsidRPr="00C868F2">
        <w:rPr>
          <w:color w:val="000000" w:themeColor="text1"/>
        </w:rPr>
        <w:t>Because medical staff is present onsite at the SCS with equipment, there is less of a need for emergency medical services to be deployed. Overdoses have the ability to be treated without emergency service utilization outside of the medical staff at the SCS. In 2008, a research study was published that used an ecological study of the patterns associated with ambulance use among opioid related overdoses before and after Sydney, Australia opened an SCS (Salmon et al., 2010). The study found that ambulance utilization decreased by 68% in the vicinity of the SCS which was a</w:t>
      </w:r>
      <w:r w:rsidR="007F098D" w:rsidRPr="00C868F2">
        <w:rPr>
          <w:color w:val="000000" w:themeColor="text1"/>
        </w:rPr>
        <w:t xml:space="preserve"> 7%</w:t>
      </w:r>
      <w:r w:rsidRPr="00C868F2">
        <w:rPr>
          <w:color w:val="000000" w:themeColor="text1"/>
        </w:rPr>
        <w:t xml:space="preserve"> greater decrease than what was observed in the rest of New South Wales</w:t>
      </w:r>
      <w:r w:rsidR="007F098D" w:rsidRPr="00C868F2">
        <w:rPr>
          <w:color w:val="000000" w:themeColor="text1"/>
        </w:rPr>
        <w:t xml:space="preserve"> </w:t>
      </w:r>
      <w:r w:rsidRPr="00C868F2">
        <w:rPr>
          <w:color w:val="000000" w:themeColor="text1"/>
        </w:rPr>
        <w:t xml:space="preserve">(Salmon et al., 2010). A similar study conducted using data from near a Vancouver SCS shows similar results. The average monthly ambulance calls that required naloxone treatment for suspected overdoses had </w:t>
      </w:r>
      <w:r w:rsidR="00B51D2D" w:rsidRPr="00C868F2">
        <w:rPr>
          <w:color w:val="000000" w:themeColor="text1"/>
        </w:rPr>
        <w:t>decreased by</w:t>
      </w:r>
      <w:r w:rsidRPr="00C868F2">
        <w:rPr>
          <w:color w:val="000000" w:themeColor="text1"/>
        </w:rPr>
        <w:t xml:space="preserve"> 67% (Ng, et al., 2017). </w:t>
      </w:r>
    </w:p>
    <w:p w14:paraId="227BF895" w14:textId="56E584B2" w:rsidR="00CD1DDF" w:rsidRPr="00C868F2" w:rsidRDefault="00CD1DDF" w:rsidP="00F76E8F">
      <w:pPr>
        <w:pStyle w:val="Heading3"/>
        <w:spacing w:line="480" w:lineRule="auto"/>
        <w:rPr>
          <w:rFonts w:ascii="Times New Roman" w:eastAsia="Times New Roman" w:hAnsi="Times New Roman" w:cs="Times New Roman"/>
          <w:b/>
          <w:bCs/>
          <w:i/>
          <w:iCs/>
          <w:color w:val="000000" w:themeColor="text1"/>
        </w:rPr>
      </w:pPr>
      <w:r w:rsidRPr="00C868F2">
        <w:rPr>
          <w:rFonts w:ascii="Times New Roman" w:eastAsia="Times New Roman" w:hAnsi="Times New Roman" w:cs="Times New Roman"/>
          <w:b/>
          <w:bCs/>
          <w:color w:val="000000" w:themeColor="text1"/>
        </w:rPr>
        <w:t xml:space="preserve"> </w:t>
      </w:r>
      <w:bookmarkStart w:id="7" w:name="_Toc103539028"/>
      <w:r w:rsidRPr="00C868F2">
        <w:rPr>
          <w:rFonts w:ascii="Times New Roman" w:eastAsia="Times New Roman" w:hAnsi="Times New Roman" w:cs="Times New Roman"/>
          <w:b/>
          <w:bCs/>
          <w:i/>
          <w:iCs/>
          <w:color w:val="000000" w:themeColor="text1"/>
        </w:rPr>
        <w:t>Emergency Room Use and Inpatient Hospital Admissions</w:t>
      </w:r>
      <w:bookmarkEnd w:id="7"/>
    </w:p>
    <w:p w14:paraId="08FC2022" w14:textId="45D06BEE" w:rsidR="00CC76BF" w:rsidRPr="00C868F2" w:rsidRDefault="00CD1DDF" w:rsidP="00F76E8F">
      <w:pPr>
        <w:spacing w:line="480" w:lineRule="auto"/>
        <w:ind w:firstLine="720"/>
        <w:rPr>
          <w:color w:val="000000" w:themeColor="text1"/>
        </w:rPr>
      </w:pPr>
      <w:r w:rsidRPr="00C868F2">
        <w:rPr>
          <w:color w:val="000000" w:themeColor="text1"/>
        </w:rPr>
        <w:t>Another added benefit of having medical staff present at the SCS is that they have the ability to treat wounds and minor infections before they become serious and require severe medical attention that results in a trip to the emergency room. These sites also reduce skin and soft tissue infections</w:t>
      </w:r>
      <w:r w:rsidR="00D45FB2" w:rsidRPr="00C868F2">
        <w:rPr>
          <w:color w:val="000000" w:themeColor="text1"/>
        </w:rPr>
        <w:t xml:space="preserve"> (SSTI)</w:t>
      </w:r>
      <w:r w:rsidRPr="00C868F2">
        <w:rPr>
          <w:color w:val="000000" w:themeColor="text1"/>
        </w:rPr>
        <w:t xml:space="preserve"> because there are medical staff on site that provide wound care and medical referrals to treat infections before they become serious. In Vancouver, they found that hospital stays from </w:t>
      </w:r>
      <w:r w:rsidR="00B512DB">
        <w:rPr>
          <w:color w:val="000000" w:themeColor="text1"/>
        </w:rPr>
        <w:t>Insite</w:t>
      </w:r>
      <w:r w:rsidRPr="00C868F2">
        <w:rPr>
          <w:color w:val="000000" w:themeColor="text1"/>
        </w:rPr>
        <w:t xml:space="preserve"> (an SCS) users were 67% shorter on average after the implementation of the site (Irwin et al., 2016). According to the National Healthcare Quality and Disparities Report, emergency department visits involving opioid diagnosis is continuing to increase in the U.S. as well as hospital inpatient stays involving opioid related diagnoses (2019).  Because of the injection supplies given to users at SCS’s, there is a decreased probability that a PWUD will contract HIV, </w:t>
      </w:r>
      <w:r w:rsidR="00D45FB2" w:rsidRPr="00C868F2">
        <w:rPr>
          <w:color w:val="000000" w:themeColor="text1"/>
        </w:rPr>
        <w:t>HCV</w:t>
      </w:r>
      <w:r w:rsidRPr="00C868F2">
        <w:rPr>
          <w:color w:val="000000" w:themeColor="text1"/>
        </w:rPr>
        <w:t xml:space="preserve">, and other bloodborne transmittable diseases which decreases the need for </w:t>
      </w:r>
      <w:r w:rsidRPr="00C868F2">
        <w:rPr>
          <w:color w:val="000000" w:themeColor="text1"/>
        </w:rPr>
        <w:lastRenderedPageBreak/>
        <w:t>hospital stays due to untreated infections</w:t>
      </w:r>
      <w:r w:rsidR="00D45FB2" w:rsidRPr="00C868F2">
        <w:rPr>
          <w:color w:val="000000" w:themeColor="text1"/>
        </w:rPr>
        <w:t>.</w:t>
      </w:r>
      <w:r w:rsidRPr="00C868F2">
        <w:rPr>
          <w:color w:val="000000" w:themeColor="text1"/>
        </w:rPr>
        <w:t xml:space="preserve"> </w:t>
      </w:r>
      <w:r w:rsidR="00D45FB2" w:rsidRPr="00C868F2">
        <w:rPr>
          <w:color w:val="000000" w:themeColor="text1"/>
        </w:rPr>
        <w:t>This</w:t>
      </w:r>
      <w:r w:rsidRPr="00C868F2">
        <w:rPr>
          <w:color w:val="000000" w:themeColor="text1"/>
        </w:rPr>
        <w:t xml:space="preserve"> in turn may improve the rates at which PWUD are using emergency departments as well as improve the rates of inpatient hospitalizations. </w:t>
      </w:r>
    </w:p>
    <w:p w14:paraId="4B696E13" w14:textId="10921A69" w:rsidR="00CD1DDF" w:rsidRPr="00C868F2" w:rsidRDefault="00CD1DDF" w:rsidP="00F76E8F">
      <w:pPr>
        <w:pStyle w:val="Heading2"/>
        <w:spacing w:line="480" w:lineRule="auto"/>
        <w:rPr>
          <w:rFonts w:ascii="Times New Roman" w:hAnsi="Times New Roman" w:cs="Times New Roman"/>
          <w:b/>
          <w:bCs/>
          <w:color w:val="000000" w:themeColor="text1"/>
          <w:sz w:val="24"/>
          <w:szCs w:val="24"/>
        </w:rPr>
      </w:pPr>
      <w:bookmarkStart w:id="8" w:name="_Toc103539029"/>
      <w:r w:rsidRPr="00C868F2">
        <w:rPr>
          <w:rFonts w:ascii="Times New Roman" w:hAnsi="Times New Roman" w:cs="Times New Roman"/>
          <w:b/>
          <w:bCs/>
          <w:color w:val="000000" w:themeColor="text1"/>
          <w:sz w:val="24"/>
          <w:szCs w:val="24"/>
        </w:rPr>
        <w:t xml:space="preserve">Impacts </w:t>
      </w:r>
      <w:r w:rsidR="006D49CF" w:rsidRPr="00C868F2">
        <w:rPr>
          <w:rFonts w:ascii="Times New Roman" w:hAnsi="Times New Roman" w:cs="Times New Roman"/>
          <w:b/>
          <w:bCs/>
          <w:color w:val="000000" w:themeColor="text1"/>
          <w:sz w:val="24"/>
          <w:szCs w:val="24"/>
        </w:rPr>
        <w:t xml:space="preserve">on Non </w:t>
      </w:r>
      <w:r w:rsidR="00376B24" w:rsidRPr="00C868F2">
        <w:rPr>
          <w:rFonts w:ascii="Times New Roman" w:hAnsi="Times New Roman" w:cs="Times New Roman"/>
          <w:b/>
          <w:bCs/>
          <w:color w:val="000000" w:themeColor="text1"/>
          <w:sz w:val="24"/>
          <w:szCs w:val="24"/>
        </w:rPr>
        <w:t>-</w:t>
      </w:r>
      <w:r w:rsidR="006D49CF" w:rsidRPr="00C868F2">
        <w:rPr>
          <w:rFonts w:ascii="Times New Roman" w:hAnsi="Times New Roman" w:cs="Times New Roman"/>
          <w:b/>
          <w:bCs/>
          <w:color w:val="000000" w:themeColor="text1"/>
          <w:sz w:val="24"/>
          <w:szCs w:val="24"/>
        </w:rPr>
        <w:t>Users</w:t>
      </w:r>
      <w:bookmarkEnd w:id="8"/>
    </w:p>
    <w:p w14:paraId="26B0B1CF" w14:textId="78DF18DC" w:rsidR="00CD1DDF" w:rsidRPr="00C868F2" w:rsidRDefault="00CD1DDF" w:rsidP="00814F5E">
      <w:pPr>
        <w:spacing w:line="480" w:lineRule="auto"/>
        <w:ind w:firstLine="720"/>
        <w:rPr>
          <w:color w:val="000000" w:themeColor="text1"/>
        </w:rPr>
      </w:pPr>
      <w:r w:rsidRPr="00C868F2">
        <w:rPr>
          <w:color w:val="000000" w:themeColor="text1"/>
        </w:rPr>
        <w:t xml:space="preserve">The notion of safe consumption sites may leave community members feeling uneasy due to the fact that SCS decrease the legal barriers for substance abuse and seemingly invite the behavior of substance abuse into communities. </w:t>
      </w:r>
      <w:r w:rsidR="00491059" w:rsidRPr="00C868F2">
        <w:rPr>
          <w:color w:val="000000" w:themeColor="text1"/>
        </w:rPr>
        <w:t>However, a</w:t>
      </w:r>
      <w:r w:rsidRPr="00C868F2">
        <w:rPr>
          <w:color w:val="000000" w:themeColor="text1"/>
        </w:rPr>
        <w:t xml:space="preserve">ccording to a systematic literature review conducted in 2014 that reviewed 75 relevant articles, there was no evidence that suggested an increase in drug trafficking, crime rates, and drug use surrounding SCS’s in Canada and Australia (Potier et al.). In regard to crime rates, the study found that </w:t>
      </w:r>
      <w:r w:rsidR="00491059" w:rsidRPr="00C868F2">
        <w:rPr>
          <w:color w:val="000000" w:themeColor="text1"/>
        </w:rPr>
        <w:t>c</w:t>
      </w:r>
      <w:r w:rsidRPr="00C868F2">
        <w:rPr>
          <w:color w:val="000000" w:themeColor="text1"/>
        </w:rPr>
        <w:t xml:space="preserve">rime rates either stayed the same or decreased slightly. For example, in the city of Vancouver researchers used autoregressive integrated moving average (ARIMA) techniques to determine whether or not the SCS had an impact on total, violent, or property crimes (Myer &amp; Belisle, 2017). The results of the study shows that the SCS had no statistically significant impact on total crime, violent crimes, or property crimes (Myer &amp; Belisle, 2017). </w:t>
      </w:r>
    </w:p>
    <w:p w14:paraId="6AB238C1" w14:textId="785EF1BC" w:rsidR="00B37E5E" w:rsidRPr="00C868F2" w:rsidRDefault="00B37E5E" w:rsidP="00B37E5E">
      <w:pPr>
        <w:pStyle w:val="Heading2"/>
        <w:spacing w:line="480" w:lineRule="auto"/>
        <w:rPr>
          <w:rFonts w:ascii="Times New Roman" w:hAnsi="Times New Roman" w:cs="Times New Roman"/>
          <w:b/>
          <w:bCs/>
          <w:color w:val="000000" w:themeColor="text1"/>
          <w:sz w:val="24"/>
          <w:szCs w:val="24"/>
        </w:rPr>
      </w:pPr>
      <w:bookmarkStart w:id="9" w:name="_Toc103096324"/>
      <w:bookmarkStart w:id="10" w:name="_Toc103539030"/>
      <w:r w:rsidRPr="00C868F2">
        <w:rPr>
          <w:rFonts w:ascii="Times New Roman" w:hAnsi="Times New Roman" w:cs="Times New Roman"/>
          <w:b/>
          <w:bCs/>
          <w:color w:val="000000" w:themeColor="text1"/>
          <w:sz w:val="24"/>
          <w:szCs w:val="24"/>
        </w:rPr>
        <w:t>Political Feasibility &amp; The Current Political Climate</w:t>
      </w:r>
      <w:bookmarkEnd w:id="9"/>
      <w:bookmarkEnd w:id="10"/>
    </w:p>
    <w:p w14:paraId="12FF591F" w14:textId="1C63EFA7" w:rsidR="00FA3C9B" w:rsidRPr="00C868F2" w:rsidRDefault="0040594C" w:rsidP="00FA3C9B">
      <w:pPr>
        <w:spacing w:line="480" w:lineRule="auto"/>
      </w:pPr>
      <w:r w:rsidRPr="00C868F2">
        <w:rPr>
          <w:b/>
          <w:bCs/>
          <w:color w:val="000000" w:themeColor="text1"/>
        </w:rPr>
        <w:tab/>
      </w:r>
      <w:r w:rsidR="00FA3C9B" w:rsidRPr="00C868F2">
        <w:t xml:space="preserve">As of now, there are two sanctioned safe injection sites in the U.S. Rhode Island has put legislation in place to start a pilot program for one safe injection site beginning this year (CY 2022). More states are leaning towards accepting harm reduction as a means to battle the opioid and heroin epidemic. States like California, Washington, and Maryland are amongst some of the states that have begun researching the cost effectiveness of a safe injection site in their major cities (San Francisco, Seattle, and Baltimore, respectively) </w:t>
      </w:r>
      <w:r w:rsidR="00FA3C9B" w:rsidRPr="00C868F2">
        <w:rPr>
          <w:color w:val="000000" w:themeColor="text1"/>
        </w:rPr>
        <w:t>(Irwin et al., 2017; Hood, et al., 2019; Irwin et al., 2017)</w:t>
      </w:r>
      <w:r w:rsidR="00FA3C9B" w:rsidRPr="00C868F2">
        <w:t>. Colorado and Pennsylvania have also expressed serious consideration for opening</w:t>
      </w:r>
      <w:r w:rsidR="00286DDF" w:rsidRPr="00C868F2">
        <w:t xml:space="preserve"> SCS</w:t>
      </w:r>
      <w:r w:rsidR="00FA3C9B" w:rsidRPr="00C868F2">
        <w:t xml:space="preserve"> in major cities like Denver and Philadelphia. Following an inquiry from the </w:t>
      </w:r>
      <w:r w:rsidR="00FA3C9B" w:rsidRPr="00C868F2">
        <w:lastRenderedPageBreak/>
        <w:t>Associated Press, the Department of Justice has expressed that they are reviewing and evaluating the notion of safe places for supervised illicit drug consumption (Peltz &amp; Balsamo, 2022). Currently,</w:t>
      </w:r>
      <w:r w:rsidR="00286DDF" w:rsidRPr="00C868F2">
        <w:t xml:space="preserve"> SCS</w:t>
      </w:r>
      <w:r w:rsidR="00FA3C9B" w:rsidRPr="00C868F2">
        <w:t xml:space="preserve"> are legal under state law but illegal under federal law. Just as states are allowed to make marijuana legal for medical purposes, they also have the ability to sanction</w:t>
      </w:r>
      <w:r w:rsidR="00286DDF" w:rsidRPr="00C868F2">
        <w:t xml:space="preserve"> SCS</w:t>
      </w:r>
      <w:r w:rsidR="00FA3C9B" w:rsidRPr="00C868F2">
        <w:t xml:space="preserve"> in their states. However, just as marijuana is federally illegal, so are safe injection sites (DOJ, 2021). </w:t>
      </w:r>
    </w:p>
    <w:p w14:paraId="41091FE1" w14:textId="700C05A6" w:rsidR="0040594C" w:rsidRPr="00C868F2" w:rsidRDefault="00FA3C9B" w:rsidP="00FF0385">
      <w:pPr>
        <w:spacing w:line="480" w:lineRule="auto"/>
      </w:pPr>
      <w:r w:rsidRPr="00C868F2">
        <w:tab/>
        <w:t xml:space="preserve">In the public eye, safe injection sites are still very much stigmatized. </w:t>
      </w:r>
      <w:r w:rsidRPr="00C868F2">
        <w:rPr>
          <w:color w:val="000000" w:themeColor="text1"/>
        </w:rPr>
        <w:t>More recent studies have looked into public perception of</w:t>
      </w:r>
      <w:r w:rsidR="00286DDF" w:rsidRPr="00C868F2">
        <w:rPr>
          <w:color w:val="000000" w:themeColor="text1"/>
        </w:rPr>
        <w:t xml:space="preserve"> SCS</w:t>
      </w:r>
      <w:r w:rsidRPr="00C868F2">
        <w:rPr>
          <w:color w:val="000000" w:themeColor="text1"/>
        </w:rPr>
        <w:t xml:space="preserve"> as well as the impact of brief targeted education surrounding how</w:t>
      </w:r>
      <w:r w:rsidR="00286DDF" w:rsidRPr="00C868F2">
        <w:rPr>
          <w:color w:val="000000" w:themeColor="text1"/>
        </w:rPr>
        <w:t xml:space="preserve"> SCS</w:t>
      </w:r>
      <w:r w:rsidRPr="00C868F2">
        <w:rPr>
          <w:color w:val="000000" w:themeColor="text1"/>
        </w:rPr>
        <w:t xml:space="preserve"> work and their targeted goals. Mrazovac et al found that there is a positive correlation between targeted education and attitudes towards</w:t>
      </w:r>
      <w:r w:rsidR="00286DDF" w:rsidRPr="00C868F2">
        <w:rPr>
          <w:color w:val="000000" w:themeColor="text1"/>
        </w:rPr>
        <w:t xml:space="preserve"> SCS</w:t>
      </w:r>
      <w:r w:rsidRPr="00C868F2">
        <w:rPr>
          <w:color w:val="000000" w:themeColor="text1"/>
        </w:rPr>
        <w:t xml:space="preserve"> (2020).  Additionally, the public’s perception of</w:t>
      </w:r>
      <w:r w:rsidR="00286DDF" w:rsidRPr="00C868F2">
        <w:rPr>
          <w:color w:val="000000" w:themeColor="text1"/>
        </w:rPr>
        <w:t xml:space="preserve"> SCS</w:t>
      </w:r>
      <w:r w:rsidRPr="00C868F2">
        <w:rPr>
          <w:color w:val="000000" w:themeColor="text1"/>
        </w:rPr>
        <w:t xml:space="preserve"> increase when they are referred to as “Overdose Prevention Sites” rather than Safe Injection Sites or Safe Consumption Sites (Socia et al., 2021).</w:t>
      </w:r>
    </w:p>
    <w:p w14:paraId="63A2230C" w14:textId="46A1B9AF" w:rsidR="00814F5E" w:rsidRPr="00C868F2" w:rsidRDefault="00814F5E" w:rsidP="00814F5E">
      <w:pPr>
        <w:pStyle w:val="Heading2"/>
        <w:spacing w:line="480" w:lineRule="auto"/>
        <w:rPr>
          <w:rFonts w:ascii="Times New Roman" w:hAnsi="Times New Roman" w:cs="Times New Roman"/>
          <w:b/>
          <w:bCs/>
          <w:color w:val="000000" w:themeColor="text1"/>
          <w:sz w:val="24"/>
          <w:szCs w:val="24"/>
        </w:rPr>
      </w:pPr>
      <w:bookmarkStart w:id="11" w:name="_Toc103539031"/>
      <w:r w:rsidRPr="00C868F2">
        <w:rPr>
          <w:rFonts w:ascii="Times New Roman" w:hAnsi="Times New Roman" w:cs="Times New Roman"/>
          <w:b/>
          <w:bCs/>
          <w:color w:val="000000" w:themeColor="text1"/>
          <w:sz w:val="24"/>
          <w:szCs w:val="24"/>
        </w:rPr>
        <w:t>Cost-Benefit Analyses of Safe Consumption Sites in the U.S.</w:t>
      </w:r>
      <w:bookmarkEnd w:id="11"/>
      <w:r w:rsidRPr="00C868F2">
        <w:rPr>
          <w:rFonts w:ascii="Times New Roman" w:hAnsi="Times New Roman" w:cs="Times New Roman"/>
          <w:b/>
          <w:bCs/>
          <w:color w:val="000000" w:themeColor="text1"/>
          <w:sz w:val="24"/>
          <w:szCs w:val="24"/>
        </w:rPr>
        <w:t xml:space="preserve"> </w:t>
      </w:r>
    </w:p>
    <w:p w14:paraId="5E275CD2" w14:textId="77777777" w:rsidR="00CD1DDF" w:rsidRPr="00C868F2" w:rsidRDefault="00CD1DDF" w:rsidP="00F76E8F">
      <w:pPr>
        <w:spacing w:line="480" w:lineRule="auto"/>
        <w:rPr>
          <w:color w:val="000000" w:themeColor="text1"/>
        </w:rPr>
      </w:pPr>
      <w:r w:rsidRPr="00C868F2">
        <w:rPr>
          <w:color w:val="000000" w:themeColor="text1"/>
        </w:rPr>
        <w:tab/>
        <w:t xml:space="preserve">There have been multiple cost benefit analysis’ that have been performed for hypothetical safe consumption sites in major cities in the U.S., including cities such as Seattle, Washington; San Francisco, California; and Baltimore City, Maryland. All of these CBAs have shown positive net benefits. </w:t>
      </w:r>
    </w:p>
    <w:p w14:paraId="2720DFD9" w14:textId="77777777" w:rsidR="00CD1DDF" w:rsidRPr="00C868F2" w:rsidRDefault="00CD1DDF" w:rsidP="00F76E8F">
      <w:pPr>
        <w:pStyle w:val="Heading4"/>
        <w:spacing w:line="480" w:lineRule="auto"/>
        <w:rPr>
          <w:rFonts w:ascii="Times New Roman" w:eastAsia="Times New Roman" w:hAnsi="Times New Roman" w:cs="Times New Roman"/>
          <w:b/>
          <w:bCs/>
          <w:color w:val="000000" w:themeColor="text1"/>
        </w:rPr>
      </w:pPr>
      <w:r w:rsidRPr="00C868F2">
        <w:rPr>
          <w:rFonts w:ascii="Times New Roman" w:eastAsia="Times New Roman" w:hAnsi="Times New Roman" w:cs="Times New Roman"/>
          <w:b/>
          <w:bCs/>
          <w:color w:val="000000" w:themeColor="text1"/>
        </w:rPr>
        <w:t>Seattle, Washington</w:t>
      </w:r>
    </w:p>
    <w:p w14:paraId="33384F77" w14:textId="43685BF2" w:rsidR="00CD1DDF" w:rsidRPr="00C868F2" w:rsidRDefault="00CD1DDF" w:rsidP="00814F5E">
      <w:pPr>
        <w:spacing w:line="480" w:lineRule="auto"/>
        <w:rPr>
          <w:color w:val="000000" w:themeColor="text1"/>
        </w:rPr>
      </w:pPr>
      <w:r w:rsidRPr="00C868F2">
        <w:rPr>
          <w:color w:val="000000" w:themeColor="text1"/>
        </w:rPr>
        <w:tab/>
        <w:t xml:space="preserve">The CBA conducted for Seattle, Washington estimated the cost savings associated with averted fatal and non-fatal overdoses, drug related infections, HIV and HCV, as well as the benefits of increased enrollment into </w:t>
      </w:r>
      <w:r w:rsidR="004F52C8" w:rsidRPr="00C868F2">
        <w:rPr>
          <w:color w:val="000000" w:themeColor="text1"/>
        </w:rPr>
        <w:t>medication-assisted treatment</w:t>
      </w:r>
      <w:r w:rsidRPr="00C868F2">
        <w:rPr>
          <w:color w:val="000000" w:themeColor="text1"/>
        </w:rPr>
        <w:t xml:space="preserve"> (Hood, et al., 2019). This CBA estimated that clinical management of overdoses would save the healthcare system $897,327</w:t>
      </w:r>
      <w:r w:rsidR="0037420B" w:rsidRPr="00C868F2">
        <w:rPr>
          <w:color w:val="000000" w:themeColor="text1"/>
        </w:rPr>
        <w:t xml:space="preserve"> annually</w:t>
      </w:r>
      <w:r w:rsidRPr="00C868F2">
        <w:rPr>
          <w:color w:val="000000" w:themeColor="text1"/>
        </w:rPr>
        <w:t xml:space="preserve"> for their base program estimation. Adjusting the overdose rate as well as the</w:t>
      </w:r>
      <w:r w:rsidR="002C250C" w:rsidRPr="00C868F2">
        <w:rPr>
          <w:color w:val="000000" w:themeColor="text1"/>
        </w:rPr>
        <w:t xml:space="preserve"> </w:t>
      </w:r>
      <w:r w:rsidRPr="00C868F2">
        <w:rPr>
          <w:color w:val="000000" w:themeColor="text1"/>
        </w:rPr>
        <w:lastRenderedPageBreak/>
        <w:t xml:space="preserve">size of the SCS, the authors found that </w:t>
      </w:r>
      <w:r w:rsidR="008C168B" w:rsidRPr="00C868F2">
        <w:rPr>
          <w:color w:val="000000" w:themeColor="text1"/>
        </w:rPr>
        <w:t>an SCS</w:t>
      </w:r>
      <w:r w:rsidRPr="00C868F2">
        <w:rPr>
          <w:color w:val="000000" w:themeColor="text1"/>
        </w:rPr>
        <w:t xml:space="preserve"> could </w:t>
      </w:r>
      <w:r w:rsidR="008C168B" w:rsidRPr="00C868F2">
        <w:rPr>
          <w:color w:val="000000" w:themeColor="text1"/>
        </w:rPr>
        <w:t>bring in annual net benefits</w:t>
      </w:r>
      <w:r w:rsidRPr="00C868F2">
        <w:rPr>
          <w:color w:val="000000" w:themeColor="text1"/>
        </w:rPr>
        <w:t xml:space="preserve"> anywhere from $1.8 million to $5.7 million (Hood, et al., 2019). </w:t>
      </w:r>
    </w:p>
    <w:p w14:paraId="124D5496" w14:textId="77777777" w:rsidR="00CD1DDF" w:rsidRPr="00C868F2" w:rsidRDefault="00CD1DDF" w:rsidP="00F76E8F">
      <w:pPr>
        <w:pStyle w:val="Heading4"/>
        <w:spacing w:line="480" w:lineRule="auto"/>
        <w:rPr>
          <w:rFonts w:ascii="Times New Roman" w:eastAsia="Times New Roman" w:hAnsi="Times New Roman" w:cs="Times New Roman"/>
          <w:b/>
          <w:bCs/>
          <w:color w:val="000000" w:themeColor="text1"/>
        </w:rPr>
      </w:pPr>
      <w:r w:rsidRPr="00C868F2">
        <w:rPr>
          <w:rFonts w:ascii="Times New Roman" w:eastAsia="Times New Roman" w:hAnsi="Times New Roman" w:cs="Times New Roman"/>
          <w:b/>
          <w:bCs/>
          <w:color w:val="000000" w:themeColor="text1"/>
        </w:rPr>
        <w:t>San Francisco, California</w:t>
      </w:r>
    </w:p>
    <w:p w14:paraId="3BB2B57D" w14:textId="3511D93C" w:rsidR="00CD1DDF" w:rsidRPr="00C868F2" w:rsidRDefault="00CD1DDF" w:rsidP="00F76E8F">
      <w:pPr>
        <w:spacing w:line="480" w:lineRule="auto"/>
        <w:ind w:firstLine="720"/>
        <w:rPr>
          <w:color w:val="000000" w:themeColor="text1"/>
        </w:rPr>
      </w:pPr>
      <w:r w:rsidRPr="00C868F2">
        <w:rPr>
          <w:color w:val="000000" w:themeColor="text1"/>
        </w:rPr>
        <w:t xml:space="preserve">The CBA conducted for San Francisco, California estimated the cost savings associated </w:t>
      </w:r>
      <w:r w:rsidR="00814F5E" w:rsidRPr="00C868F2">
        <w:rPr>
          <w:color w:val="000000" w:themeColor="text1"/>
        </w:rPr>
        <w:t>with</w:t>
      </w:r>
      <w:r w:rsidRPr="00C868F2">
        <w:rPr>
          <w:color w:val="000000" w:themeColor="text1"/>
        </w:rPr>
        <w:t xml:space="preserve"> five outcomes: averted HIV and HCV infections, reduced SSTI, averted overdose deaths, and increased </w:t>
      </w:r>
      <w:r w:rsidR="004F52C8" w:rsidRPr="00C868F2">
        <w:rPr>
          <w:color w:val="000000" w:themeColor="text1"/>
        </w:rPr>
        <w:t>medication-assisted treatment</w:t>
      </w:r>
      <w:r w:rsidRPr="00C868F2">
        <w:rPr>
          <w:color w:val="000000" w:themeColor="text1"/>
        </w:rPr>
        <w:t xml:space="preserve"> enrollment. This CBA estimated tha</w:t>
      </w:r>
      <w:r w:rsidR="00D45FB2" w:rsidRPr="00C868F2">
        <w:rPr>
          <w:color w:val="000000" w:themeColor="text1"/>
        </w:rPr>
        <w:t>t</w:t>
      </w:r>
      <w:r w:rsidRPr="00C868F2">
        <w:rPr>
          <w:color w:val="000000" w:themeColor="text1"/>
        </w:rPr>
        <w:t xml:space="preserve"> for each dollar spent on the SCS it would yield $2.33 in savings annually amounting to net benefits of $3.5 million</w:t>
      </w:r>
      <w:r w:rsidR="008C168B" w:rsidRPr="00C868F2">
        <w:rPr>
          <w:color w:val="000000" w:themeColor="text1"/>
        </w:rPr>
        <w:t xml:space="preserve"> annually</w:t>
      </w:r>
      <w:r w:rsidRPr="00C868F2">
        <w:rPr>
          <w:color w:val="000000" w:themeColor="text1"/>
        </w:rPr>
        <w:t xml:space="preserve"> (Irwin et al., 2017). </w:t>
      </w:r>
    </w:p>
    <w:p w14:paraId="51E962B0" w14:textId="77777777" w:rsidR="00CD1DDF" w:rsidRPr="00C868F2" w:rsidRDefault="00CD1DDF" w:rsidP="00F76E8F">
      <w:pPr>
        <w:pStyle w:val="Heading4"/>
        <w:spacing w:line="480" w:lineRule="auto"/>
        <w:rPr>
          <w:rFonts w:ascii="Times New Roman" w:eastAsia="Times New Roman" w:hAnsi="Times New Roman" w:cs="Times New Roman"/>
          <w:b/>
          <w:bCs/>
          <w:color w:val="000000" w:themeColor="text1"/>
        </w:rPr>
      </w:pPr>
      <w:r w:rsidRPr="00C868F2">
        <w:rPr>
          <w:rFonts w:ascii="Times New Roman" w:eastAsia="Times New Roman" w:hAnsi="Times New Roman" w:cs="Times New Roman"/>
          <w:b/>
          <w:bCs/>
          <w:color w:val="000000" w:themeColor="text1"/>
        </w:rPr>
        <w:t>Baltimore City, Maryland</w:t>
      </w:r>
    </w:p>
    <w:p w14:paraId="017BD175" w14:textId="47BE91FE" w:rsidR="00CD1DDF" w:rsidRPr="00C868F2" w:rsidRDefault="00CD1DDF" w:rsidP="00F76E8F">
      <w:pPr>
        <w:spacing w:line="480" w:lineRule="auto"/>
        <w:ind w:firstLine="720"/>
        <w:rPr>
          <w:color w:val="000000" w:themeColor="text1"/>
        </w:rPr>
      </w:pPr>
      <w:r w:rsidRPr="00C868F2">
        <w:rPr>
          <w:color w:val="000000" w:themeColor="text1"/>
        </w:rPr>
        <w:t>The 2017 CBA conducted for Baltimore city is the CBA that is being used as a baseline for this cost analysis that I am performing. This is one of the only current CBA that estimates the cost savings associated with more than three outcome categories</w:t>
      </w:r>
      <w:r w:rsidR="00814F5E" w:rsidRPr="00C868F2">
        <w:rPr>
          <w:color w:val="000000" w:themeColor="text1"/>
        </w:rPr>
        <w:t xml:space="preserve"> </w:t>
      </w:r>
      <w:r w:rsidR="00491059" w:rsidRPr="00C868F2">
        <w:rPr>
          <w:color w:val="000000" w:themeColor="text1"/>
        </w:rPr>
        <w:t xml:space="preserve">aside from </w:t>
      </w:r>
      <w:r w:rsidR="00814F5E" w:rsidRPr="00C868F2">
        <w:rPr>
          <w:color w:val="000000" w:themeColor="text1"/>
        </w:rPr>
        <w:t>the San Francisco</w:t>
      </w:r>
      <w:r w:rsidR="00491059" w:rsidRPr="00C868F2">
        <w:rPr>
          <w:color w:val="000000" w:themeColor="text1"/>
        </w:rPr>
        <w:t xml:space="preserve"> study</w:t>
      </w:r>
      <w:r w:rsidRPr="00C868F2">
        <w:rPr>
          <w:color w:val="000000" w:themeColor="text1"/>
        </w:rPr>
        <w:t xml:space="preserve"> (Irwin et al., 2017). This study estimates the cost savings associated with averted HIV and HCV infections, SSTI, overdose mortality, overdose morbidity, as well as an increased enrollment into</w:t>
      </w:r>
      <w:r w:rsidR="00BA7A0C" w:rsidRPr="00C868F2">
        <w:rPr>
          <w:color w:val="000000" w:themeColor="text1"/>
        </w:rPr>
        <w:t xml:space="preserve"> medication-assisted treatment.</w:t>
      </w:r>
      <w:r w:rsidR="00D45FB2" w:rsidRPr="00C868F2">
        <w:rPr>
          <w:color w:val="000000" w:themeColor="text1"/>
        </w:rPr>
        <w:t xml:space="preserve"> </w:t>
      </w:r>
      <w:r w:rsidRPr="00C868F2">
        <w:rPr>
          <w:color w:val="000000" w:themeColor="text1"/>
        </w:rPr>
        <w:t xml:space="preserve">The authors predict that for an annual cost of $1.8 million, the SCS would generate $7.8 million in </w:t>
      </w:r>
      <w:r w:rsidR="00C72308" w:rsidRPr="00C868F2">
        <w:rPr>
          <w:color w:val="000000" w:themeColor="text1"/>
        </w:rPr>
        <w:t>benefits</w:t>
      </w:r>
      <w:r w:rsidR="00D45FB2" w:rsidRPr="00C868F2">
        <w:rPr>
          <w:color w:val="000000" w:themeColor="text1"/>
        </w:rPr>
        <w:t xml:space="preserve"> (Irwin et al., 2017). </w:t>
      </w:r>
      <w:r w:rsidRPr="00C868F2">
        <w:rPr>
          <w:color w:val="000000" w:themeColor="text1"/>
        </w:rPr>
        <w:t xml:space="preserve"> </w:t>
      </w:r>
    </w:p>
    <w:p w14:paraId="7559EC82" w14:textId="77777777" w:rsidR="00306C8D" w:rsidRPr="00C868F2" w:rsidRDefault="00306C8D" w:rsidP="00306C8D">
      <w:pPr>
        <w:spacing w:line="480" w:lineRule="auto"/>
        <w:rPr>
          <w:color w:val="000000" w:themeColor="text1"/>
        </w:rPr>
      </w:pPr>
      <w:r w:rsidRPr="00C868F2">
        <w:rPr>
          <w:color w:val="000000" w:themeColor="text1"/>
        </w:rPr>
        <w:tab/>
      </w:r>
      <w:r w:rsidR="004F6933" w:rsidRPr="00C868F2">
        <w:rPr>
          <w:color w:val="000000" w:themeColor="text1"/>
        </w:rPr>
        <w:t xml:space="preserve">Overall, available research and literature shows positive benefits for SCS. This analysis hopes to add to previous cost benefit analyses by including the benefits and costs associated with all opioid use post pandemic for a more accurate picture of the impacts of a SCS. </w:t>
      </w:r>
    </w:p>
    <w:p w14:paraId="15D32BB3" w14:textId="6A6928B6" w:rsidR="00CD1DDF" w:rsidRPr="00C868F2" w:rsidRDefault="00CD1DDF" w:rsidP="00F76E8F">
      <w:pPr>
        <w:pStyle w:val="Heading1"/>
        <w:spacing w:line="480" w:lineRule="auto"/>
        <w:rPr>
          <w:rFonts w:ascii="Times New Roman" w:hAnsi="Times New Roman" w:cs="Times New Roman"/>
          <w:b/>
          <w:bCs/>
          <w:color w:val="000000" w:themeColor="text1"/>
          <w:sz w:val="24"/>
          <w:szCs w:val="24"/>
        </w:rPr>
      </w:pPr>
      <w:bookmarkStart w:id="12" w:name="_Toc103539032"/>
      <w:r w:rsidRPr="00C868F2">
        <w:rPr>
          <w:rFonts w:ascii="Times New Roman" w:hAnsi="Times New Roman" w:cs="Times New Roman"/>
          <w:b/>
          <w:bCs/>
          <w:color w:val="000000" w:themeColor="text1"/>
          <w:sz w:val="24"/>
          <w:szCs w:val="24"/>
        </w:rPr>
        <w:t>III. Methodology</w:t>
      </w:r>
      <w:bookmarkEnd w:id="12"/>
    </w:p>
    <w:p w14:paraId="61403EFA" w14:textId="7CA02960" w:rsidR="00CD1DDF" w:rsidRPr="00C868F2" w:rsidRDefault="00CD1DDF" w:rsidP="00F76E8F">
      <w:pPr>
        <w:spacing w:line="480" w:lineRule="auto"/>
        <w:ind w:firstLine="720"/>
        <w:rPr>
          <w:color w:val="000000" w:themeColor="text1"/>
        </w:rPr>
      </w:pPr>
      <w:r w:rsidRPr="00C868F2">
        <w:rPr>
          <w:color w:val="000000" w:themeColor="text1"/>
        </w:rPr>
        <w:t>Th</w:t>
      </w:r>
      <w:r w:rsidR="00491059" w:rsidRPr="00C868F2">
        <w:rPr>
          <w:color w:val="000000" w:themeColor="text1"/>
        </w:rPr>
        <w:t>e current</w:t>
      </w:r>
      <w:r w:rsidRPr="00C868F2">
        <w:rPr>
          <w:color w:val="000000" w:themeColor="text1"/>
        </w:rPr>
        <w:t xml:space="preserve"> study is an extension of the 2017 study conducted by Irwin et al. This study will calculate the financial and health costs and benefits, post </w:t>
      </w:r>
      <w:r w:rsidR="005F7307" w:rsidRPr="00C868F2">
        <w:rPr>
          <w:color w:val="000000" w:themeColor="text1"/>
        </w:rPr>
        <w:t>Covid</w:t>
      </w:r>
      <w:r w:rsidRPr="00C868F2">
        <w:rPr>
          <w:color w:val="000000" w:themeColor="text1"/>
        </w:rPr>
        <w:t xml:space="preserve"> -19 pandemic using data from the calendar year (CY) 2020, for a hypothetical </w:t>
      </w:r>
      <w:r w:rsidR="0037403B" w:rsidRPr="00C868F2">
        <w:rPr>
          <w:color w:val="000000" w:themeColor="text1"/>
        </w:rPr>
        <w:t>SCS</w:t>
      </w:r>
      <w:r w:rsidRPr="00C868F2">
        <w:rPr>
          <w:color w:val="000000" w:themeColor="text1"/>
        </w:rPr>
        <w:t xml:space="preserve">. The original hypothetical site was </w:t>
      </w:r>
      <w:r w:rsidRPr="00C868F2">
        <w:rPr>
          <w:color w:val="000000" w:themeColor="text1"/>
        </w:rPr>
        <w:lastRenderedPageBreak/>
        <w:t xml:space="preserve">modeled after </w:t>
      </w:r>
      <w:r w:rsidR="00B512DB">
        <w:rPr>
          <w:color w:val="000000" w:themeColor="text1"/>
        </w:rPr>
        <w:t>Insite</w:t>
      </w:r>
      <w:r w:rsidRPr="00C868F2">
        <w:rPr>
          <w:color w:val="000000" w:themeColor="text1"/>
        </w:rPr>
        <w:t xml:space="preserve">, a Vancouver SCS which is roughly 1,000 squared feet, has 13 booths for injections, and operates 18 hours per day (Irwin et al., 2017). </w:t>
      </w:r>
      <w:r w:rsidR="00B512DB">
        <w:rPr>
          <w:color w:val="000000" w:themeColor="text1"/>
        </w:rPr>
        <w:t>Insite</w:t>
      </w:r>
      <w:r w:rsidRPr="00C868F2">
        <w:rPr>
          <w:color w:val="000000" w:themeColor="text1"/>
        </w:rPr>
        <w:t xml:space="preserve"> served 170,731 visits by 5,111 individuals in the year 2019 which are their most recent updated numbers (</w:t>
      </w:r>
      <w:r w:rsidR="00B512DB">
        <w:rPr>
          <w:color w:val="000000" w:themeColor="text1"/>
        </w:rPr>
        <w:t>Insite</w:t>
      </w:r>
      <w:r w:rsidR="00D76F58" w:rsidRPr="00C868F2">
        <w:rPr>
          <w:color w:val="000000" w:themeColor="text1"/>
        </w:rPr>
        <w:t>, 2019</w:t>
      </w:r>
      <w:r w:rsidRPr="00C868F2">
        <w:rPr>
          <w:color w:val="000000" w:themeColor="text1"/>
        </w:rPr>
        <w:t>). To keep this analysis as accurate as possible, I will be using the updated values</w:t>
      </w:r>
      <w:r w:rsidR="002C404B" w:rsidRPr="00C868F2">
        <w:rPr>
          <w:color w:val="000000" w:themeColor="text1"/>
        </w:rPr>
        <w:t xml:space="preserve"> even though they are not for the CY 2020</w:t>
      </w:r>
      <w:r w:rsidRPr="00C868F2">
        <w:rPr>
          <w:color w:val="000000" w:themeColor="text1"/>
        </w:rPr>
        <w:t xml:space="preserve">. Additionally, this analysis will focus on all opioid related overdoses, not just heroin related overdoses like </w:t>
      </w:r>
      <w:r w:rsidR="0037403B" w:rsidRPr="00C868F2">
        <w:rPr>
          <w:color w:val="000000" w:themeColor="text1"/>
        </w:rPr>
        <w:t xml:space="preserve">in </w:t>
      </w:r>
      <w:r w:rsidRPr="00C868F2">
        <w:rPr>
          <w:color w:val="000000" w:themeColor="text1"/>
        </w:rPr>
        <w:t>the 2017 CBA. Heroin deaths have decreased since 2017 in Baltimore City while overall opioid related deaths have increased (</w:t>
      </w:r>
      <w:r w:rsidR="008E3728" w:rsidRPr="00C868F2">
        <w:rPr>
          <w:color w:val="000000" w:themeColor="text1"/>
        </w:rPr>
        <w:t>MDH, 202</w:t>
      </w:r>
      <w:r w:rsidR="008034DB" w:rsidRPr="00C868F2">
        <w:rPr>
          <w:color w:val="000000" w:themeColor="text1"/>
        </w:rPr>
        <w:t>1</w:t>
      </w:r>
      <w:r w:rsidRPr="00C868F2">
        <w:rPr>
          <w:color w:val="000000" w:themeColor="text1"/>
        </w:rPr>
        <w:t>). For a more accurate estimate of the costs and benefits, I find that it would be helpful to include all overdoses related to all opioids</w:t>
      </w:r>
      <w:r w:rsidR="00BA7A0C" w:rsidRPr="00C868F2">
        <w:rPr>
          <w:color w:val="000000" w:themeColor="text1"/>
        </w:rPr>
        <w:t xml:space="preserve"> since users who utilize SCS are not only abusing heroin; they are abusing all types of opioids.</w:t>
      </w:r>
      <w:r w:rsidRPr="00C868F2">
        <w:rPr>
          <w:color w:val="000000" w:themeColor="text1"/>
        </w:rPr>
        <w:t xml:space="preserve">  </w:t>
      </w:r>
      <w:r w:rsidR="001D3FFA" w:rsidRPr="00C868F2">
        <w:rPr>
          <w:color w:val="000000" w:themeColor="text1"/>
        </w:rPr>
        <w:t xml:space="preserve">As another addition to the 2017 study, I will use the HHS valuation of a life in addition to the present value methodology that Irwin et al used in 2017 in order to apply standard CBA practice. </w:t>
      </w:r>
    </w:p>
    <w:p w14:paraId="78BCEB90" w14:textId="1C792762" w:rsidR="00CD1DDF" w:rsidRPr="00C868F2" w:rsidRDefault="00CD1DDF" w:rsidP="00F76E8F">
      <w:pPr>
        <w:spacing w:line="480" w:lineRule="auto"/>
        <w:ind w:firstLine="720"/>
        <w:rPr>
          <w:color w:val="000000" w:themeColor="text1"/>
        </w:rPr>
      </w:pPr>
      <w:r w:rsidRPr="00C868F2">
        <w:rPr>
          <w:color w:val="000000" w:themeColor="text1"/>
        </w:rPr>
        <w:t xml:space="preserve">There are six measures of cost savings in the 2017 study: prevention of HIV, HCV, SSTI, and overdose deaths, reduced overdose-related medical costs, and referrals to </w:t>
      </w:r>
      <w:r w:rsidR="006B2035" w:rsidRPr="00C868F2">
        <w:rPr>
          <w:color w:val="000000" w:themeColor="text1"/>
        </w:rPr>
        <w:t>medication-assisted treatment</w:t>
      </w:r>
      <w:r w:rsidRPr="00C868F2">
        <w:rPr>
          <w:color w:val="000000" w:themeColor="text1"/>
        </w:rPr>
        <w:t>. In this extension, I will estimate the cost savings associated overdose mortality, overdose morbidity, and enrollment into medication</w:t>
      </w:r>
      <w:r w:rsidR="00376B24" w:rsidRPr="00C868F2">
        <w:rPr>
          <w:color w:val="000000" w:themeColor="text1"/>
        </w:rPr>
        <w:t>-</w:t>
      </w:r>
      <w:r w:rsidRPr="00C868F2">
        <w:rPr>
          <w:color w:val="000000" w:themeColor="text1"/>
        </w:rPr>
        <w:t>assisted treatment. The original 2017 study assesses each model’s dependence on important variables with a sensitivity analysis that I will replicate for the three variables of interest. For the sensitivity analysis, I will increase and decrease the chosen variable by 50</w:t>
      </w:r>
      <w:r w:rsidR="00944B71" w:rsidRPr="00C868F2">
        <w:rPr>
          <w:color w:val="000000" w:themeColor="text1"/>
        </w:rPr>
        <w:t>%</w:t>
      </w:r>
      <w:r w:rsidR="00045915">
        <w:rPr>
          <w:color w:val="000000" w:themeColor="text1"/>
        </w:rPr>
        <w:t xml:space="preserve"> </w:t>
      </w:r>
      <w:r w:rsidRPr="00C868F2">
        <w:rPr>
          <w:color w:val="000000" w:themeColor="text1"/>
        </w:rPr>
        <w:t xml:space="preserve">and report the outcome (Irwin et al., 2017). </w:t>
      </w:r>
      <w:r w:rsidR="00045915">
        <w:rPr>
          <w:color w:val="000000" w:themeColor="text1"/>
        </w:rPr>
        <w:t>In addition to replicating the original sensitivity analysis, I will also conduct additional sensitivity analyses for fluctuations in median income as well as the high, central, and low values of a statistical life.</w:t>
      </w:r>
    </w:p>
    <w:p w14:paraId="02A5DEFD" w14:textId="68DAF5F2" w:rsidR="00CD1DDF" w:rsidRPr="00C868F2" w:rsidRDefault="00CD1DDF" w:rsidP="00F76E8F">
      <w:pPr>
        <w:pStyle w:val="Heading1"/>
        <w:spacing w:line="480" w:lineRule="auto"/>
        <w:rPr>
          <w:rFonts w:ascii="Times New Roman" w:hAnsi="Times New Roman" w:cs="Times New Roman"/>
          <w:b/>
          <w:bCs/>
          <w:color w:val="000000" w:themeColor="text1"/>
          <w:sz w:val="24"/>
          <w:szCs w:val="24"/>
        </w:rPr>
      </w:pPr>
      <w:bookmarkStart w:id="13" w:name="_Toc103539033"/>
      <w:r w:rsidRPr="00C868F2">
        <w:rPr>
          <w:rFonts w:ascii="Times New Roman" w:hAnsi="Times New Roman" w:cs="Times New Roman"/>
          <w:b/>
          <w:bCs/>
          <w:color w:val="000000" w:themeColor="text1"/>
          <w:sz w:val="24"/>
          <w:szCs w:val="24"/>
        </w:rPr>
        <w:lastRenderedPageBreak/>
        <w:t>IV. Collected Data</w:t>
      </w:r>
      <w:bookmarkEnd w:id="13"/>
    </w:p>
    <w:p w14:paraId="30684423" w14:textId="76CD300F" w:rsidR="00CD1DDF" w:rsidRPr="00C868F2" w:rsidRDefault="00CD1DDF" w:rsidP="00F76E8F">
      <w:pPr>
        <w:spacing w:line="480" w:lineRule="auto"/>
        <w:rPr>
          <w:color w:val="000000" w:themeColor="text1"/>
        </w:rPr>
      </w:pPr>
      <w:r w:rsidRPr="00C868F2">
        <w:rPr>
          <w:color w:val="000000" w:themeColor="text1"/>
        </w:rPr>
        <w:tab/>
        <w:t xml:space="preserve">To estimate the cost savings associated with averted overdoses as well as the benefits associated with enrollment into </w:t>
      </w:r>
      <w:r w:rsidR="0037024E" w:rsidRPr="00C868F2">
        <w:rPr>
          <w:color w:val="000000" w:themeColor="text1"/>
        </w:rPr>
        <w:t>medication-assisted treatment</w:t>
      </w:r>
      <w:r w:rsidRPr="00C868F2">
        <w:rPr>
          <w:color w:val="000000" w:themeColor="text1"/>
        </w:rPr>
        <w:t>, I will be using data from the Maryland Department of Health, Baltimore City Fire Department, and data from various cost reports</w:t>
      </w:r>
      <w:r w:rsidR="0037403B" w:rsidRPr="00C868F2">
        <w:rPr>
          <w:color w:val="000000" w:themeColor="text1"/>
        </w:rPr>
        <w:t xml:space="preserve"> related to established SCS around the world</w:t>
      </w:r>
      <w:r w:rsidRPr="00C868F2">
        <w:rPr>
          <w:color w:val="000000" w:themeColor="text1"/>
        </w:rPr>
        <w:t xml:space="preserve">. </w:t>
      </w:r>
    </w:p>
    <w:p w14:paraId="2B0ABD59" w14:textId="247F0C6F" w:rsidR="00CD1DDF" w:rsidRPr="00C868F2" w:rsidRDefault="00CD1DDF" w:rsidP="00F76E8F">
      <w:pPr>
        <w:pStyle w:val="Heading2"/>
        <w:spacing w:line="480" w:lineRule="auto"/>
        <w:rPr>
          <w:rFonts w:ascii="Times New Roman" w:hAnsi="Times New Roman" w:cs="Times New Roman"/>
          <w:b/>
          <w:bCs/>
          <w:color w:val="000000" w:themeColor="text1"/>
          <w:sz w:val="24"/>
          <w:szCs w:val="24"/>
        </w:rPr>
      </w:pPr>
      <w:bookmarkStart w:id="14" w:name="_Toc103539034"/>
      <w:r w:rsidRPr="00C868F2">
        <w:rPr>
          <w:rFonts w:ascii="Times New Roman" w:hAnsi="Times New Roman" w:cs="Times New Roman"/>
          <w:b/>
          <w:bCs/>
          <w:color w:val="000000" w:themeColor="text1"/>
          <w:sz w:val="24"/>
          <w:szCs w:val="24"/>
        </w:rPr>
        <w:t>Overdose Mortality and Morbidity Data</w:t>
      </w:r>
      <w:bookmarkEnd w:id="14"/>
    </w:p>
    <w:p w14:paraId="560EC683" w14:textId="4EAA3761" w:rsidR="00CD1DDF" w:rsidRPr="00C868F2" w:rsidRDefault="00CD1DDF" w:rsidP="00F76E8F">
      <w:pPr>
        <w:spacing w:line="480" w:lineRule="auto"/>
        <w:ind w:firstLine="720"/>
        <w:rPr>
          <w:color w:val="000000" w:themeColor="text1"/>
        </w:rPr>
      </w:pPr>
      <w:r w:rsidRPr="00C868F2">
        <w:rPr>
          <w:color w:val="000000" w:themeColor="text1"/>
        </w:rPr>
        <w:t>Each year the Maryland Department of Health produces a report to show the trends in the number of unintentional drug and alcohol related intoxication deaths that occur in the state during the evaluation period</w:t>
      </w:r>
      <w:r w:rsidR="00414365">
        <w:rPr>
          <w:color w:val="000000" w:themeColor="text1"/>
        </w:rPr>
        <w:t xml:space="preserve"> </w:t>
      </w:r>
      <w:r w:rsidR="00414365" w:rsidRPr="00C868F2">
        <w:rPr>
          <w:color w:val="000000" w:themeColor="text1"/>
          <w:shd w:val="clear" w:color="auto" w:fill="FFFFFF"/>
        </w:rPr>
        <w:t>(Maryland Department of Health, 2021)</w:t>
      </w:r>
      <w:r w:rsidRPr="00C868F2">
        <w:rPr>
          <w:color w:val="000000" w:themeColor="text1"/>
        </w:rPr>
        <w:t>. The trends are examined by different indicators: age at the time of death, race and ethnicity, gender, place if death, and the substances related to death. Additional overdose related data was taken from the Baltimore City Fire Department: this data includes the location and date of clinically administered naloxone for the year 2020</w:t>
      </w:r>
      <w:r w:rsidR="0091433F" w:rsidRPr="00C868F2">
        <w:rPr>
          <w:color w:val="000000" w:themeColor="text1"/>
        </w:rPr>
        <w:t xml:space="preserve"> (McCarren, 2022</w:t>
      </w:r>
      <w:r w:rsidR="009A3EED">
        <w:rPr>
          <w:color w:val="000000" w:themeColor="text1"/>
        </w:rPr>
        <w:t>; Maryland, 2021)</w:t>
      </w:r>
      <w:r w:rsidRPr="00C868F2">
        <w:rPr>
          <w:color w:val="000000" w:themeColor="text1"/>
        </w:rPr>
        <w:t xml:space="preserve">. This data is being used to find the area with the highest concentration of naloxone distribution in Baltimore City, Maryland. The rationale for finding the highest concentration of naloxone distribution is to find where the most overdoses occur in Baltimore City as well as where the demand is the highest for emergency services. These rates will help find a 500 meter radius for the hypothetical SCS as well as help find the number of averted services that will be used to calculate cost savings for averted emergency service usage. </w:t>
      </w:r>
      <w:r w:rsidR="00BA7A0C" w:rsidRPr="00C868F2">
        <w:rPr>
          <w:color w:val="000000" w:themeColor="text1"/>
        </w:rPr>
        <w:t xml:space="preserve">The rationale behind using a 500 meter radius is to stay consistent with previous CBAs that look at the impacts of SCS. </w:t>
      </w:r>
    </w:p>
    <w:p w14:paraId="0FE27EDD" w14:textId="1769A587" w:rsidR="00CC76BF" w:rsidRPr="00C868F2" w:rsidRDefault="00CC76BF" w:rsidP="00F76E8F">
      <w:pPr>
        <w:pStyle w:val="Heading1"/>
        <w:spacing w:line="480" w:lineRule="auto"/>
        <w:rPr>
          <w:rFonts w:ascii="Times New Roman" w:hAnsi="Times New Roman" w:cs="Times New Roman"/>
          <w:b/>
          <w:bCs/>
          <w:color w:val="000000" w:themeColor="text1"/>
          <w:sz w:val="24"/>
          <w:szCs w:val="24"/>
        </w:rPr>
      </w:pPr>
      <w:bookmarkStart w:id="15" w:name="_Toc103539035"/>
      <w:r w:rsidRPr="00C868F2">
        <w:rPr>
          <w:rFonts w:ascii="Times New Roman" w:hAnsi="Times New Roman" w:cs="Times New Roman"/>
          <w:b/>
          <w:bCs/>
          <w:color w:val="000000" w:themeColor="text1"/>
          <w:sz w:val="24"/>
          <w:szCs w:val="24"/>
        </w:rPr>
        <w:lastRenderedPageBreak/>
        <w:t xml:space="preserve">V. </w:t>
      </w:r>
      <w:r w:rsidR="00854145" w:rsidRPr="00C868F2">
        <w:rPr>
          <w:rFonts w:ascii="Times New Roman" w:hAnsi="Times New Roman" w:cs="Times New Roman"/>
          <w:b/>
          <w:bCs/>
          <w:color w:val="000000" w:themeColor="text1"/>
          <w:sz w:val="24"/>
          <w:szCs w:val="24"/>
        </w:rPr>
        <w:t>Results</w:t>
      </w:r>
      <w:bookmarkEnd w:id="15"/>
    </w:p>
    <w:p w14:paraId="272923AA" w14:textId="150ABED7" w:rsidR="00854145" w:rsidRPr="00C868F2" w:rsidRDefault="00854145" w:rsidP="00854145">
      <w:pPr>
        <w:pStyle w:val="Heading2"/>
        <w:spacing w:line="480" w:lineRule="auto"/>
        <w:rPr>
          <w:rFonts w:ascii="Times New Roman" w:hAnsi="Times New Roman" w:cs="Times New Roman"/>
          <w:b/>
          <w:bCs/>
          <w:color w:val="000000" w:themeColor="text1"/>
          <w:sz w:val="24"/>
          <w:szCs w:val="24"/>
        </w:rPr>
      </w:pPr>
      <w:bookmarkStart w:id="16" w:name="_Toc103539036"/>
      <w:r w:rsidRPr="00C868F2">
        <w:rPr>
          <w:rFonts w:ascii="Times New Roman" w:hAnsi="Times New Roman" w:cs="Times New Roman"/>
          <w:b/>
          <w:bCs/>
          <w:color w:val="000000" w:themeColor="text1"/>
          <w:sz w:val="24"/>
          <w:szCs w:val="24"/>
        </w:rPr>
        <w:t>Cost and Benefit Estimates</w:t>
      </w:r>
      <w:bookmarkEnd w:id="16"/>
    </w:p>
    <w:p w14:paraId="7F298DA4" w14:textId="1E3B60A8" w:rsidR="00CC76BF" w:rsidRPr="00C868F2" w:rsidRDefault="00CC76BF" w:rsidP="00F76E8F">
      <w:pPr>
        <w:spacing w:line="480" w:lineRule="auto"/>
        <w:ind w:firstLine="720"/>
        <w:rPr>
          <w:color w:val="000000" w:themeColor="text1"/>
        </w:rPr>
      </w:pPr>
      <w:r w:rsidRPr="00C868F2">
        <w:rPr>
          <w:color w:val="000000" w:themeColor="text1"/>
        </w:rPr>
        <w:t xml:space="preserve">To ensure that the estimates stay consistent with the previous 2017 CBA, I will be using the same cost estimate formulas as Irwin et al, </w:t>
      </w:r>
      <w:r w:rsidR="004F6933" w:rsidRPr="00C868F2">
        <w:rPr>
          <w:color w:val="000000" w:themeColor="text1"/>
        </w:rPr>
        <w:t>however</w:t>
      </w:r>
      <w:r w:rsidR="004C1BC3" w:rsidRPr="00C868F2">
        <w:rPr>
          <w:color w:val="000000" w:themeColor="text1"/>
        </w:rPr>
        <w:t xml:space="preserve"> I will update the sensitivity analysis as well as the overdose mortality estimates</w:t>
      </w:r>
      <w:r w:rsidR="004F6933" w:rsidRPr="00C868F2">
        <w:rPr>
          <w:color w:val="000000" w:themeColor="text1"/>
        </w:rPr>
        <w:t>. Overdose mortality has increased in recent years as have the values associated with the services used by PWUD. Additionally, the benefits related to emergency service utilization as well as the benefits associated with lives saved will be much higher since the previous study only accounted for heroin use while this study accounts for all opioids.</w:t>
      </w:r>
    </w:p>
    <w:p w14:paraId="782BD6F8" w14:textId="2904E6F1" w:rsidR="00CC76BF" w:rsidRPr="00C868F2" w:rsidRDefault="00CC76BF" w:rsidP="00F76E8F">
      <w:pPr>
        <w:pStyle w:val="Heading2"/>
        <w:spacing w:line="480" w:lineRule="auto"/>
        <w:rPr>
          <w:rFonts w:ascii="Times New Roman" w:hAnsi="Times New Roman" w:cs="Times New Roman"/>
          <w:b/>
          <w:bCs/>
          <w:i/>
          <w:iCs/>
          <w:color w:val="000000" w:themeColor="text1"/>
          <w:sz w:val="24"/>
          <w:szCs w:val="24"/>
        </w:rPr>
      </w:pPr>
      <w:bookmarkStart w:id="17" w:name="_Toc103539037"/>
      <w:r w:rsidRPr="00C868F2">
        <w:rPr>
          <w:rFonts w:ascii="Times New Roman" w:hAnsi="Times New Roman" w:cs="Times New Roman"/>
          <w:b/>
          <w:bCs/>
          <w:i/>
          <w:iCs/>
          <w:color w:val="000000" w:themeColor="text1"/>
          <w:sz w:val="24"/>
          <w:szCs w:val="24"/>
        </w:rPr>
        <w:t>Cost of the Facility</w:t>
      </w:r>
      <w:bookmarkEnd w:id="17"/>
      <w:r w:rsidRPr="00C868F2">
        <w:rPr>
          <w:rFonts w:ascii="Times New Roman" w:hAnsi="Times New Roman" w:cs="Times New Roman"/>
          <w:b/>
          <w:bCs/>
          <w:i/>
          <w:iCs/>
          <w:color w:val="000000" w:themeColor="text1"/>
          <w:sz w:val="24"/>
          <w:szCs w:val="24"/>
        </w:rPr>
        <w:t xml:space="preserve"> </w:t>
      </w:r>
    </w:p>
    <w:p w14:paraId="44E2D4D1" w14:textId="30CBBAD8" w:rsidR="00CC76BF" w:rsidRPr="00C868F2" w:rsidRDefault="00CC76BF" w:rsidP="00F76E8F">
      <w:pPr>
        <w:spacing w:line="480" w:lineRule="auto"/>
        <w:rPr>
          <w:color w:val="000000" w:themeColor="text1"/>
        </w:rPr>
      </w:pPr>
      <w:r w:rsidRPr="00C868F2">
        <w:rPr>
          <w:b/>
          <w:bCs/>
          <w:color w:val="000000" w:themeColor="text1"/>
        </w:rPr>
        <w:tab/>
      </w:r>
      <w:r w:rsidRPr="00C868F2">
        <w:rPr>
          <w:color w:val="000000" w:themeColor="text1"/>
        </w:rPr>
        <w:t xml:space="preserve">The authors of the 2017 CBA estimated that it would cost roughly $1.5 million to open and operate a new SCS in Baltimore City that is the same size as the </w:t>
      </w:r>
      <w:r w:rsidR="00B512DB">
        <w:rPr>
          <w:color w:val="000000" w:themeColor="text1"/>
        </w:rPr>
        <w:t>Insite</w:t>
      </w:r>
      <w:r w:rsidRPr="00C868F2">
        <w:rPr>
          <w:color w:val="000000" w:themeColor="text1"/>
        </w:rPr>
        <w:t xml:space="preserve"> facility in Canada (Irwin et al., 2017). </w:t>
      </w:r>
      <w:r w:rsidR="004F6933" w:rsidRPr="00C868F2">
        <w:rPr>
          <w:color w:val="000000" w:themeColor="text1"/>
        </w:rPr>
        <w:t>I convert</w:t>
      </w:r>
      <w:r w:rsidRPr="00C868F2">
        <w:rPr>
          <w:color w:val="000000" w:themeColor="text1"/>
        </w:rPr>
        <w:t xml:space="preserve"> this cost to 202</w:t>
      </w:r>
      <w:r w:rsidR="004F6933" w:rsidRPr="00C868F2">
        <w:rPr>
          <w:color w:val="000000" w:themeColor="text1"/>
        </w:rPr>
        <w:t>2</w:t>
      </w:r>
      <w:r w:rsidRPr="00C868F2">
        <w:rPr>
          <w:color w:val="000000" w:themeColor="text1"/>
        </w:rPr>
        <w:t xml:space="preserve"> dollars using the inflation rate. This brings the cost to approximately $</w:t>
      </w:r>
      <w:r w:rsidR="004F6933" w:rsidRPr="00C868F2">
        <w:rPr>
          <w:color w:val="000000" w:themeColor="text1"/>
        </w:rPr>
        <w:t>1.7</w:t>
      </w:r>
      <w:r w:rsidRPr="00C868F2">
        <w:rPr>
          <w:color w:val="000000" w:themeColor="text1"/>
        </w:rPr>
        <w:t xml:space="preserve"> million for the facility. Just as Irwin et al. did, I will convert this $1.7 million into annual levelized payments over the span of a 25 year lifetime using the following equation: </w:t>
      </w:r>
    </w:p>
    <w:p w14:paraId="4D0B1EFB" w14:textId="77777777" w:rsidR="00CC76BF" w:rsidRPr="00C868F2" w:rsidRDefault="00CC76BF" w:rsidP="00F76E8F">
      <w:pPr>
        <w:spacing w:line="480" w:lineRule="auto"/>
        <w:rPr>
          <w:rFonts w:eastAsiaTheme="minorEastAsia"/>
          <w:b/>
          <w:bCs/>
          <w:color w:val="000000" w:themeColor="text1"/>
        </w:rPr>
      </w:pPr>
      <m:oMathPara>
        <m:oMath>
          <m:r>
            <m:rPr>
              <m:sty m:val="bi"/>
            </m:rPr>
            <w:rPr>
              <w:rFonts w:ascii="Cambria Math" w:hAnsi="Cambria Math"/>
              <w:color w:val="000000" w:themeColor="text1"/>
            </w:rPr>
            <m:t>C=</m:t>
          </m:r>
          <m:f>
            <m:fPr>
              <m:ctrlPr>
                <w:rPr>
                  <w:rFonts w:ascii="Cambria Math" w:hAnsi="Cambria Math"/>
                  <w:b/>
                  <w:bCs/>
                  <w:i/>
                  <w:color w:val="000000" w:themeColor="text1"/>
                </w:rPr>
              </m:ctrlPr>
            </m:fPr>
            <m:num>
              <m:r>
                <m:rPr>
                  <m:sty m:val="bi"/>
                </m:rPr>
                <w:rPr>
                  <w:rFonts w:ascii="Cambria Math" w:hAnsi="Cambria Math"/>
                  <w:color w:val="000000" w:themeColor="text1"/>
                </w:rPr>
                <m:t>iP</m:t>
              </m:r>
            </m:num>
            <m:den>
              <m:sSup>
                <m:sSupPr>
                  <m:ctrlPr>
                    <w:rPr>
                      <w:rFonts w:ascii="Cambria Math" w:hAnsi="Cambria Math"/>
                      <w:b/>
                      <w:bCs/>
                      <w:i/>
                      <w:color w:val="000000" w:themeColor="text1"/>
                    </w:rPr>
                  </m:ctrlPr>
                </m:sSupPr>
                <m:e>
                  <m:r>
                    <m:rPr>
                      <m:sty m:val="bi"/>
                    </m:rPr>
                    <w:rPr>
                      <w:rFonts w:ascii="Cambria Math" w:hAnsi="Cambria Math"/>
                      <w:color w:val="000000" w:themeColor="text1"/>
                    </w:rPr>
                    <m:t>1-(1+i)</m:t>
                  </m:r>
                </m:e>
                <m:sup>
                  <m:r>
                    <m:rPr>
                      <m:sty m:val="bi"/>
                    </m:rPr>
                    <w:rPr>
                      <w:rFonts w:ascii="Cambria Math" w:hAnsi="Cambria Math"/>
                      <w:color w:val="000000" w:themeColor="text1"/>
                    </w:rPr>
                    <m:t>-N</m:t>
                  </m:r>
                </m:sup>
              </m:sSup>
            </m:den>
          </m:f>
        </m:oMath>
      </m:oMathPara>
    </w:p>
    <w:p w14:paraId="3EB060D8" w14:textId="5504D7AD" w:rsidR="00CC76BF" w:rsidRPr="00C868F2" w:rsidRDefault="00CC76BF" w:rsidP="00F76E8F">
      <w:pPr>
        <w:spacing w:line="480" w:lineRule="auto"/>
        <w:rPr>
          <w:color w:val="000000" w:themeColor="text1"/>
        </w:rPr>
      </w:pPr>
      <w:r w:rsidRPr="00C868F2">
        <w:rPr>
          <w:color w:val="000000" w:themeColor="text1"/>
        </w:rPr>
        <w:t xml:space="preserve">where </w:t>
      </w:r>
      <w:r w:rsidRPr="00C868F2">
        <w:rPr>
          <w:i/>
          <w:iCs/>
          <w:color w:val="000000" w:themeColor="text1"/>
        </w:rPr>
        <w:t>C</w:t>
      </w:r>
      <w:r w:rsidRPr="00C868F2">
        <w:rPr>
          <w:color w:val="000000" w:themeColor="text1"/>
        </w:rPr>
        <w:t xml:space="preserve"> is the levelized annual upfront cost,</w:t>
      </w:r>
      <w:r w:rsidRPr="00C868F2">
        <w:rPr>
          <w:i/>
          <w:iCs/>
          <w:color w:val="000000" w:themeColor="text1"/>
        </w:rPr>
        <w:t xml:space="preserve"> </w:t>
      </w:r>
      <w:r w:rsidR="00F04F2F" w:rsidRPr="00C868F2">
        <w:rPr>
          <w:i/>
          <w:iCs/>
          <w:color w:val="000000" w:themeColor="text1"/>
        </w:rPr>
        <w:t>I</w:t>
      </w:r>
      <w:r w:rsidRPr="00C868F2">
        <w:rPr>
          <w:color w:val="000000" w:themeColor="text1"/>
        </w:rPr>
        <w:t xml:space="preserve"> is a standard 10% interest rate, </w:t>
      </w:r>
      <w:r w:rsidRPr="00C868F2">
        <w:rPr>
          <w:i/>
          <w:iCs/>
          <w:color w:val="000000" w:themeColor="text1"/>
        </w:rPr>
        <w:t>P</w:t>
      </w:r>
      <w:r w:rsidRPr="00C868F2">
        <w:rPr>
          <w:color w:val="000000" w:themeColor="text1"/>
        </w:rPr>
        <w:t xml:space="preserve"> is the $1.7 million total upfront cost, and </w:t>
      </w:r>
      <w:r w:rsidRPr="00C868F2">
        <w:rPr>
          <w:i/>
          <w:iCs/>
          <w:color w:val="000000" w:themeColor="text1"/>
        </w:rPr>
        <w:t xml:space="preserve">N </w:t>
      </w:r>
      <w:r w:rsidRPr="00C868F2">
        <w:rPr>
          <w:color w:val="000000" w:themeColor="text1"/>
        </w:rPr>
        <w:t xml:space="preserve">is the estimated lifetime of the SCS (Irwin et al., 2017). This brings the annual upfront cost to $187,285.72. In addition to the annual levelized payment, </w:t>
      </w:r>
      <w:r w:rsidR="00B512DB">
        <w:rPr>
          <w:color w:val="000000" w:themeColor="text1"/>
        </w:rPr>
        <w:t>Insite</w:t>
      </w:r>
      <w:r w:rsidRPr="00C868F2">
        <w:rPr>
          <w:color w:val="000000" w:themeColor="text1"/>
        </w:rPr>
        <w:t xml:space="preserve"> has an annual operating cost of $1.5 million (Irwin et al., 2017). Just as the authors of the previous study did, I will adjust this operating cost by multiplying </w:t>
      </w:r>
      <w:r w:rsidR="00B512DB">
        <w:rPr>
          <w:color w:val="000000" w:themeColor="text1"/>
        </w:rPr>
        <w:t>Insite</w:t>
      </w:r>
      <w:r w:rsidRPr="00C868F2">
        <w:rPr>
          <w:color w:val="000000" w:themeColor="text1"/>
        </w:rPr>
        <w:t>’s operating costs by a</w:t>
      </w:r>
      <w:r w:rsidR="00B85C5C" w:rsidRPr="00C868F2">
        <w:rPr>
          <w:color w:val="000000" w:themeColor="text1"/>
        </w:rPr>
        <w:t>n updated</w:t>
      </w:r>
      <w:r w:rsidRPr="00C868F2">
        <w:rPr>
          <w:color w:val="000000" w:themeColor="text1"/>
        </w:rPr>
        <w:t xml:space="preserve"> </w:t>
      </w:r>
      <w:r w:rsidR="00B85C5C" w:rsidRPr="00C868F2">
        <w:rPr>
          <w:color w:val="000000" w:themeColor="text1"/>
        </w:rPr>
        <w:t>9</w:t>
      </w:r>
      <w:r w:rsidRPr="00C868F2">
        <w:rPr>
          <w:color w:val="000000" w:themeColor="text1"/>
        </w:rPr>
        <w:t xml:space="preserve">% cost of living adjustment from Vancouver to Baltimore (Irwin et al., 2017). This </w:t>
      </w:r>
      <w:r w:rsidRPr="00C868F2">
        <w:rPr>
          <w:color w:val="000000" w:themeColor="text1"/>
        </w:rPr>
        <w:lastRenderedPageBreak/>
        <w:t>brings the annual operating costs to approximately $1.6</w:t>
      </w:r>
      <w:r w:rsidR="0037403B" w:rsidRPr="00C868F2">
        <w:rPr>
          <w:color w:val="000000" w:themeColor="text1"/>
        </w:rPr>
        <w:t>4</w:t>
      </w:r>
      <w:r w:rsidRPr="00C868F2">
        <w:rPr>
          <w:color w:val="000000" w:themeColor="text1"/>
        </w:rPr>
        <w:t xml:space="preserve"> million. So, the total annual cost is equal to $1,8</w:t>
      </w:r>
      <w:r w:rsidR="007F32A4" w:rsidRPr="00C868F2">
        <w:rPr>
          <w:color w:val="000000" w:themeColor="text1"/>
        </w:rPr>
        <w:t>22</w:t>
      </w:r>
      <w:r w:rsidRPr="00C868F2">
        <w:rPr>
          <w:color w:val="000000" w:themeColor="text1"/>
        </w:rPr>
        <w:t>,285.72</w:t>
      </w:r>
      <w:r w:rsidR="009B7BB4" w:rsidRPr="00C868F2">
        <w:rPr>
          <w:color w:val="000000" w:themeColor="text1"/>
        </w:rPr>
        <w:t xml:space="preserve"> (see Appendix A)</w:t>
      </w:r>
      <w:r w:rsidRPr="00C868F2">
        <w:rPr>
          <w:color w:val="000000" w:themeColor="text1"/>
        </w:rPr>
        <w:t xml:space="preserve">. </w:t>
      </w:r>
    </w:p>
    <w:p w14:paraId="0F801A42" w14:textId="05AB4107" w:rsidR="00CC76BF" w:rsidRPr="00C868F2" w:rsidRDefault="00CC76BF" w:rsidP="00F76E8F">
      <w:pPr>
        <w:pStyle w:val="Heading2"/>
        <w:spacing w:line="480" w:lineRule="auto"/>
        <w:rPr>
          <w:rFonts w:ascii="Times New Roman" w:hAnsi="Times New Roman" w:cs="Times New Roman"/>
          <w:b/>
          <w:bCs/>
          <w:i/>
          <w:iCs/>
          <w:color w:val="000000" w:themeColor="text1"/>
          <w:sz w:val="24"/>
          <w:szCs w:val="24"/>
        </w:rPr>
      </w:pPr>
      <w:bookmarkStart w:id="18" w:name="_Toc103539038"/>
      <w:r w:rsidRPr="00C868F2">
        <w:rPr>
          <w:rFonts w:ascii="Times New Roman" w:hAnsi="Times New Roman" w:cs="Times New Roman"/>
          <w:b/>
          <w:bCs/>
          <w:i/>
          <w:iCs/>
          <w:color w:val="000000" w:themeColor="text1"/>
          <w:sz w:val="24"/>
          <w:szCs w:val="24"/>
        </w:rPr>
        <w:t>Overdose Mortality Benefits</w:t>
      </w:r>
      <w:r w:rsidR="00BD72DE" w:rsidRPr="00C868F2">
        <w:rPr>
          <w:rFonts w:ascii="Times New Roman" w:hAnsi="Times New Roman" w:cs="Times New Roman"/>
          <w:b/>
          <w:bCs/>
          <w:i/>
          <w:iCs/>
          <w:color w:val="000000" w:themeColor="text1"/>
          <w:sz w:val="24"/>
          <w:szCs w:val="24"/>
        </w:rPr>
        <w:t>: Present Value</w:t>
      </w:r>
      <w:bookmarkEnd w:id="18"/>
      <w:r w:rsidR="00BD72DE" w:rsidRPr="00C868F2">
        <w:rPr>
          <w:rFonts w:ascii="Times New Roman" w:hAnsi="Times New Roman" w:cs="Times New Roman"/>
          <w:b/>
          <w:bCs/>
          <w:i/>
          <w:iCs/>
          <w:color w:val="000000" w:themeColor="text1"/>
          <w:sz w:val="24"/>
          <w:szCs w:val="24"/>
        </w:rPr>
        <w:t xml:space="preserve"> </w:t>
      </w:r>
    </w:p>
    <w:p w14:paraId="407C1D02" w14:textId="1FCA2AC3" w:rsidR="00CC76BF" w:rsidRPr="00C868F2" w:rsidRDefault="004453B7" w:rsidP="00F76E8F">
      <w:pPr>
        <w:spacing w:line="480" w:lineRule="auto"/>
        <w:ind w:firstLine="720"/>
        <w:rPr>
          <w:b/>
          <w:bCs/>
          <w:color w:val="000000" w:themeColor="text1"/>
        </w:rPr>
      </w:pPr>
      <w:r w:rsidRPr="00C868F2">
        <w:rPr>
          <w:noProof/>
          <w:color w:val="000000" w:themeColor="text1"/>
        </w:rPr>
        <w:drawing>
          <wp:anchor distT="0" distB="0" distL="114300" distR="114300" simplePos="0" relativeHeight="251659264" behindDoc="1" locked="0" layoutInCell="1" allowOverlap="1" wp14:anchorId="7ED3D9C1" wp14:editId="2055B840">
            <wp:simplePos x="0" y="0"/>
            <wp:positionH relativeFrom="column">
              <wp:posOffset>2005330</wp:posOffset>
            </wp:positionH>
            <wp:positionV relativeFrom="paragraph">
              <wp:posOffset>1008380</wp:posOffset>
            </wp:positionV>
            <wp:extent cx="4142740" cy="2760980"/>
            <wp:effectExtent l="0" t="0" r="0" b="0"/>
            <wp:wrapTight wrapText="bothSides">
              <wp:wrapPolygon edited="0">
                <wp:start x="0" y="0"/>
                <wp:lineTo x="0" y="21461"/>
                <wp:lineTo x="21521" y="21461"/>
                <wp:lineTo x="21521" y="0"/>
                <wp:lineTo x="0" y="0"/>
              </wp:wrapPolygon>
            </wp:wrapTight>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2740" cy="2760980"/>
                    </a:xfrm>
                    <a:prstGeom prst="rect">
                      <a:avLst/>
                    </a:prstGeom>
                  </pic:spPr>
                </pic:pic>
              </a:graphicData>
            </a:graphic>
            <wp14:sizeRelH relativeFrom="page">
              <wp14:pctWidth>0</wp14:pctWidth>
            </wp14:sizeRelH>
            <wp14:sizeRelV relativeFrom="page">
              <wp14:pctHeight>0</wp14:pctHeight>
            </wp14:sizeRelV>
          </wp:anchor>
        </w:drawing>
      </w:r>
      <w:r w:rsidR="00CC76BF" w:rsidRPr="00C868F2">
        <w:rPr>
          <w:color w:val="000000" w:themeColor="text1"/>
        </w:rPr>
        <w:t>Due to HIPAA laws, I do not have access to the exact coordinates of incidents where emergency service providers clinically administered naloxone for the year of 2020. In order to compensate for this, I used data from the Baltimore City Fire Department Clinically Administered Naloxone Data set</w:t>
      </w:r>
      <w:r w:rsidR="009A3EED">
        <w:rPr>
          <w:color w:val="000000" w:themeColor="text1"/>
        </w:rPr>
        <w:t xml:space="preserve"> (Maryland, 2021)</w:t>
      </w:r>
      <w:r w:rsidR="00CC76BF" w:rsidRPr="00C868F2">
        <w:rPr>
          <w:color w:val="000000" w:themeColor="text1"/>
        </w:rPr>
        <w:t>. This data shows the number of incidents where naloxone was distributed as well as the zip code and date of occurrence. I used STATA to find the zip code with the highest concentration of clinically administered naloxone incidents for the year 2020 [figure 1]. As seen in figure 1, zip code 21217 has the highest concentration with 342 incidents of clinically administered naloxone in the year 2020. This accounts for 17.1</w:t>
      </w:r>
      <w:r w:rsidR="00944B71" w:rsidRPr="00C868F2">
        <w:rPr>
          <w:color w:val="000000" w:themeColor="text1"/>
        </w:rPr>
        <w:t>%</w:t>
      </w:r>
      <w:r w:rsidR="00FF1DF3">
        <w:rPr>
          <w:color w:val="000000" w:themeColor="text1"/>
        </w:rPr>
        <w:t xml:space="preserve"> </w:t>
      </w:r>
      <w:r w:rsidR="00CC76BF" w:rsidRPr="00C868F2">
        <w:rPr>
          <w:color w:val="000000" w:themeColor="text1"/>
        </w:rPr>
        <w:t>of all naloxone distributions in Baltimore city during the evaluation period. Zip code 21217 has approximately a one mile radius which is equal to 1,604.34 meters. In order to complete the cost estimate calculations, I needed to find a 500 meter radius to place my hypothetical SCS. Assuming that naloxone distribution incidents were spread evenly among the area of interest, I found that there are approximately 106 clinically administered naloxone incidents per every 500 meter radius in the zip code 21227. This accounts for 5.31</w:t>
      </w:r>
      <w:r w:rsidR="00944B71" w:rsidRPr="00C868F2">
        <w:rPr>
          <w:color w:val="000000" w:themeColor="text1"/>
        </w:rPr>
        <w:t>%</w:t>
      </w:r>
      <w:r w:rsidR="00AA1E4E">
        <w:rPr>
          <w:color w:val="000000" w:themeColor="text1"/>
        </w:rPr>
        <w:t xml:space="preserve"> </w:t>
      </w:r>
      <w:r w:rsidR="00CC76BF" w:rsidRPr="00C868F2">
        <w:rPr>
          <w:color w:val="000000" w:themeColor="text1"/>
        </w:rPr>
        <w:t>of all</w:t>
      </w:r>
      <w:r w:rsidR="009C1A68" w:rsidRPr="00C868F2">
        <w:rPr>
          <w:color w:val="000000" w:themeColor="text1"/>
        </w:rPr>
        <w:t xml:space="preserve"> naloxone</w:t>
      </w:r>
      <w:r w:rsidR="00CC76BF" w:rsidRPr="00C868F2">
        <w:rPr>
          <w:color w:val="000000" w:themeColor="text1"/>
        </w:rPr>
        <w:t xml:space="preserve"> distributions in Baltimore City. Additionally, in 2020 in </w:t>
      </w:r>
      <w:r w:rsidR="00CC76BF" w:rsidRPr="00C868F2">
        <w:rPr>
          <w:color w:val="000000" w:themeColor="text1"/>
        </w:rPr>
        <w:lastRenderedPageBreak/>
        <w:t>Baltimore City, there were 964 opioid related overdose fatalities</w:t>
      </w:r>
      <w:r w:rsidR="009A3EED">
        <w:rPr>
          <w:color w:val="000000" w:themeColor="text1"/>
        </w:rPr>
        <w:t xml:space="preserve"> </w:t>
      </w:r>
      <w:r w:rsidR="009A3EED" w:rsidRPr="00C868F2">
        <w:rPr>
          <w:color w:val="000000" w:themeColor="text1"/>
          <w:shd w:val="clear" w:color="auto" w:fill="FFFFFF"/>
        </w:rPr>
        <w:t>(Maryland Department of Health, 2021)</w:t>
      </w:r>
      <w:r w:rsidR="00CC76BF" w:rsidRPr="00C868F2">
        <w:rPr>
          <w:color w:val="000000" w:themeColor="text1"/>
        </w:rPr>
        <w:t>. I assume that a conservative 50 opioid related fatalities happened in this 500 meter radius</w:t>
      </w:r>
      <w:r w:rsidR="009C1A68" w:rsidRPr="00C868F2">
        <w:rPr>
          <w:color w:val="000000" w:themeColor="text1"/>
        </w:rPr>
        <w:t xml:space="preserve"> by assuming that the naloxone distribution is the same as the overdose </w:t>
      </w:r>
      <w:r w:rsidR="00706BED" w:rsidRPr="00C868F2">
        <w:rPr>
          <w:color w:val="000000" w:themeColor="text1"/>
        </w:rPr>
        <w:t>distribution</w:t>
      </w:r>
      <w:r w:rsidR="009C1A68" w:rsidRPr="00C868F2">
        <w:rPr>
          <w:color w:val="000000" w:themeColor="text1"/>
        </w:rPr>
        <w:t xml:space="preserve"> where roughly 5.31</w:t>
      </w:r>
      <w:r w:rsidR="00944B71" w:rsidRPr="00C868F2">
        <w:rPr>
          <w:color w:val="000000" w:themeColor="text1"/>
        </w:rPr>
        <w:t>%</w:t>
      </w:r>
      <w:r w:rsidR="0045409E">
        <w:rPr>
          <w:color w:val="000000" w:themeColor="text1"/>
        </w:rPr>
        <w:t xml:space="preserve"> </w:t>
      </w:r>
      <w:r w:rsidR="009C1A68" w:rsidRPr="00C868F2">
        <w:rPr>
          <w:color w:val="000000" w:themeColor="text1"/>
        </w:rPr>
        <w:t xml:space="preserve">of overdose fatalities happen </w:t>
      </w:r>
      <w:r w:rsidR="00706BED" w:rsidRPr="00C868F2">
        <w:rPr>
          <w:color w:val="000000" w:themeColor="text1"/>
        </w:rPr>
        <w:t>within</w:t>
      </w:r>
      <w:r w:rsidR="009C1A68" w:rsidRPr="00C868F2">
        <w:rPr>
          <w:color w:val="000000" w:themeColor="text1"/>
        </w:rPr>
        <w:t xml:space="preserve"> this 500 meter radius</w:t>
      </w:r>
      <w:r w:rsidR="00CC76BF" w:rsidRPr="00C868F2">
        <w:rPr>
          <w:color w:val="000000" w:themeColor="text1"/>
        </w:rPr>
        <w:t>. This 5.31</w:t>
      </w:r>
      <w:r w:rsidR="00944B71" w:rsidRPr="00C868F2">
        <w:rPr>
          <w:color w:val="000000" w:themeColor="text1"/>
        </w:rPr>
        <w:t>%</w:t>
      </w:r>
      <w:r w:rsidR="00247021">
        <w:rPr>
          <w:color w:val="000000" w:themeColor="text1"/>
        </w:rPr>
        <w:t xml:space="preserve"> </w:t>
      </w:r>
      <w:r w:rsidR="00CC76BF" w:rsidRPr="00C868F2">
        <w:rPr>
          <w:color w:val="000000" w:themeColor="text1"/>
        </w:rPr>
        <w:t>is relatively consistent with the 2017 CBA where it was estimated that 5</w:t>
      </w:r>
      <w:r w:rsidR="00944B71" w:rsidRPr="00C868F2">
        <w:rPr>
          <w:color w:val="000000" w:themeColor="text1"/>
        </w:rPr>
        <w:t>%</w:t>
      </w:r>
      <w:r w:rsidR="00247021">
        <w:rPr>
          <w:color w:val="000000" w:themeColor="text1"/>
        </w:rPr>
        <w:t xml:space="preserve"> </w:t>
      </w:r>
      <w:r w:rsidR="00CC76BF" w:rsidRPr="00C868F2">
        <w:rPr>
          <w:color w:val="000000" w:themeColor="text1"/>
        </w:rPr>
        <w:t xml:space="preserve">of all distributions in Baltimore City happened in their estimated 500 meter radius (Irwin et al., 2017). This 0.31 percentage point increase is expected with how overdose trends have increased since 2017. </w:t>
      </w:r>
    </w:p>
    <w:p w14:paraId="7471B70E" w14:textId="6F060381" w:rsidR="00CC76BF" w:rsidRPr="00C868F2" w:rsidRDefault="00CC76BF" w:rsidP="00F76E8F">
      <w:pPr>
        <w:pStyle w:val="NormalWeb"/>
        <w:shd w:val="clear" w:color="auto" w:fill="FFFFFF"/>
        <w:spacing w:before="0" w:beforeAutospacing="0" w:after="360" w:afterAutospacing="0" w:line="480" w:lineRule="auto"/>
        <w:ind w:firstLine="720"/>
        <w:rPr>
          <w:color w:val="000000" w:themeColor="text1"/>
        </w:rPr>
      </w:pPr>
      <w:r w:rsidRPr="00C868F2">
        <w:rPr>
          <w:color w:val="000000" w:themeColor="text1"/>
        </w:rPr>
        <w:t>I calculate the</w:t>
      </w:r>
      <w:r w:rsidR="00BD72DE" w:rsidRPr="00C868F2">
        <w:rPr>
          <w:color w:val="000000" w:themeColor="text1"/>
        </w:rPr>
        <w:t xml:space="preserve"> present</w:t>
      </w:r>
      <w:r w:rsidRPr="00C868F2">
        <w:rPr>
          <w:color w:val="000000" w:themeColor="text1"/>
        </w:rPr>
        <w:t xml:space="preserve"> value of overdose deaths averted by the SCS (</w:t>
      </w:r>
      <w:r w:rsidRPr="00C868F2">
        <w:rPr>
          <w:i/>
          <w:iCs/>
          <w:color w:val="000000" w:themeColor="text1"/>
        </w:rPr>
        <w:t>S</w:t>
      </w:r>
      <w:r w:rsidRPr="00C868F2">
        <w:rPr>
          <w:color w:val="000000" w:themeColor="text1"/>
        </w:rPr>
        <w:t> </w:t>
      </w:r>
      <w:r w:rsidRPr="00C868F2">
        <w:rPr>
          <w:color w:val="000000" w:themeColor="text1"/>
          <w:vertAlign w:val="subscript"/>
        </w:rPr>
        <w:t>OD</w:t>
      </w:r>
      <w:r w:rsidRPr="00C868F2">
        <w:rPr>
          <w:color w:val="000000" w:themeColor="text1"/>
        </w:rPr>
        <w:t>) according to the following equations:</w:t>
      </w:r>
    </w:p>
    <w:p w14:paraId="4988926A" w14:textId="77777777" w:rsidR="00CC76BF" w:rsidRPr="00C868F2" w:rsidRDefault="00CC76BF" w:rsidP="00F76E8F">
      <w:pPr>
        <w:pStyle w:val="NormalWeb"/>
        <w:shd w:val="clear" w:color="auto" w:fill="FFFFFF"/>
        <w:spacing w:before="0" w:beforeAutospacing="0" w:after="360" w:afterAutospacing="0" w:line="480" w:lineRule="auto"/>
        <w:jc w:val="center"/>
        <w:rPr>
          <w:b/>
          <w:bCs/>
          <w:color w:val="000000" w:themeColor="text1"/>
        </w:rPr>
      </w:pPr>
      <w:r w:rsidRPr="00C868F2">
        <w:rPr>
          <w:rFonts w:ascii="Cambria Math" w:hAnsi="Cambria Math" w:cs="Cambria Math"/>
          <w:b/>
          <w:bCs/>
          <w:color w:val="000000" w:themeColor="text1"/>
          <w:bdr w:val="none" w:sz="0" w:space="0" w:color="auto" w:frame="1"/>
        </w:rPr>
        <w:t>𝑆</w:t>
      </w:r>
      <w:r w:rsidRPr="00C868F2">
        <w:rPr>
          <w:b/>
          <w:bCs/>
          <w:color w:val="000000" w:themeColor="text1"/>
          <w:bdr w:val="none" w:sz="0" w:space="0" w:color="auto" w:frame="1"/>
          <w:vertAlign w:val="subscript"/>
        </w:rPr>
        <w:t>OD</w:t>
      </w:r>
      <w:r w:rsidRPr="00C868F2">
        <w:rPr>
          <w:b/>
          <w:bCs/>
          <w:color w:val="000000" w:themeColor="text1"/>
          <w:bdr w:val="none" w:sz="0" w:space="0" w:color="auto" w:frame="1"/>
        </w:rPr>
        <w:t>=</w:t>
      </w:r>
      <w:r w:rsidRPr="00C868F2">
        <w:rPr>
          <w:rFonts w:ascii="Cambria Math" w:hAnsi="Cambria Math" w:cs="Cambria Math"/>
          <w:b/>
          <w:bCs/>
          <w:color w:val="000000" w:themeColor="text1"/>
          <w:bdr w:val="none" w:sz="0" w:space="0" w:color="auto" w:frame="1"/>
        </w:rPr>
        <w:t>𝑟𝑛𝐷𝑉</w:t>
      </w:r>
    </w:p>
    <w:p w14:paraId="1765CFF1" w14:textId="4CE58744" w:rsidR="00CC76BF" w:rsidRPr="00C868F2" w:rsidRDefault="00CC76BF" w:rsidP="00F76E8F">
      <w:pPr>
        <w:spacing w:line="480" w:lineRule="auto"/>
        <w:rPr>
          <w:rFonts w:eastAsiaTheme="minorEastAsia"/>
          <w:bCs/>
          <w:color w:val="000000" w:themeColor="text1"/>
        </w:rPr>
      </w:pPr>
      <w:r w:rsidRPr="00C868F2">
        <w:rPr>
          <w:color w:val="000000" w:themeColor="text1"/>
          <w:bdr w:val="none" w:sz="0" w:space="0" w:color="auto" w:frame="1"/>
        </w:rPr>
        <w:t xml:space="preserve">where </w:t>
      </w:r>
      <w:r w:rsidRPr="00C868F2">
        <w:rPr>
          <w:i/>
          <w:iCs/>
          <w:color w:val="000000" w:themeColor="text1"/>
          <w:bdr w:val="none" w:sz="0" w:space="0" w:color="auto" w:frame="1"/>
        </w:rPr>
        <w:t>r</w:t>
      </w:r>
      <w:r w:rsidRPr="00C868F2">
        <w:rPr>
          <w:color w:val="000000" w:themeColor="text1"/>
          <w:bdr w:val="none" w:sz="0" w:space="0" w:color="auto" w:frame="1"/>
        </w:rPr>
        <w:t xml:space="preserve"> is the rate of overdose death reduction expected within 500 m, </w:t>
      </w:r>
      <w:r w:rsidRPr="00C868F2">
        <w:rPr>
          <w:i/>
          <w:iCs/>
          <w:color w:val="000000" w:themeColor="text1"/>
          <w:bdr w:val="none" w:sz="0" w:space="0" w:color="auto" w:frame="1"/>
        </w:rPr>
        <w:t>n</w:t>
      </w:r>
      <w:r w:rsidRPr="00C868F2">
        <w:rPr>
          <w:color w:val="000000" w:themeColor="text1"/>
          <w:bdr w:val="none" w:sz="0" w:space="0" w:color="auto" w:frame="1"/>
        </w:rPr>
        <w:t xml:space="preserve"> is the 5.31</w:t>
      </w:r>
      <w:r w:rsidR="00944B71" w:rsidRPr="00C868F2">
        <w:rPr>
          <w:color w:val="000000" w:themeColor="text1"/>
          <w:bdr w:val="none" w:sz="0" w:space="0" w:color="auto" w:frame="1"/>
        </w:rPr>
        <w:t>%</w:t>
      </w:r>
      <w:r w:rsidR="004C1BC3" w:rsidRPr="00C868F2">
        <w:rPr>
          <w:color w:val="000000" w:themeColor="text1"/>
          <w:bdr w:val="none" w:sz="0" w:space="0" w:color="auto" w:frame="1"/>
        </w:rPr>
        <w:t xml:space="preserve"> </w:t>
      </w:r>
      <w:r w:rsidRPr="00C868F2">
        <w:rPr>
          <w:color w:val="000000" w:themeColor="text1"/>
          <w:bdr w:val="none" w:sz="0" w:space="0" w:color="auto" w:frame="1"/>
        </w:rPr>
        <w:t xml:space="preserve">share of naloxone administrations concentrated within a 500 meter radius in Baltimore, </w:t>
      </w:r>
      <w:r w:rsidRPr="00C868F2">
        <w:rPr>
          <w:i/>
          <w:iCs/>
          <w:color w:val="000000" w:themeColor="text1"/>
          <w:bdr w:val="none" w:sz="0" w:space="0" w:color="auto" w:frame="1"/>
        </w:rPr>
        <w:t>D</w:t>
      </w:r>
      <w:r w:rsidRPr="00C868F2">
        <w:rPr>
          <w:color w:val="000000" w:themeColor="text1"/>
          <w:bdr w:val="none" w:sz="0" w:space="0" w:color="auto" w:frame="1"/>
        </w:rPr>
        <w:t xml:space="preserve"> is the total number of overdose deaths in Baltimore, and </w:t>
      </w:r>
      <w:r w:rsidRPr="00C868F2">
        <w:rPr>
          <w:i/>
          <w:iCs/>
          <w:color w:val="000000" w:themeColor="text1"/>
          <w:bdr w:val="none" w:sz="0" w:space="0" w:color="auto" w:frame="1"/>
        </w:rPr>
        <w:t>V</w:t>
      </w:r>
      <w:r w:rsidRPr="00C868F2">
        <w:rPr>
          <w:color w:val="000000" w:themeColor="text1"/>
          <w:bdr w:val="none" w:sz="0" w:space="0" w:color="auto" w:frame="1"/>
        </w:rPr>
        <w:t xml:space="preserve"> is the</w:t>
      </w:r>
      <w:r w:rsidR="001469A2" w:rsidRPr="00C868F2">
        <w:rPr>
          <w:color w:val="000000" w:themeColor="text1"/>
          <w:bdr w:val="none" w:sz="0" w:space="0" w:color="auto" w:frame="1"/>
        </w:rPr>
        <w:t xml:space="preserve"> present</w:t>
      </w:r>
      <w:r w:rsidRPr="00C868F2">
        <w:rPr>
          <w:color w:val="000000" w:themeColor="text1"/>
          <w:bdr w:val="none" w:sz="0" w:space="0" w:color="auto" w:frame="1"/>
        </w:rPr>
        <w:t xml:space="preserve"> value of a single life saved </w:t>
      </w:r>
      <w:r w:rsidRPr="00C868F2">
        <w:rPr>
          <w:rFonts w:eastAsiaTheme="minorEastAsia"/>
          <w:bCs/>
          <w:color w:val="000000" w:themeColor="text1"/>
        </w:rPr>
        <w:t>(Irwin et al., 2017).</w:t>
      </w:r>
      <w:r w:rsidR="00815C40" w:rsidRPr="00C868F2">
        <w:rPr>
          <w:rFonts w:eastAsiaTheme="minorEastAsia"/>
          <w:bCs/>
          <w:color w:val="000000" w:themeColor="text1"/>
        </w:rPr>
        <w:t xml:space="preserve"> </w:t>
      </w:r>
      <w:r w:rsidRPr="00C868F2">
        <w:rPr>
          <w:color w:val="000000" w:themeColor="text1"/>
          <w:bdr w:val="none" w:sz="0" w:space="0" w:color="auto" w:frame="1"/>
        </w:rPr>
        <w:t xml:space="preserve">I calculate the </w:t>
      </w:r>
      <w:r w:rsidR="004C53C7" w:rsidRPr="00C868F2">
        <w:rPr>
          <w:color w:val="000000" w:themeColor="text1"/>
          <w:bdr w:val="none" w:sz="0" w:space="0" w:color="auto" w:frame="1"/>
        </w:rPr>
        <w:t>present value of a life saved</w:t>
      </w:r>
      <w:r w:rsidRPr="00C868F2">
        <w:rPr>
          <w:color w:val="000000" w:themeColor="text1"/>
          <w:bdr w:val="none" w:sz="0" w:space="0" w:color="auto" w:frame="1"/>
        </w:rPr>
        <w:t xml:space="preserve"> in Baltimore city by using the reported median annual income for Baltimore City residents, assuming that the average estimated number of years until retirement is 30 years, as well as using a discount rate of 3</w:t>
      </w:r>
      <w:r w:rsidR="00944B71" w:rsidRPr="00C868F2">
        <w:rPr>
          <w:color w:val="000000" w:themeColor="text1"/>
          <w:bdr w:val="none" w:sz="0" w:space="0" w:color="auto" w:frame="1"/>
        </w:rPr>
        <w:t>%</w:t>
      </w:r>
      <w:r w:rsidR="006C0004" w:rsidRPr="00C868F2">
        <w:rPr>
          <w:color w:val="000000" w:themeColor="text1"/>
          <w:bdr w:val="none" w:sz="0" w:space="0" w:color="auto" w:frame="1"/>
        </w:rPr>
        <w:t xml:space="preserve"> </w:t>
      </w:r>
      <w:r w:rsidRPr="00C868F2">
        <w:rPr>
          <w:color w:val="000000" w:themeColor="text1"/>
          <w:bdr w:val="none" w:sz="0" w:space="0" w:color="auto" w:frame="1"/>
        </w:rPr>
        <w:t>(Irwin et al., 2017). This puts the value of a single life saved at $</w:t>
      </w:r>
      <w:r w:rsidR="00871A98" w:rsidRPr="00C868F2">
        <w:rPr>
          <w:color w:val="000000" w:themeColor="text1"/>
          <w:bdr w:val="none" w:sz="0" w:space="0" w:color="auto" w:frame="1"/>
        </w:rPr>
        <w:t>640</w:t>
      </w:r>
      <w:r w:rsidRPr="00C868F2">
        <w:rPr>
          <w:color w:val="000000" w:themeColor="text1"/>
          <w:bdr w:val="none" w:sz="0" w:space="0" w:color="auto" w:frame="1"/>
        </w:rPr>
        <w:t>,</w:t>
      </w:r>
      <w:r w:rsidR="00085775" w:rsidRPr="00C868F2">
        <w:rPr>
          <w:color w:val="000000" w:themeColor="text1"/>
          <w:bdr w:val="none" w:sz="0" w:space="0" w:color="auto" w:frame="1"/>
        </w:rPr>
        <w:t>915</w:t>
      </w:r>
      <w:r w:rsidRPr="00C868F2">
        <w:rPr>
          <w:color w:val="000000" w:themeColor="text1"/>
          <w:bdr w:val="none" w:sz="0" w:space="0" w:color="auto" w:frame="1"/>
        </w:rPr>
        <w:t xml:space="preserve">. Using the above equation, this brings the total </w:t>
      </w:r>
      <w:r w:rsidR="004D1F72" w:rsidRPr="00C868F2">
        <w:rPr>
          <w:color w:val="000000" w:themeColor="text1"/>
          <w:bdr w:val="none" w:sz="0" w:space="0" w:color="auto" w:frame="1"/>
        </w:rPr>
        <w:t xml:space="preserve">benefits </w:t>
      </w:r>
      <w:r w:rsidRPr="00C868F2">
        <w:rPr>
          <w:color w:val="000000" w:themeColor="text1"/>
          <w:bdr w:val="none" w:sz="0" w:space="0" w:color="auto" w:frame="1"/>
        </w:rPr>
        <w:t>from averted overdoses within a 500 meter radius of the hypothetical SCS to $</w:t>
      </w:r>
      <w:r w:rsidR="00085775" w:rsidRPr="00C868F2">
        <w:rPr>
          <w:color w:val="000000" w:themeColor="text1"/>
          <w:bdr w:val="none" w:sz="0" w:space="0" w:color="auto" w:frame="1"/>
        </w:rPr>
        <w:t>8,431,503</w:t>
      </w:r>
      <w:r w:rsidRPr="00C868F2">
        <w:rPr>
          <w:color w:val="000000" w:themeColor="text1"/>
          <w:bdr w:val="none" w:sz="0" w:space="0" w:color="auto" w:frame="1"/>
        </w:rPr>
        <w:t xml:space="preserve"> annually with approximately 13.2 overdoses prevented annually. </w:t>
      </w:r>
      <w:r w:rsidR="00815C40" w:rsidRPr="00C868F2">
        <w:rPr>
          <w:rFonts w:eastAsiaTheme="minorEastAsia"/>
          <w:bCs/>
          <w:color w:val="000000" w:themeColor="text1"/>
        </w:rPr>
        <w:t xml:space="preserve">For variables and sources see appendix </w:t>
      </w:r>
      <w:r w:rsidR="00500C1F" w:rsidRPr="00C868F2">
        <w:rPr>
          <w:rFonts w:eastAsiaTheme="minorEastAsia"/>
          <w:bCs/>
          <w:color w:val="000000" w:themeColor="text1"/>
        </w:rPr>
        <w:t>B</w:t>
      </w:r>
      <w:r w:rsidR="00815C40" w:rsidRPr="00C868F2">
        <w:rPr>
          <w:rFonts w:eastAsiaTheme="minorEastAsia"/>
          <w:bCs/>
          <w:color w:val="000000" w:themeColor="text1"/>
        </w:rPr>
        <w:t>.</w:t>
      </w:r>
    </w:p>
    <w:p w14:paraId="184DBD1A" w14:textId="6346A6E8" w:rsidR="00BD72DE" w:rsidRPr="00C868F2" w:rsidRDefault="00BD72DE" w:rsidP="00917920">
      <w:pPr>
        <w:pStyle w:val="Heading2"/>
        <w:spacing w:line="480" w:lineRule="auto"/>
        <w:rPr>
          <w:rFonts w:ascii="Times New Roman" w:eastAsiaTheme="minorEastAsia" w:hAnsi="Times New Roman" w:cs="Times New Roman"/>
          <w:b/>
          <w:bCs/>
          <w:i/>
          <w:iCs/>
          <w:color w:val="000000" w:themeColor="text1"/>
          <w:sz w:val="24"/>
          <w:szCs w:val="24"/>
        </w:rPr>
      </w:pPr>
      <w:bookmarkStart w:id="19" w:name="_Toc103539039"/>
      <w:r w:rsidRPr="00C868F2">
        <w:rPr>
          <w:rFonts w:ascii="Times New Roman" w:eastAsiaTheme="minorEastAsia" w:hAnsi="Times New Roman" w:cs="Times New Roman"/>
          <w:b/>
          <w:bCs/>
          <w:i/>
          <w:iCs/>
          <w:color w:val="000000" w:themeColor="text1"/>
          <w:sz w:val="24"/>
          <w:szCs w:val="24"/>
        </w:rPr>
        <w:lastRenderedPageBreak/>
        <w:t>Overdose Mortality Benefits: Value of a Statistical Life</w:t>
      </w:r>
      <w:bookmarkEnd w:id="19"/>
    </w:p>
    <w:p w14:paraId="125696A1" w14:textId="4A4DACA7" w:rsidR="00AA1E4E" w:rsidRDefault="00BD72DE" w:rsidP="00AA1E4E">
      <w:pPr>
        <w:spacing w:line="480" w:lineRule="auto"/>
        <w:rPr>
          <w:rFonts w:eastAsiaTheme="minorEastAsia"/>
          <w:bCs/>
          <w:color w:val="000000" w:themeColor="text1"/>
        </w:rPr>
      </w:pPr>
      <w:r w:rsidRPr="00C868F2">
        <w:rPr>
          <w:rFonts w:eastAsiaTheme="minorEastAsia"/>
          <w:b/>
          <w:i/>
          <w:iCs/>
          <w:color w:val="000000" w:themeColor="text1"/>
        </w:rPr>
        <w:tab/>
      </w:r>
      <w:r w:rsidRPr="00C868F2">
        <w:rPr>
          <w:rFonts w:eastAsiaTheme="minorEastAsia"/>
          <w:bCs/>
          <w:color w:val="000000" w:themeColor="text1"/>
        </w:rPr>
        <w:t>In order to update the 2017 metho</w:t>
      </w:r>
      <w:r w:rsidR="00951695" w:rsidRPr="00C868F2">
        <w:rPr>
          <w:rFonts w:eastAsiaTheme="minorEastAsia"/>
          <w:bCs/>
          <w:color w:val="000000" w:themeColor="text1"/>
        </w:rPr>
        <w:t>dol</w:t>
      </w:r>
      <w:r w:rsidRPr="00C868F2">
        <w:rPr>
          <w:rFonts w:eastAsiaTheme="minorEastAsia"/>
          <w:bCs/>
          <w:color w:val="000000" w:themeColor="text1"/>
        </w:rPr>
        <w:t>ogy and apply standard CBA practices to this analysis, I will also be using the value of a statistical life (VSL) used by the Department of Health &amp; Human Services</w:t>
      </w:r>
      <w:r w:rsidR="004C1BC3" w:rsidRPr="00C868F2">
        <w:rPr>
          <w:rFonts w:eastAsiaTheme="minorEastAsia"/>
          <w:bCs/>
          <w:color w:val="000000" w:themeColor="text1"/>
        </w:rPr>
        <w:t xml:space="preserve"> (HHS)</w:t>
      </w:r>
      <w:r w:rsidR="00411BC5" w:rsidRPr="00C868F2">
        <w:rPr>
          <w:rFonts w:eastAsiaTheme="minorEastAsia"/>
          <w:bCs/>
          <w:color w:val="000000" w:themeColor="text1"/>
        </w:rPr>
        <w:t>.</w:t>
      </w:r>
      <w:r w:rsidR="00AD686C" w:rsidRPr="00C868F2">
        <w:rPr>
          <w:rFonts w:eastAsiaTheme="minorEastAsia"/>
          <w:bCs/>
          <w:color w:val="000000" w:themeColor="text1"/>
        </w:rPr>
        <w:t xml:space="preserve"> </w:t>
      </w:r>
      <w:r w:rsidR="00253831" w:rsidRPr="00C868F2">
        <w:rPr>
          <w:rFonts w:eastAsiaTheme="minorEastAsia"/>
          <w:bCs/>
          <w:color w:val="000000" w:themeColor="text1"/>
        </w:rPr>
        <w:t>In 2020 dollars, HHS updated the VSL estimates for future earnings and inflation using a 2013 baseline VSL. HHS estimated that the central VSL estimate (in 2020 dollars) for the year 2022 is approximately $11.6 million (20</w:t>
      </w:r>
      <w:r w:rsidR="00A03479" w:rsidRPr="00C868F2">
        <w:rPr>
          <w:rFonts w:eastAsiaTheme="minorEastAsia"/>
          <w:bCs/>
          <w:color w:val="000000" w:themeColor="text1"/>
        </w:rPr>
        <w:t>17</w:t>
      </w:r>
      <w:r w:rsidR="00253831" w:rsidRPr="00C868F2">
        <w:rPr>
          <w:rFonts w:eastAsiaTheme="minorEastAsia"/>
          <w:bCs/>
          <w:color w:val="000000" w:themeColor="text1"/>
        </w:rPr>
        <w:t>).</w:t>
      </w:r>
      <w:r w:rsidR="00AA1E4E">
        <w:rPr>
          <w:rFonts w:eastAsiaTheme="minorEastAsia"/>
          <w:bCs/>
          <w:color w:val="000000" w:themeColor="text1"/>
        </w:rPr>
        <w:t xml:space="preserve"> </w:t>
      </w:r>
      <w:r w:rsidR="00253831" w:rsidRPr="00C868F2">
        <w:rPr>
          <w:rFonts w:eastAsiaTheme="minorEastAsia"/>
          <w:bCs/>
          <w:color w:val="000000" w:themeColor="text1"/>
        </w:rPr>
        <w:t xml:space="preserve"> In 2022 dollars, this brings the VSL to $12.9 million. </w:t>
      </w:r>
      <w:r w:rsidR="00AA1E4E">
        <w:rPr>
          <w:rFonts w:eastAsiaTheme="minorEastAsia"/>
          <w:bCs/>
          <w:color w:val="000000" w:themeColor="text1"/>
        </w:rPr>
        <w:t>The next step for using VSL is</w:t>
      </w:r>
      <w:r w:rsidR="009956B4">
        <w:rPr>
          <w:rFonts w:eastAsiaTheme="minorEastAsia"/>
          <w:bCs/>
          <w:color w:val="000000" w:themeColor="text1"/>
        </w:rPr>
        <w:t xml:space="preserve"> to</w:t>
      </w:r>
      <w:r w:rsidR="00AA1E4E">
        <w:rPr>
          <w:rFonts w:eastAsiaTheme="minorEastAsia"/>
          <w:bCs/>
          <w:color w:val="000000" w:themeColor="text1"/>
        </w:rPr>
        <w:t xml:space="preserve"> the adjust the values for real income growth over the span of the lifetime of the project using the following formula:</w:t>
      </w:r>
    </w:p>
    <w:p w14:paraId="620D31E6" w14:textId="77777777" w:rsidR="00AA1E4E" w:rsidRDefault="00AA1E4E" w:rsidP="00AA1E4E">
      <w:pPr>
        <w:spacing w:line="480" w:lineRule="auto"/>
        <w:jc w:val="center"/>
        <w:rPr>
          <w:b/>
          <w:bCs/>
        </w:rPr>
      </w:pPr>
    </w:p>
    <w:p w14:paraId="00BC41F6" w14:textId="4567AF7A" w:rsidR="00AA1E4E" w:rsidRDefault="00FB3D7D" w:rsidP="00AA1E4E">
      <w:pPr>
        <w:spacing w:line="480" w:lineRule="auto"/>
        <w:jc w:val="center"/>
        <w:rPr>
          <w:b/>
          <w:bCs/>
          <w:vertAlign w:val="superscript"/>
        </w:rPr>
      </w:pPr>
      <m:oMathPara>
        <m:oMath>
          <m:r>
            <m:rPr>
              <m:sty m:val="bi"/>
            </m:rPr>
            <w:rPr>
              <w:rFonts w:ascii="Cambria Math" w:hAnsi="Cambria Math"/>
            </w:rPr>
            <m:t>VSL</m:t>
          </m:r>
          <m:d>
            <m:dPr>
              <m:ctrlPr>
                <w:rPr>
                  <w:rFonts w:ascii="Cambria Math" w:hAnsi="Cambria Math"/>
                  <w:b/>
                  <w:bCs/>
                  <w:i/>
                </w:rPr>
              </m:ctrlPr>
            </m:dPr>
            <m:e>
              <m:r>
                <m:rPr>
                  <m:sty m:val="bi"/>
                </m:rPr>
                <w:rPr>
                  <w:rFonts w:ascii="Cambria Math" w:hAnsi="Cambria Math"/>
                </w:rPr>
                <m:t>year y</m:t>
              </m:r>
            </m:e>
          </m:d>
          <m:r>
            <m:rPr>
              <m:sty m:val="bi"/>
            </m:rPr>
            <w:rPr>
              <w:rFonts w:ascii="Cambria Math" w:hAnsi="Cambria Math"/>
            </w:rPr>
            <m:t>= VSL</m:t>
          </m:r>
          <m:d>
            <m:dPr>
              <m:ctrlPr>
                <w:rPr>
                  <w:rFonts w:ascii="Cambria Math" w:hAnsi="Cambria Math"/>
                  <w:b/>
                  <w:bCs/>
                  <w:i/>
                </w:rPr>
              </m:ctrlPr>
            </m:dPr>
            <m:e>
              <m:r>
                <m:rPr>
                  <m:sty m:val="bi"/>
                </m:rPr>
                <w:rPr>
                  <w:rFonts w:ascii="Cambria Math" w:hAnsi="Cambria Math"/>
                </w:rPr>
                <m:t>year x</m:t>
              </m:r>
            </m:e>
          </m:d>
          <m:r>
            <m:rPr>
              <m:sty m:val="bi"/>
            </m:rPr>
            <w:rPr>
              <w:rFonts w:ascii="Cambria Math" w:hAnsi="Cambria Math"/>
            </w:rPr>
            <m:t xml:space="preserve"> × </m:t>
          </m:r>
          <m:sSup>
            <m:sSupPr>
              <m:ctrlPr>
                <w:rPr>
                  <w:rFonts w:ascii="Cambria Math" w:hAnsi="Cambria Math"/>
                  <w:b/>
                  <w:bCs/>
                  <w:i/>
                  <w:vertAlign w:val="superscript"/>
                </w:rPr>
              </m:ctrlPr>
            </m:sSupPr>
            <m:e>
              <m:r>
                <m:rPr>
                  <m:sty m:val="bi"/>
                </m:rPr>
                <w:rPr>
                  <w:rFonts w:ascii="Cambria Math" w:hAnsi="Cambria Math"/>
                </w:rPr>
                <m:t>(1+real income growth rate)</m:t>
              </m:r>
            </m:e>
            <m:sup>
              <m:r>
                <m:rPr>
                  <m:sty m:val="bi"/>
                </m:rPr>
                <w:rPr>
                  <w:rFonts w:ascii="Cambria Math" w:hAnsi="Cambria Math"/>
                  <w:vertAlign w:val="superscript"/>
                </w:rPr>
                <m:t>elasticity * (y – x)</m:t>
              </m:r>
            </m:sup>
          </m:sSup>
        </m:oMath>
      </m:oMathPara>
    </w:p>
    <w:p w14:paraId="7F0C05C7" w14:textId="77777777" w:rsidR="00AA1E4E" w:rsidRPr="00AA1E4E" w:rsidRDefault="00AA1E4E" w:rsidP="00AA1E4E">
      <w:pPr>
        <w:spacing w:line="480" w:lineRule="auto"/>
        <w:jc w:val="center"/>
        <w:rPr>
          <w:b/>
          <w:bCs/>
        </w:rPr>
      </w:pPr>
    </w:p>
    <w:p w14:paraId="2F025B59" w14:textId="487917D4" w:rsidR="00AA1E4E" w:rsidRDefault="00AA1E4E" w:rsidP="00F76E8F">
      <w:pPr>
        <w:spacing w:line="480" w:lineRule="auto"/>
        <w:rPr>
          <w:rFonts w:eastAsiaTheme="minorEastAsia"/>
          <w:bCs/>
          <w:color w:val="000000" w:themeColor="text1"/>
        </w:rPr>
      </w:pPr>
      <w:r>
        <w:rPr>
          <w:rFonts w:eastAsiaTheme="minorEastAsia"/>
          <w:bCs/>
          <w:color w:val="000000" w:themeColor="text1"/>
        </w:rPr>
        <w:t xml:space="preserve">Where the </w:t>
      </w:r>
      <w:r w:rsidRPr="00AA1E4E">
        <w:rPr>
          <w:rFonts w:eastAsiaTheme="minorEastAsia"/>
          <w:bCs/>
          <w:i/>
          <w:iCs/>
          <w:color w:val="000000" w:themeColor="text1"/>
        </w:rPr>
        <w:t>VSL(year y)</w:t>
      </w:r>
      <w:r>
        <w:rPr>
          <w:rFonts w:eastAsiaTheme="minorEastAsia"/>
          <w:bCs/>
          <w:color w:val="000000" w:themeColor="text1"/>
        </w:rPr>
        <w:t xml:space="preserve"> is the VSL for the future year</w:t>
      </w:r>
      <w:r w:rsidRPr="00AA1E4E">
        <w:rPr>
          <w:rFonts w:eastAsiaTheme="minorEastAsia"/>
          <w:bCs/>
          <w:i/>
          <w:iCs/>
          <w:color w:val="000000" w:themeColor="text1"/>
        </w:rPr>
        <w:t>, VSL(year x)</w:t>
      </w:r>
      <w:r>
        <w:rPr>
          <w:rFonts w:eastAsiaTheme="minorEastAsia"/>
          <w:bCs/>
          <w:i/>
          <w:iCs/>
          <w:color w:val="000000" w:themeColor="text1"/>
        </w:rPr>
        <w:t xml:space="preserve"> </w:t>
      </w:r>
      <w:r>
        <w:rPr>
          <w:rFonts w:eastAsiaTheme="minorEastAsia"/>
          <w:bCs/>
          <w:color w:val="000000" w:themeColor="text1"/>
        </w:rPr>
        <w:t>is the VSL in the specified dollar year (2022), real income growth is the predicted annual rate from the congressional budget office long-term growth forecast, and the income elasticity is the proportional change in VSL given a change in income, 1.0 using the HHS guidelines</w:t>
      </w:r>
      <w:r w:rsidR="0096107A">
        <w:rPr>
          <w:rFonts w:eastAsiaTheme="minorEastAsia"/>
          <w:bCs/>
          <w:color w:val="000000" w:themeColor="text1"/>
        </w:rPr>
        <w:t xml:space="preserve"> (U.S. Dept. HHS, 2017)</w:t>
      </w:r>
      <w:r w:rsidR="00723D57">
        <w:rPr>
          <w:rFonts w:eastAsiaTheme="minorEastAsia"/>
          <w:bCs/>
          <w:color w:val="000000" w:themeColor="text1"/>
        </w:rPr>
        <w:t xml:space="preserve"> (see appendix C)</w:t>
      </w:r>
      <w:r>
        <w:rPr>
          <w:rFonts w:eastAsiaTheme="minorEastAsia"/>
          <w:bCs/>
          <w:color w:val="000000" w:themeColor="text1"/>
        </w:rPr>
        <w:t xml:space="preserve">. </w:t>
      </w:r>
    </w:p>
    <w:p w14:paraId="70FF5A1B" w14:textId="3A05FA7D" w:rsidR="00BD72DE" w:rsidRPr="00C868F2" w:rsidRDefault="009956B4" w:rsidP="009956B4">
      <w:pPr>
        <w:spacing w:line="480" w:lineRule="auto"/>
        <w:ind w:firstLine="720"/>
        <w:rPr>
          <w:rFonts w:eastAsiaTheme="minorEastAsia"/>
          <w:bCs/>
          <w:color w:val="000000" w:themeColor="text1"/>
        </w:rPr>
      </w:pPr>
      <w:r>
        <w:rPr>
          <w:rFonts w:eastAsiaTheme="minorEastAsia"/>
          <w:bCs/>
          <w:color w:val="000000" w:themeColor="text1"/>
        </w:rPr>
        <w:t>To calculate the annual estimated benefits, I took the average VSL over the 25 year lifetime of the facility (approximately $14.4 million).</w:t>
      </w:r>
      <w:r w:rsidR="00020AB4">
        <w:rPr>
          <w:rFonts w:eastAsiaTheme="minorEastAsia"/>
          <w:bCs/>
          <w:color w:val="000000" w:themeColor="text1"/>
        </w:rPr>
        <w:t xml:space="preserve"> To calculate the annual benefit associated with averted overdose deaths, I used </w:t>
      </w:r>
      <w:r w:rsidR="004C53C7" w:rsidRPr="00C868F2">
        <w:rPr>
          <w:rFonts w:eastAsiaTheme="minorEastAsia"/>
          <w:bCs/>
          <w:color w:val="000000" w:themeColor="text1"/>
        </w:rPr>
        <w:t xml:space="preserve">the following formula: </w:t>
      </w:r>
    </w:p>
    <w:p w14:paraId="4AF4227C" w14:textId="77777777" w:rsidR="00DA3762" w:rsidRPr="00C868F2" w:rsidRDefault="00DA3762" w:rsidP="00F76E8F">
      <w:pPr>
        <w:spacing w:line="480" w:lineRule="auto"/>
        <w:rPr>
          <w:rFonts w:eastAsiaTheme="minorEastAsia"/>
          <w:bCs/>
          <w:color w:val="000000" w:themeColor="text1"/>
        </w:rPr>
      </w:pPr>
    </w:p>
    <w:p w14:paraId="571089CF" w14:textId="68940132" w:rsidR="004C53C7" w:rsidRDefault="004C53C7" w:rsidP="004C53C7">
      <w:pPr>
        <w:pStyle w:val="NormalWeb"/>
        <w:shd w:val="clear" w:color="auto" w:fill="FFFFFF"/>
        <w:spacing w:before="0" w:beforeAutospacing="0" w:after="360" w:afterAutospacing="0" w:line="480" w:lineRule="auto"/>
        <w:jc w:val="center"/>
        <w:rPr>
          <w:rFonts w:ascii="Cambria Math" w:hAnsi="Cambria Math" w:cs="Cambria Math"/>
          <w:b/>
          <w:bCs/>
          <w:color w:val="000000" w:themeColor="text1"/>
          <w:bdr w:val="none" w:sz="0" w:space="0" w:color="auto" w:frame="1"/>
        </w:rPr>
      </w:pPr>
      <w:r w:rsidRPr="00C868F2">
        <w:rPr>
          <w:rFonts w:ascii="Cambria Math" w:hAnsi="Cambria Math" w:cs="Cambria Math"/>
          <w:b/>
          <w:bCs/>
          <w:color w:val="000000" w:themeColor="text1"/>
          <w:bdr w:val="none" w:sz="0" w:space="0" w:color="auto" w:frame="1"/>
        </w:rPr>
        <w:t>𝑆</w:t>
      </w:r>
      <w:r w:rsidRPr="00C868F2">
        <w:rPr>
          <w:b/>
          <w:bCs/>
          <w:color w:val="000000" w:themeColor="text1"/>
          <w:bdr w:val="none" w:sz="0" w:space="0" w:color="auto" w:frame="1"/>
          <w:vertAlign w:val="subscript"/>
        </w:rPr>
        <w:t>OD</w:t>
      </w:r>
      <w:r w:rsidRPr="00C868F2">
        <w:rPr>
          <w:b/>
          <w:bCs/>
          <w:color w:val="000000" w:themeColor="text1"/>
          <w:bdr w:val="none" w:sz="0" w:space="0" w:color="auto" w:frame="1"/>
        </w:rPr>
        <w:t>=</w:t>
      </w:r>
      <w:r w:rsidRPr="00C868F2">
        <w:rPr>
          <w:rFonts w:ascii="Cambria Math" w:hAnsi="Cambria Math" w:cs="Cambria Math"/>
          <w:b/>
          <w:bCs/>
          <w:color w:val="000000" w:themeColor="text1"/>
          <w:bdr w:val="none" w:sz="0" w:space="0" w:color="auto" w:frame="1"/>
        </w:rPr>
        <w:t>𝑟𝑛𝐷𝑉*</w:t>
      </w:r>
    </w:p>
    <w:p w14:paraId="10FECB8F" w14:textId="77777777" w:rsidR="00085B60" w:rsidRPr="00C868F2" w:rsidRDefault="00085B60" w:rsidP="004C53C7">
      <w:pPr>
        <w:pStyle w:val="NormalWeb"/>
        <w:shd w:val="clear" w:color="auto" w:fill="FFFFFF"/>
        <w:spacing w:before="0" w:beforeAutospacing="0" w:after="360" w:afterAutospacing="0" w:line="480" w:lineRule="auto"/>
        <w:jc w:val="center"/>
        <w:rPr>
          <w:rFonts w:ascii="Cambria Math" w:hAnsi="Cambria Math" w:cs="Cambria Math"/>
          <w:b/>
          <w:bCs/>
          <w:color w:val="000000" w:themeColor="text1"/>
          <w:bdr w:val="none" w:sz="0" w:space="0" w:color="auto" w:frame="1"/>
        </w:rPr>
      </w:pPr>
    </w:p>
    <w:p w14:paraId="130AF80C" w14:textId="60B41055" w:rsidR="00EB0DB7" w:rsidRPr="00C868F2" w:rsidRDefault="004C53C7" w:rsidP="008D7CDC">
      <w:pPr>
        <w:pStyle w:val="NormalWeb"/>
        <w:shd w:val="clear" w:color="auto" w:fill="FFFFFF"/>
        <w:spacing w:before="0" w:beforeAutospacing="0" w:after="360" w:afterAutospacing="0" w:line="480" w:lineRule="auto"/>
        <w:rPr>
          <w:rFonts w:ascii="Cambria Math" w:hAnsi="Cambria Math" w:cs="Cambria Math"/>
          <w:b/>
          <w:bCs/>
          <w:color w:val="000000" w:themeColor="text1"/>
          <w:bdr w:val="none" w:sz="0" w:space="0" w:color="auto" w:frame="1"/>
        </w:rPr>
      </w:pPr>
      <w:r w:rsidRPr="00C868F2">
        <w:rPr>
          <w:color w:val="000000" w:themeColor="text1"/>
          <w:bdr w:val="none" w:sz="0" w:space="0" w:color="auto" w:frame="1"/>
        </w:rPr>
        <w:lastRenderedPageBreak/>
        <w:t xml:space="preserve">where </w:t>
      </w:r>
      <w:r w:rsidRPr="00C868F2">
        <w:rPr>
          <w:i/>
          <w:iCs/>
          <w:color w:val="000000" w:themeColor="text1"/>
          <w:bdr w:val="none" w:sz="0" w:space="0" w:color="auto" w:frame="1"/>
        </w:rPr>
        <w:t>r</w:t>
      </w:r>
      <w:r w:rsidRPr="00C868F2">
        <w:rPr>
          <w:color w:val="000000" w:themeColor="text1"/>
          <w:bdr w:val="none" w:sz="0" w:space="0" w:color="auto" w:frame="1"/>
        </w:rPr>
        <w:t xml:space="preserve"> is the rate of overdose death reduction expected within 500 m, </w:t>
      </w:r>
      <w:r w:rsidRPr="00C868F2">
        <w:rPr>
          <w:i/>
          <w:iCs/>
          <w:color w:val="000000" w:themeColor="text1"/>
          <w:bdr w:val="none" w:sz="0" w:space="0" w:color="auto" w:frame="1"/>
        </w:rPr>
        <w:t>n</w:t>
      </w:r>
      <w:r w:rsidRPr="00C868F2">
        <w:rPr>
          <w:color w:val="000000" w:themeColor="text1"/>
          <w:bdr w:val="none" w:sz="0" w:space="0" w:color="auto" w:frame="1"/>
        </w:rPr>
        <w:t xml:space="preserve"> is the 5.31</w:t>
      </w:r>
      <w:r w:rsidR="00944B71" w:rsidRPr="00C868F2">
        <w:rPr>
          <w:color w:val="000000" w:themeColor="text1"/>
          <w:bdr w:val="none" w:sz="0" w:space="0" w:color="auto" w:frame="1"/>
        </w:rPr>
        <w:t>%</w:t>
      </w:r>
      <w:r w:rsidR="004C1BC3" w:rsidRPr="00C868F2">
        <w:rPr>
          <w:color w:val="000000" w:themeColor="text1"/>
          <w:bdr w:val="none" w:sz="0" w:space="0" w:color="auto" w:frame="1"/>
        </w:rPr>
        <w:t xml:space="preserve"> </w:t>
      </w:r>
      <w:r w:rsidRPr="00C868F2">
        <w:rPr>
          <w:color w:val="000000" w:themeColor="text1"/>
          <w:bdr w:val="none" w:sz="0" w:space="0" w:color="auto" w:frame="1"/>
        </w:rPr>
        <w:t xml:space="preserve">share of naloxone administrations concentrated within a 500 meter radius in Baltimore, </w:t>
      </w:r>
      <w:r w:rsidRPr="00C868F2">
        <w:rPr>
          <w:i/>
          <w:iCs/>
          <w:color w:val="000000" w:themeColor="text1"/>
          <w:bdr w:val="none" w:sz="0" w:space="0" w:color="auto" w:frame="1"/>
        </w:rPr>
        <w:t>D</w:t>
      </w:r>
      <w:r w:rsidRPr="00C868F2">
        <w:rPr>
          <w:color w:val="000000" w:themeColor="text1"/>
          <w:bdr w:val="none" w:sz="0" w:space="0" w:color="auto" w:frame="1"/>
        </w:rPr>
        <w:t xml:space="preserve"> is the total number of overdose deaths in Baltimore, and </w:t>
      </w:r>
      <w:r w:rsidRPr="00C868F2">
        <w:rPr>
          <w:i/>
          <w:iCs/>
          <w:color w:val="000000" w:themeColor="text1"/>
          <w:bdr w:val="none" w:sz="0" w:space="0" w:color="auto" w:frame="1"/>
        </w:rPr>
        <w:t xml:space="preserve">V* </w:t>
      </w:r>
      <w:r w:rsidRPr="00C868F2">
        <w:rPr>
          <w:color w:val="000000" w:themeColor="text1"/>
          <w:bdr w:val="none" w:sz="0" w:space="0" w:color="auto" w:frame="1"/>
        </w:rPr>
        <w:t>is the</w:t>
      </w:r>
      <w:r w:rsidR="00723D57">
        <w:rPr>
          <w:color w:val="000000" w:themeColor="text1"/>
          <w:bdr w:val="none" w:sz="0" w:space="0" w:color="auto" w:frame="1"/>
        </w:rPr>
        <w:t xml:space="preserve"> average annual</w:t>
      </w:r>
      <w:r w:rsidRPr="00C868F2">
        <w:rPr>
          <w:color w:val="000000" w:themeColor="text1"/>
          <w:bdr w:val="none" w:sz="0" w:space="0" w:color="auto" w:frame="1"/>
        </w:rPr>
        <w:t xml:space="preserve"> VSL. This brings the estimated</w:t>
      </w:r>
      <w:r w:rsidR="00AA1E4E">
        <w:rPr>
          <w:color w:val="000000" w:themeColor="text1"/>
          <w:bdr w:val="none" w:sz="0" w:space="0" w:color="auto" w:frame="1"/>
        </w:rPr>
        <w:t xml:space="preserve"> average</w:t>
      </w:r>
      <w:r w:rsidRPr="00C868F2">
        <w:rPr>
          <w:color w:val="000000" w:themeColor="text1"/>
          <w:bdr w:val="none" w:sz="0" w:space="0" w:color="auto" w:frame="1"/>
        </w:rPr>
        <w:t xml:space="preserve"> annual benefit to approximately $1</w:t>
      </w:r>
      <w:r w:rsidR="00AA1E4E">
        <w:rPr>
          <w:color w:val="000000" w:themeColor="text1"/>
          <w:bdr w:val="none" w:sz="0" w:space="0" w:color="auto" w:frame="1"/>
        </w:rPr>
        <w:t>8</w:t>
      </w:r>
      <w:r w:rsidRPr="00C868F2">
        <w:rPr>
          <w:color w:val="000000" w:themeColor="text1"/>
          <w:bdr w:val="none" w:sz="0" w:space="0" w:color="auto" w:frame="1"/>
        </w:rPr>
        <w:t>9.</w:t>
      </w:r>
      <w:r w:rsidR="00AA1E4E">
        <w:rPr>
          <w:color w:val="000000" w:themeColor="text1"/>
          <w:bdr w:val="none" w:sz="0" w:space="0" w:color="auto" w:frame="1"/>
        </w:rPr>
        <w:t>7</w:t>
      </w:r>
      <w:r w:rsidRPr="00C868F2">
        <w:rPr>
          <w:color w:val="000000" w:themeColor="text1"/>
          <w:bdr w:val="none" w:sz="0" w:space="0" w:color="auto" w:frame="1"/>
        </w:rPr>
        <w:t xml:space="preserve"> million dollars per year. </w:t>
      </w:r>
    </w:p>
    <w:p w14:paraId="37E70573" w14:textId="58346B0B" w:rsidR="00CC76BF" w:rsidRPr="00C868F2" w:rsidRDefault="00CC76BF" w:rsidP="008D7CDC">
      <w:pPr>
        <w:pStyle w:val="Heading2"/>
        <w:spacing w:line="480" w:lineRule="auto"/>
        <w:rPr>
          <w:rFonts w:ascii="Times New Roman" w:hAnsi="Times New Roman" w:cs="Times New Roman"/>
          <w:b/>
          <w:bCs/>
          <w:i/>
          <w:iCs/>
          <w:color w:val="000000" w:themeColor="text1"/>
          <w:sz w:val="24"/>
          <w:szCs w:val="24"/>
        </w:rPr>
      </w:pPr>
      <w:bookmarkStart w:id="20" w:name="_Toc103539040"/>
      <w:r w:rsidRPr="00C868F2">
        <w:rPr>
          <w:rFonts w:ascii="Times New Roman" w:hAnsi="Times New Roman" w:cs="Times New Roman"/>
          <w:b/>
          <w:bCs/>
          <w:i/>
          <w:iCs/>
          <w:color w:val="000000" w:themeColor="text1"/>
          <w:sz w:val="24"/>
          <w:szCs w:val="24"/>
        </w:rPr>
        <w:t>Overdose Morbidity Benefits</w:t>
      </w:r>
      <w:bookmarkEnd w:id="20"/>
    </w:p>
    <w:p w14:paraId="34C8EFC2" w14:textId="77777777" w:rsidR="00CC76BF" w:rsidRPr="00C868F2" w:rsidRDefault="00CC76BF" w:rsidP="00F76E8F">
      <w:pPr>
        <w:spacing w:line="480" w:lineRule="auto"/>
        <w:ind w:firstLine="720"/>
        <w:rPr>
          <w:color w:val="000000" w:themeColor="text1"/>
        </w:rPr>
      </w:pPr>
      <w:r w:rsidRPr="00C868F2">
        <w:rPr>
          <w:color w:val="000000" w:themeColor="text1"/>
        </w:rPr>
        <w:t xml:space="preserve">As shown through previous literature and studies, SCS decrease emergency service usage substantially. This comes from users having a safe place to use drugs, as well as the education they receive while in the facility on safe injection practices in order to prevent overdoses, skin infections, as well as viral, blood borne infections. Before the 2017 CBA conducted for Baltimore City, no other cost analyses have included overdose morbidity benefits in their cost saving estimates. However, these benefits should not be ignored when considering the averted health care costs that can be achieved. </w:t>
      </w:r>
    </w:p>
    <w:p w14:paraId="1BA2BD4C" w14:textId="15BC0F14" w:rsidR="00CC76BF" w:rsidRPr="00C868F2" w:rsidRDefault="00CC76BF" w:rsidP="00F76E8F">
      <w:pPr>
        <w:spacing w:line="480" w:lineRule="auto"/>
        <w:ind w:firstLine="720"/>
        <w:rPr>
          <w:color w:val="000000" w:themeColor="text1"/>
        </w:rPr>
      </w:pPr>
      <w:r w:rsidRPr="00C868F2">
        <w:rPr>
          <w:color w:val="000000" w:themeColor="text1"/>
        </w:rPr>
        <w:t xml:space="preserve">It has been estimated that an ambulance </w:t>
      </w:r>
      <w:r w:rsidR="00B00C86">
        <w:rPr>
          <w:color w:val="000000" w:themeColor="text1"/>
        </w:rPr>
        <w:t>is</w:t>
      </w:r>
      <w:r w:rsidRPr="00C868F2">
        <w:rPr>
          <w:color w:val="000000" w:themeColor="text1"/>
        </w:rPr>
        <w:t xml:space="preserve"> used for approximately 46</w:t>
      </w:r>
      <w:r w:rsidR="00944B71" w:rsidRPr="00C868F2">
        <w:rPr>
          <w:color w:val="000000" w:themeColor="text1"/>
        </w:rPr>
        <w:t>%</w:t>
      </w:r>
      <w:r w:rsidR="00B00C86">
        <w:rPr>
          <w:color w:val="000000" w:themeColor="text1"/>
        </w:rPr>
        <w:t xml:space="preserve"> </w:t>
      </w:r>
      <w:r w:rsidRPr="00C868F2">
        <w:rPr>
          <w:color w:val="000000" w:themeColor="text1"/>
        </w:rPr>
        <w:t>of all non-fatal overdoses in Baltimore City (Pollini et al., 2006). Over a six year evaluation period for a Medically Supervised Injection Centre (MSIC) in New South Wales, there were only a reported 13 ambulance transportations from the facility (</w:t>
      </w:r>
      <w:r w:rsidR="00DC6D19" w:rsidRPr="00C868F2">
        <w:rPr>
          <w:color w:val="000000" w:themeColor="text1"/>
        </w:rPr>
        <w:t>National Centre, 2007</w:t>
      </w:r>
      <w:r w:rsidRPr="00C868F2">
        <w:rPr>
          <w:color w:val="000000" w:themeColor="text1"/>
        </w:rPr>
        <w:t xml:space="preserve">). Meaning an overwhelming majority of incidents were able to be treated at MSIC without the intervention of outside emergency medical services. </w:t>
      </w:r>
    </w:p>
    <w:p w14:paraId="4D44BB97" w14:textId="506BB9F4" w:rsidR="00CC76BF" w:rsidRPr="00C868F2" w:rsidRDefault="00CC76BF" w:rsidP="00F76E8F">
      <w:pPr>
        <w:spacing w:line="480" w:lineRule="auto"/>
        <w:ind w:firstLine="720"/>
        <w:rPr>
          <w:color w:val="000000" w:themeColor="text1"/>
        </w:rPr>
      </w:pPr>
      <w:r w:rsidRPr="00C868F2">
        <w:rPr>
          <w:color w:val="000000" w:themeColor="text1"/>
        </w:rPr>
        <w:t xml:space="preserve">In order to estimate the impact of averted emergency service use, I will use the exact number of injection visits that </w:t>
      </w:r>
      <w:r w:rsidR="00B512DB">
        <w:rPr>
          <w:color w:val="000000" w:themeColor="text1"/>
        </w:rPr>
        <w:t>Insite</w:t>
      </w:r>
      <w:r w:rsidRPr="00C868F2">
        <w:rPr>
          <w:color w:val="000000" w:themeColor="text1"/>
        </w:rPr>
        <w:t xml:space="preserve"> had in the year 2019: 170,731 (</w:t>
      </w:r>
      <w:r w:rsidR="00B512DB">
        <w:rPr>
          <w:color w:val="000000" w:themeColor="text1"/>
        </w:rPr>
        <w:t>Insite</w:t>
      </w:r>
      <w:r w:rsidR="00D3101D" w:rsidRPr="00C868F2">
        <w:rPr>
          <w:color w:val="000000" w:themeColor="text1"/>
        </w:rPr>
        <w:t>, 2019</w:t>
      </w:r>
      <w:r w:rsidRPr="00C868F2">
        <w:rPr>
          <w:color w:val="000000" w:themeColor="text1"/>
        </w:rPr>
        <w:t>).  In 2019, 1,314 of those injection visits resulted in an overdose which brings their</w:t>
      </w:r>
      <w:r w:rsidR="00A377C6" w:rsidRPr="00C868F2">
        <w:rPr>
          <w:color w:val="000000" w:themeColor="text1"/>
        </w:rPr>
        <w:t xml:space="preserve"> onsite</w:t>
      </w:r>
      <w:r w:rsidRPr="00C868F2">
        <w:rPr>
          <w:color w:val="000000" w:themeColor="text1"/>
        </w:rPr>
        <w:t xml:space="preserve"> overdose rate to 0.77 percent. Irwin et al. reported that the rate of ambulance calls at MSIC was 0.79</w:t>
      </w:r>
      <w:r w:rsidR="00944B71" w:rsidRPr="00C868F2">
        <w:rPr>
          <w:color w:val="000000" w:themeColor="text1"/>
        </w:rPr>
        <w:t>%</w:t>
      </w:r>
      <w:r w:rsidR="00251E1E">
        <w:rPr>
          <w:color w:val="000000" w:themeColor="text1"/>
        </w:rPr>
        <w:t xml:space="preserve"> </w:t>
      </w:r>
      <w:r w:rsidRPr="00C868F2">
        <w:rPr>
          <w:color w:val="000000" w:themeColor="text1"/>
        </w:rPr>
        <w:t xml:space="preserve">which is the </w:t>
      </w:r>
      <w:r w:rsidRPr="00C868F2">
        <w:rPr>
          <w:color w:val="000000" w:themeColor="text1"/>
        </w:rPr>
        <w:lastRenderedPageBreak/>
        <w:t xml:space="preserve">value I will be using. I used the following formula to estimate the cost savings associated with averted ambulance use in Baltimore City: </w:t>
      </w:r>
    </w:p>
    <w:p w14:paraId="22F21F59" w14:textId="77777777" w:rsidR="002C250C" w:rsidRPr="00C868F2" w:rsidRDefault="002C250C" w:rsidP="00F76E8F">
      <w:pPr>
        <w:spacing w:line="480" w:lineRule="auto"/>
        <w:ind w:firstLine="720"/>
        <w:rPr>
          <w:color w:val="000000" w:themeColor="text1"/>
        </w:rPr>
      </w:pPr>
    </w:p>
    <w:p w14:paraId="60DD656C" w14:textId="3DA9641C" w:rsidR="00CC76BF" w:rsidRPr="00C868F2" w:rsidRDefault="00372454" w:rsidP="00F76E8F">
      <w:pPr>
        <w:spacing w:line="480" w:lineRule="auto"/>
        <w:rPr>
          <w:rFonts w:eastAsiaTheme="minorEastAsia"/>
          <w:b/>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S</m:t>
              </m:r>
            </m:e>
            <m:sub>
              <m:r>
                <m:rPr>
                  <m:sty m:val="bi"/>
                </m:rPr>
                <w:rPr>
                  <w:rFonts w:ascii="Cambria Math" w:hAnsi="Cambria Math"/>
                  <w:color w:val="000000" w:themeColor="text1"/>
                </w:rPr>
                <m:t>a</m:t>
              </m:r>
            </m:sub>
          </m:sSub>
          <m:r>
            <m:rPr>
              <m:sty m:val="bi"/>
            </m:rPr>
            <w:rPr>
              <w:rFonts w:ascii="Cambria Math" w:hAnsi="Cambria Math"/>
              <w:color w:val="000000" w:themeColor="text1"/>
            </w:rPr>
            <m:t>=Io</m:t>
          </m:r>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o</m:t>
                  </m:r>
                </m:sub>
              </m:sSub>
              <m:r>
                <m:rPr>
                  <m:sty m:val="bi"/>
                </m:rPr>
                <w:rPr>
                  <w:rFonts w:ascii="Cambria Math" w:hAnsi="Cambria Math"/>
                  <w:color w:val="000000" w:themeColor="text1"/>
                </w:rPr>
                <m:t>-</m:t>
              </m:r>
              <m:sSub>
                <m:sSubPr>
                  <m:ctrlPr>
                    <w:rPr>
                      <w:rFonts w:ascii="Cambria Math" w:hAnsi="Cambria Math"/>
                      <w:b/>
                      <w:bCs/>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i</m:t>
                  </m:r>
                </m:sub>
              </m:sSub>
            </m:e>
          </m:d>
          <m:r>
            <m:rPr>
              <m:sty m:val="bi"/>
            </m:rPr>
            <w:rPr>
              <w:rFonts w:ascii="Cambria Math" w:hAnsi="Cambria Math"/>
              <w:color w:val="000000" w:themeColor="text1"/>
            </w:rPr>
            <m:t xml:space="preserve"> A</m:t>
          </m:r>
        </m:oMath>
      </m:oMathPara>
    </w:p>
    <w:p w14:paraId="26726AA7" w14:textId="77777777" w:rsidR="002C250C" w:rsidRPr="00C868F2" w:rsidRDefault="002C250C" w:rsidP="00F76E8F">
      <w:pPr>
        <w:spacing w:line="480" w:lineRule="auto"/>
        <w:rPr>
          <w:rFonts w:eastAsiaTheme="minorEastAsia"/>
          <w:b/>
          <w:bCs/>
          <w:color w:val="000000" w:themeColor="text1"/>
        </w:rPr>
      </w:pPr>
    </w:p>
    <w:p w14:paraId="2888CAB6" w14:textId="507989D0" w:rsidR="00CC76BF" w:rsidRPr="00C868F2" w:rsidRDefault="00CC76BF" w:rsidP="00F76E8F">
      <w:pPr>
        <w:spacing w:line="480" w:lineRule="auto"/>
        <w:rPr>
          <w:color w:val="000000" w:themeColor="text1"/>
        </w:rPr>
      </w:pPr>
      <w:r w:rsidRPr="00C868F2">
        <w:rPr>
          <w:color w:val="000000" w:themeColor="text1"/>
        </w:rPr>
        <w:t xml:space="preserve">where </w:t>
      </w:r>
      <w:r w:rsidRPr="00C868F2">
        <w:rPr>
          <w:i/>
          <w:iCs/>
          <w:color w:val="000000" w:themeColor="text1"/>
        </w:rPr>
        <w:t>S</w:t>
      </w:r>
      <w:r w:rsidRPr="00C868F2">
        <w:rPr>
          <w:i/>
          <w:iCs/>
          <w:color w:val="000000" w:themeColor="text1"/>
          <w:vertAlign w:val="subscript"/>
        </w:rPr>
        <w:t>a</w:t>
      </w:r>
      <w:r w:rsidRPr="00C868F2">
        <w:rPr>
          <w:color w:val="000000" w:themeColor="text1"/>
        </w:rPr>
        <w:t xml:space="preserve"> is the annual savings due to the SCS reducing ambulance calls for overdoses, </w:t>
      </w:r>
      <w:r w:rsidRPr="00C868F2">
        <w:rPr>
          <w:i/>
          <w:iCs/>
          <w:color w:val="000000" w:themeColor="text1"/>
        </w:rPr>
        <w:t xml:space="preserve">I </w:t>
      </w:r>
      <w:r w:rsidRPr="00C868F2">
        <w:rPr>
          <w:color w:val="000000" w:themeColor="text1"/>
        </w:rPr>
        <w:t xml:space="preserve">is the annual number of injections in the SCS, </w:t>
      </w:r>
      <w:r w:rsidRPr="00C868F2">
        <w:rPr>
          <w:i/>
          <w:iCs/>
          <w:color w:val="000000" w:themeColor="text1"/>
        </w:rPr>
        <w:t>o</w:t>
      </w:r>
      <w:r w:rsidRPr="00C868F2">
        <w:rPr>
          <w:color w:val="000000" w:themeColor="text1"/>
        </w:rPr>
        <w:t xml:space="preserve"> is the per-injection rate of overdose, </w:t>
      </w:r>
      <w:r w:rsidRPr="00C868F2">
        <w:rPr>
          <w:i/>
          <w:iCs/>
          <w:color w:val="000000" w:themeColor="text1"/>
        </w:rPr>
        <w:t>C</w:t>
      </w:r>
      <w:r w:rsidRPr="00C868F2">
        <w:rPr>
          <w:i/>
          <w:iCs/>
          <w:color w:val="000000" w:themeColor="text1"/>
          <w:vertAlign w:val="subscript"/>
        </w:rPr>
        <w:t>o</w:t>
      </w:r>
      <w:r w:rsidRPr="00C868F2">
        <w:rPr>
          <w:color w:val="000000" w:themeColor="text1"/>
        </w:rPr>
        <w:t xml:space="preserve"> and </w:t>
      </w:r>
      <w:r w:rsidRPr="00C868F2">
        <w:rPr>
          <w:i/>
          <w:iCs/>
          <w:color w:val="000000" w:themeColor="text1"/>
        </w:rPr>
        <w:t>C</w:t>
      </w:r>
      <w:r w:rsidRPr="00C868F2">
        <w:rPr>
          <w:i/>
          <w:iCs/>
          <w:color w:val="000000" w:themeColor="text1"/>
          <w:vertAlign w:val="subscript"/>
        </w:rPr>
        <w:t>i</w:t>
      </w:r>
      <w:r w:rsidRPr="00C868F2">
        <w:rPr>
          <w:color w:val="000000" w:themeColor="text1"/>
        </w:rPr>
        <w:t xml:space="preserve"> are the rates of overdose ambulance calls outside and inside the SCS, respectively, and </w:t>
      </w:r>
      <w:r w:rsidRPr="00C868F2">
        <w:rPr>
          <w:i/>
          <w:iCs/>
          <w:color w:val="000000" w:themeColor="text1"/>
        </w:rPr>
        <w:t>A</w:t>
      </w:r>
      <w:r w:rsidRPr="00C868F2">
        <w:rPr>
          <w:color w:val="000000" w:themeColor="text1"/>
        </w:rPr>
        <w:t xml:space="preserve"> is the average cost of an overdose ambulance call </w:t>
      </w:r>
      <w:r w:rsidRPr="00C868F2">
        <w:rPr>
          <w:rFonts w:eastAsiaTheme="minorEastAsia"/>
          <w:bCs/>
          <w:color w:val="000000" w:themeColor="text1"/>
        </w:rPr>
        <w:t>(Irwin et al., 2017)</w:t>
      </w:r>
      <w:r w:rsidRPr="00C868F2">
        <w:rPr>
          <w:color w:val="000000" w:themeColor="text1"/>
        </w:rPr>
        <w:t>. This brings the estimated cost savings to $4</w:t>
      </w:r>
      <w:r w:rsidR="00024679" w:rsidRPr="00C868F2">
        <w:rPr>
          <w:color w:val="000000" w:themeColor="text1"/>
        </w:rPr>
        <w:t>15</w:t>
      </w:r>
      <w:r w:rsidRPr="00C868F2">
        <w:rPr>
          <w:color w:val="000000" w:themeColor="text1"/>
        </w:rPr>
        <w:t>,</w:t>
      </w:r>
      <w:r w:rsidR="00024679" w:rsidRPr="00C868F2">
        <w:rPr>
          <w:color w:val="000000" w:themeColor="text1"/>
        </w:rPr>
        <w:t>120</w:t>
      </w:r>
      <w:r w:rsidRPr="00C868F2">
        <w:rPr>
          <w:color w:val="000000" w:themeColor="text1"/>
        </w:rPr>
        <w:t xml:space="preserve"> annually with approximately 593 averted incidents per year.</w:t>
      </w:r>
      <w:r w:rsidR="00024679" w:rsidRPr="00C868F2">
        <w:rPr>
          <w:color w:val="000000" w:themeColor="text1"/>
        </w:rPr>
        <w:t xml:space="preserve"> The lower end cost for an ambulance ride in Baltimore City is $700 which is the value used in this assessment. While this savings is large, it is important to note that the ambulance call rate at a SCS is extremely low (less than one percent) and the ambulance call rate for an overdose that happens outside of the SCS is roughly 50%. This is going to give a large savings estimate.</w:t>
      </w:r>
      <w:r w:rsidRPr="00C868F2">
        <w:rPr>
          <w:color w:val="000000" w:themeColor="text1"/>
        </w:rPr>
        <w:t xml:space="preserve"> </w:t>
      </w:r>
      <w:r w:rsidR="00815C40" w:rsidRPr="00C868F2">
        <w:rPr>
          <w:rFonts w:eastAsiaTheme="minorEastAsia"/>
          <w:bCs/>
          <w:color w:val="000000" w:themeColor="text1"/>
        </w:rPr>
        <w:t xml:space="preserve">For variables and sources see appendix </w:t>
      </w:r>
      <w:r w:rsidR="00433AA4">
        <w:rPr>
          <w:rFonts w:eastAsiaTheme="minorEastAsia"/>
          <w:bCs/>
          <w:color w:val="000000" w:themeColor="text1"/>
        </w:rPr>
        <w:t>D</w:t>
      </w:r>
      <w:r w:rsidR="00815C40" w:rsidRPr="00C868F2">
        <w:rPr>
          <w:rFonts w:eastAsiaTheme="minorEastAsia"/>
          <w:bCs/>
          <w:color w:val="000000" w:themeColor="text1"/>
        </w:rPr>
        <w:t>.</w:t>
      </w:r>
    </w:p>
    <w:p w14:paraId="22D55FDE" w14:textId="35205463" w:rsidR="00CC76BF" w:rsidRPr="00C868F2" w:rsidRDefault="00CC76BF" w:rsidP="00F76E8F">
      <w:pPr>
        <w:spacing w:line="480" w:lineRule="auto"/>
        <w:ind w:firstLine="720"/>
        <w:rPr>
          <w:color w:val="000000" w:themeColor="text1"/>
        </w:rPr>
      </w:pPr>
      <w:r w:rsidRPr="00C868F2">
        <w:rPr>
          <w:color w:val="000000" w:themeColor="text1"/>
        </w:rPr>
        <w:t>Pollini et al. reported in their study that one third of ambulance calls related to an overdose resulted in a trip to the emergency department, and 12</w:t>
      </w:r>
      <w:r w:rsidR="00944B71" w:rsidRPr="00C868F2">
        <w:rPr>
          <w:color w:val="000000" w:themeColor="text1"/>
        </w:rPr>
        <w:t>%</w:t>
      </w:r>
      <w:r w:rsidR="00D53052">
        <w:rPr>
          <w:color w:val="000000" w:themeColor="text1"/>
        </w:rPr>
        <w:t xml:space="preserve"> </w:t>
      </w:r>
      <w:r w:rsidRPr="00C868F2">
        <w:rPr>
          <w:color w:val="000000" w:themeColor="text1"/>
        </w:rPr>
        <w:t xml:space="preserve">of ambulance calls for an overdose resulted in an inpatient hospital stay (2006). To estimate the cost savings associated with averted emergency department visits and inpatient hospital stays, respectively, I will use the following formulas: </w:t>
      </w:r>
    </w:p>
    <w:p w14:paraId="6ECB8084" w14:textId="77777777" w:rsidR="00CC76BF" w:rsidRPr="00C868F2" w:rsidRDefault="00372454" w:rsidP="00F76E8F">
      <w:pPr>
        <w:spacing w:line="480" w:lineRule="auto"/>
        <w:rPr>
          <w:rFonts w:eastAsiaTheme="minorEastAsia"/>
          <w:b/>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S</m:t>
              </m:r>
            </m:e>
            <m:sub>
              <m:r>
                <m:rPr>
                  <m:sty m:val="bi"/>
                </m:rPr>
                <w:rPr>
                  <w:rFonts w:ascii="Cambria Math" w:hAnsi="Cambria Math"/>
                  <w:color w:val="000000" w:themeColor="text1"/>
                </w:rPr>
                <m:t>er</m:t>
              </m:r>
            </m:sub>
          </m:sSub>
          <m:r>
            <m:rPr>
              <m:sty m:val="bi"/>
            </m:rPr>
            <w:rPr>
              <w:rFonts w:ascii="Cambria Math" w:hAnsi="Cambria Math"/>
              <w:color w:val="000000" w:themeColor="text1"/>
            </w:rPr>
            <m:t>=Io</m:t>
          </m:r>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sty m:val="bi"/>
                    </m:rPr>
                    <w:rPr>
                      <w:rFonts w:ascii="Cambria Math" w:hAnsi="Cambria Math"/>
                      <w:color w:val="000000" w:themeColor="text1"/>
                    </w:rPr>
                    <m:t>t</m:t>
                  </m:r>
                </m:e>
                <m:sub>
                  <m:r>
                    <m:rPr>
                      <m:sty m:val="bi"/>
                    </m:rPr>
                    <w:rPr>
                      <w:rFonts w:ascii="Cambria Math" w:hAnsi="Cambria Math"/>
                      <w:color w:val="000000" w:themeColor="text1"/>
                    </w:rPr>
                    <m:t>o</m:t>
                  </m:r>
                </m:sub>
              </m:sSub>
              <m:r>
                <m:rPr>
                  <m:sty m:val="bi"/>
                </m:rPr>
                <w:rPr>
                  <w:rFonts w:ascii="Cambria Math" w:hAnsi="Cambria Math"/>
                  <w:color w:val="000000" w:themeColor="text1"/>
                </w:rPr>
                <m:t>-</m:t>
              </m:r>
              <m:sSub>
                <m:sSubPr>
                  <m:ctrlPr>
                    <w:rPr>
                      <w:rFonts w:ascii="Cambria Math" w:hAnsi="Cambria Math"/>
                      <w:b/>
                      <w:bCs/>
                      <w:i/>
                      <w:color w:val="000000" w:themeColor="text1"/>
                    </w:rPr>
                  </m:ctrlPr>
                </m:sSubPr>
                <m:e>
                  <m:r>
                    <m:rPr>
                      <m:sty m:val="bi"/>
                    </m:rPr>
                    <w:rPr>
                      <w:rFonts w:ascii="Cambria Math" w:hAnsi="Cambria Math"/>
                      <w:color w:val="000000" w:themeColor="text1"/>
                    </w:rPr>
                    <m:t>t</m:t>
                  </m:r>
                </m:e>
                <m:sub>
                  <m:r>
                    <m:rPr>
                      <m:sty m:val="bi"/>
                    </m:rPr>
                    <w:rPr>
                      <w:rFonts w:ascii="Cambria Math" w:hAnsi="Cambria Math"/>
                      <w:color w:val="000000" w:themeColor="text1"/>
                    </w:rPr>
                    <m:t>i</m:t>
                  </m:r>
                </m:sub>
              </m:sSub>
            </m:e>
          </m:d>
          <m:r>
            <m:rPr>
              <m:sty m:val="bi"/>
            </m:rPr>
            <w:rPr>
              <w:rFonts w:ascii="Cambria Math" w:hAnsi="Cambria Math"/>
              <w:color w:val="000000" w:themeColor="text1"/>
            </w:rPr>
            <m:t xml:space="preserve"> F</m:t>
          </m:r>
        </m:oMath>
      </m:oMathPara>
    </w:p>
    <w:p w14:paraId="100E42FD" w14:textId="77777777" w:rsidR="00CC76BF" w:rsidRPr="00C868F2" w:rsidRDefault="00CC76BF" w:rsidP="00F76E8F">
      <w:pPr>
        <w:spacing w:line="480" w:lineRule="auto"/>
        <w:rPr>
          <w:rFonts w:eastAsiaTheme="minorEastAsia"/>
          <w:b/>
          <w:bCs/>
          <w:color w:val="000000" w:themeColor="text1"/>
        </w:rPr>
      </w:pPr>
    </w:p>
    <w:p w14:paraId="0E2CA148" w14:textId="2381EA38" w:rsidR="00815C40" w:rsidRPr="00C868F2" w:rsidRDefault="00CC76BF" w:rsidP="00F76E8F">
      <w:pPr>
        <w:spacing w:line="480" w:lineRule="auto"/>
        <w:rPr>
          <w:rFonts w:eastAsiaTheme="minorEastAsia"/>
          <w:bCs/>
          <w:color w:val="000000" w:themeColor="text1"/>
        </w:rPr>
      </w:pPr>
      <w:r w:rsidRPr="00C868F2">
        <w:rPr>
          <w:rFonts w:eastAsiaTheme="minorEastAsia"/>
          <w:bCs/>
          <w:color w:val="000000" w:themeColor="text1"/>
        </w:rPr>
        <w:lastRenderedPageBreak/>
        <w:t xml:space="preserve">where </w:t>
      </w:r>
      <w:r w:rsidRPr="00C868F2">
        <w:rPr>
          <w:rFonts w:eastAsiaTheme="minorEastAsia"/>
          <w:bCs/>
          <w:i/>
          <w:iCs/>
          <w:color w:val="000000" w:themeColor="text1"/>
        </w:rPr>
        <w:t>S</w:t>
      </w:r>
      <w:r w:rsidRPr="00C868F2">
        <w:rPr>
          <w:rFonts w:eastAsiaTheme="minorEastAsia"/>
          <w:bCs/>
          <w:i/>
          <w:iCs/>
          <w:color w:val="000000" w:themeColor="text1"/>
          <w:vertAlign w:val="subscript"/>
        </w:rPr>
        <w:t>e</w:t>
      </w:r>
      <w:r w:rsidRPr="00C868F2">
        <w:rPr>
          <w:rFonts w:eastAsiaTheme="minorEastAsia"/>
          <w:bCs/>
          <w:color w:val="000000" w:themeColor="text1"/>
          <w:vertAlign w:val="subscript"/>
        </w:rPr>
        <w:t>r</w:t>
      </w:r>
      <w:r w:rsidRPr="00C868F2">
        <w:rPr>
          <w:rFonts w:eastAsiaTheme="minorEastAsia"/>
          <w:bCs/>
          <w:color w:val="000000" w:themeColor="text1"/>
        </w:rPr>
        <w:t xml:space="preserve"> is the annual savings due to the SCS reducing emergency room visits for overdoses, </w:t>
      </w:r>
      <w:r w:rsidRPr="00C868F2">
        <w:rPr>
          <w:rFonts w:eastAsiaTheme="minorEastAsia"/>
          <w:bCs/>
          <w:i/>
          <w:iCs/>
          <w:color w:val="000000" w:themeColor="text1"/>
        </w:rPr>
        <w:t>I</w:t>
      </w:r>
      <w:r w:rsidRPr="00C868F2">
        <w:rPr>
          <w:rFonts w:eastAsiaTheme="minorEastAsia"/>
          <w:bCs/>
          <w:color w:val="000000" w:themeColor="text1"/>
        </w:rPr>
        <w:t xml:space="preserve"> is the annual number of injections in the SCS, </w:t>
      </w:r>
      <w:r w:rsidRPr="00C868F2">
        <w:rPr>
          <w:rFonts w:eastAsiaTheme="minorEastAsia"/>
          <w:bCs/>
          <w:i/>
          <w:iCs/>
          <w:color w:val="000000" w:themeColor="text1"/>
        </w:rPr>
        <w:t>o</w:t>
      </w:r>
      <w:r w:rsidRPr="00C868F2">
        <w:rPr>
          <w:rFonts w:eastAsiaTheme="minorEastAsia"/>
          <w:bCs/>
          <w:color w:val="000000" w:themeColor="text1"/>
        </w:rPr>
        <w:t xml:space="preserve"> is the rate of non</w:t>
      </w:r>
      <w:r w:rsidR="00F74CEA" w:rsidRPr="00C868F2">
        <w:rPr>
          <w:rFonts w:eastAsiaTheme="minorEastAsia"/>
          <w:bCs/>
          <w:color w:val="000000" w:themeColor="text1"/>
        </w:rPr>
        <w:t>-</w:t>
      </w:r>
      <w:r w:rsidRPr="00C868F2">
        <w:rPr>
          <w:rFonts w:eastAsiaTheme="minorEastAsia"/>
          <w:bCs/>
          <w:color w:val="000000" w:themeColor="text1"/>
        </w:rPr>
        <w:t xml:space="preserve">fatal overdose, </w:t>
      </w:r>
      <w:r w:rsidRPr="00E0428F">
        <w:rPr>
          <w:rFonts w:eastAsiaTheme="minorEastAsia"/>
          <w:bCs/>
          <w:i/>
          <w:iCs/>
          <w:color w:val="000000" w:themeColor="text1"/>
        </w:rPr>
        <w:t>t</w:t>
      </w:r>
      <w:r w:rsidRPr="00E0428F">
        <w:rPr>
          <w:rFonts w:eastAsiaTheme="minorEastAsia"/>
          <w:bCs/>
          <w:i/>
          <w:iCs/>
          <w:color w:val="000000" w:themeColor="text1"/>
          <w:vertAlign w:val="subscript"/>
        </w:rPr>
        <w:t>o</w:t>
      </w:r>
      <w:r w:rsidRPr="00C868F2">
        <w:rPr>
          <w:rFonts w:eastAsiaTheme="minorEastAsia"/>
          <w:bCs/>
          <w:color w:val="000000" w:themeColor="text1"/>
        </w:rPr>
        <w:t xml:space="preserve"> and </w:t>
      </w:r>
      <w:r w:rsidRPr="00E0428F">
        <w:rPr>
          <w:rFonts w:eastAsiaTheme="minorEastAsia"/>
          <w:bCs/>
          <w:i/>
          <w:iCs/>
          <w:color w:val="000000" w:themeColor="text1"/>
        </w:rPr>
        <w:t>t</w:t>
      </w:r>
      <w:r w:rsidRPr="00E0428F">
        <w:rPr>
          <w:rFonts w:eastAsiaTheme="minorEastAsia"/>
          <w:bCs/>
          <w:i/>
          <w:iCs/>
          <w:color w:val="000000" w:themeColor="text1"/>
          <w:vertAlign w:val="subscript"/>
        </w:rPr>
        <w:t>i</w:t>
      </w:r>
      <w:r w:rsidRPr="00C868F2">
        <w:rPr>
          <w:rFonts w:eastAsiaTheme="minorEastAsia"/>
          <w:bCs/>
          <w:color w:val="000000" w:themeColor="text1"/>
        </w:rPr>
        <w:t xml:space="preserve"> are the rates of ER visit for overdose when the overdose occurs outside and inside the SCS, respectively, and </w:t>
      </w:r>
      <w:r w:rsidRPr="0086394A">
        <w:rPr>
          <w:rFonts w:eastAsiaTheme="minorEastAsia"/>
          <w:bCs/>
          <w:i/>
          <w:iCs/>
          <w:color w:val="000000" w:themeColor="text1"/>
        </w:rPr>
        <w:t>F</w:t>
      </w:r>
      <w:r w:rsidRPr="00C868F2">
        <w:rPr>
          <w:rFonts w:eastAsiaTheme="minorEastAsia"/>
          <w:bCs/>
          <w:color w:val="000000" w:themeColor="text1"/>
        </w:rPr>
        <w:t xml:space="preserve"> is the average cost of an overdose emergency room visit (Irwin et al., 2017). This brings the cost savings to $573,340 annually with approximately 423 averted instances per year.</w:t>
      </w:r>
      <w:r w:rsidR="00815C40" w:rsidRPr="00C868F2">
        <w:rPr>
          <w:rFonts w:eastAsiaTheme="minorEastAsia"/>
          <w:bCs/>
          <w:color w:val="000000" w:themeColor="text1"/>
        </w:rPr>
        <w:t xml:space="preserve"> For variables and sources see appendix </w:t>
      </w:r>
      <w:r w:rsidR="00433AA4">
        <w:rPr>
          <w:rFonts w:eastAsiaTheme="minorEastAsia"/>
          <w:bCs/>
          <w:color w:val="000000" w:themeColor="text1"/>
        </w:rPr>
        <w:t>E</w:t>
      </w:r>
      <w:r w:rsidR="00815C40" w:rsidRPr="00C868F2">
        <w:rPr>
          <w:rFonts w:eastAsiaTheme="minorEastAsia"/>
          <w:bCs/>
          <w:color w:val="000000" w:themeColor="text1"/>
        </w:rPr>
        <w:t>.</w:t>
      </w:r>
      <w:r w:rsidR="00815C40" w:rsidRPr="00C868F2">
        <w:rPr>
          <w:color w:val="000000" w:themeColor="text1"/>
          <w:bdr w:val="none" w:sz="0" w:space="0" w:color="auto" w:frame="1"/>
        </w:rPr>
        <w:t xml:space="preserve"> </w:t>
      </w:r>
      <w:r w:rsidRPr="00C868F2">
        <w:rPr>
          <w:rFonts w:eastAsiaTheme="minorEastAsia"/>
          <w:bCs/>
          <w:color w:val="000000" w:themeColor="text1"/>
        </w:rPr>
        <w:t xml:space="preserve"> </w:t>
      </w:r>
    </w:p>
    <w:p w14:paraId="6133F190" w14:textId="77777777" w:rsidR="00CC76BF" w:rsidRPr="00C868F2" w:rsidRDefault="00CC76BF" w:rsidP="00815C40">
      <w:pPr>
        <w:spacing w:line="480" w:lineRule="auto"/>
        <w:ind w:firstLine="720"/>
        <w:rPr>
          <w:rFonts w:eastAsiaTheme="minorEastAsia"/>
          <w:bCs/>
          <w:color w:val="000000" w:themeColor="text1"/>
        </w:rPr>
      </w:pPr>
      <w:r w:rsidRPr="00C868F2">
        <w:rPr>
          <w:rFonts w:eastAsiaTheme="minorEastAsia"/>
          <w:bCs/>
          <w:color w:val="000000" w:themeColor="text1"/>
        </w:rPr>
        <w:t>The following formula is used for averted hospital stays:</w:t>
      </w:r>
    </w:p>
    <w:p w14:paraId="20C71A2D" w14:textId="77777777" w:rsidR="00CC76BF" w:rsidRPr="00C868F2" w:rsidRDefault="00CC76BF" w:rsidP="00F76E8F">
      <w:pPr>
        <w:spacing w:line="480" w:lineRule="auto"/>
        <w:rPr>
          <w:rFonts w:eastAsiaTheme="minorEastAsia"/>
          <w:bCs/>
          <w:color w:val="000000" w:themeColor="text1"/>
        </w:rPr>
      </w:pPr>
    </w:p>
    <w:p w14:paraId="1143E34D" w14:textId="77777777" w:rsidR="00CC76BF" w:rsidRPr="00C868F2" w:rsidRDefault="00372454" w:rsidP="00F76E8F">
      <w:pPr>
        <w:spacing w:line="480" w:lineRule="auto"/>
        <w:rPr>
          <w:rFonts w:eastAsiaTheme="minorEastAsia"/>
          <w:b/>
          <w:color w:val="000000" w:themeColor="text1"/>
        </w:rPr>
      </w:pPr>
      <m:oMathPara>
        <m:oMath>
          <m:sSub>
            <m:sSubPr>
              <m:ctrlPr>
                <w:rPr>
                  <w:rFonts w:ascii="Cambria Math" w:hAnsi="Cambria Math"/>
                  <w:b/>
                  <w:bCs/>
                  <w:i/>
                  <w:color w:val="000000" w:themeColor="text1"/>
                </w:rPr>
              </m:ctrlPr>
            </m:sSubPr>
            <m:e>
              <m:r>
                <m:rPr>
                  <m:sty m:val="bi"/>
                </m:rPr>
                <w:rPr>
                  <w:rFonts w:ascii="Cambria Math" w:hAnsi="Cambria Math"/>
                  <w:color w:val="000000" w:themeColor="text1"/>
                </w:rPr>
                <m:t>S</m:t>
              </m:r>
            </m:e>
            <m:sub>
              <m:r>
                <m:rPr>
                  <m:sty m:val="bi"/>
                </m:rPr>
                <w:rPr>
                  <w:rFonts w:ascii="Cambria Math" w:hAnsi="Cambria Math"/>
                  <w:color w:val="000000" w:themeColor="text1"/>
                </w:rPr>
                <m:t>h</m:t>
              </m:r>
            </m:sub>
          </m:sSub>
          <m:r>
            <m:rPr>
              <m:sty m:val="bi"/>
            </m:rPr>
            <w:rPr>
              <w:rFonts w:ascii="Cambria Math" w:hAnsi="Cambria Math"/>
              <w:color w:val="000000" w:themeColor="text1"/>
            </w:rPr>
            <m:t>=Io</m:t>
          </m:r>
          <m:d>
            <m:dPr>
              <m:ctrlPr>
                <w:rPr>
                  <w:rFonts w:ascii="Cambria Math" w:hAnsi="Cambria Math"/>
                  <w:b/>
                  <w:bCs/>
                  <w:i/>
                  <w:color w:val="000000" w:themeColor="text1"/>
                </w:rPr>
              </m:ctrlPr>
            </m:dPr>
            <m:e>
              <m:sSub>
                <m:sSubPr>
                  <m:ctrlPr>
                    <w:rPr>
                      <w:rFonts w:ascii="Cambria Math" w:hAnsi="Cambria Math"/>
                      <w:b/>
                      <w:bCs/>
                      <w:i/>
                      <w:color w:val="000000" w:themeColor="text1"/>
                    </w:rPr>
                  </m:ctrlPr>
                </m:sSubPr>
                <m:e>
                  <m:r>
                    <m:rPr>
                      <m:sty m:val="bi"/>
                    </m:rPr>
                    <w:rPr>
                      <w:rFonts w:ascii="Cambria Math" w:hAnsi="Cambria Math"/>
                      <w:color w:val="000000" w:themeColor="text1"/>
                    </w:rPr>
                    <m:t>a</m:t>
                  </m:r>
                </m:e>
                <m:sub>
                  <m:r>
                    <m:rPr>
                      <m:sty m:val="bi"/>
                    </m:rPr>
                    <w:rPr>
                      <w:rFonts w:ascii="Cambria Math" w:hAnsi="Cambria Math"/>
                      <w:color w:val="000000" w:themeColor="text1"/>
                    </w:rPr>
                    <m:t>o</m:t>
                  </m:r>
                </m:sub>
              </m:sSub>
              <m:r>
                <m:rPr>
                  <m:sty m:val="bi"/>
                </m:rPr>
                <w:rPr>
                  <w:rFonts w:ascii="Cambria Math" w:hAnsi="Cambria Math"/>
                  <w:color w:val="000000" w:themeColor="text1"/>
                </w:rPr>
                <m:t>-</m:t>
              </m:r>
              <m:sSub>
                <m:sSubPr>
                  <m:ctrlPr>
                    <w:rPr>
                      <w:rFonts w:ascii="Cambria Math" w:hAnsi="Cambria Math"/>
                      <w:b/>
                      <w:bCs/>
                      <w:i/>
                      <w:color w:val="000000" w:themeColor="text1"/>
                    </w:rPr>
                  </m:ctrlPr>
                </m:sSubPr>
                <m:e>
                  <m:r>
                    <m:rPr>
                      <m:sty m:val="bi"/>
                    </m:rPr>
                    <w:rPr>
                      <w:rFonts w:ascii="Cambria Math" w:hAnsi="Cambria Math"/>
                      <w:color w:val="000000" w:themeColor="text1"/>
                    </w:rPr>
                    <m:t>a</m:t>
                  </m:r>
                </m:e>
                <m:sub>
                  <m:r>
                    <m:rPr>
                      <m:sty m:val="bi"/>
                    </m:rPr>
                    <w:rPr>
                      <w:rFonts w:ascii="Cambria Math" w:hAnsi="Cambria Math"/>
                      <w:color w:val="000000" w:themeColor="text1"/>
                    </w:rPr>
                    <m:t>i</m:t>
                  </m:r>
                </m:sub>
              </m:sSub>
            </m:e>
          </m:d>
          <m:r>
            <m:rPr>
              <m:sty m:val="bi"/>
            </m:rPr>
            <w:rPr>
              <w:rFonts w:ascii="Cambria Math" w:hAnsi="Cambria Math"/>
              <w:color w:val="000000" w:themeColor="text1"/>
            </w:rPr>
            <m:t xml:space="preserve"> E</m:t>
          </m:r>
        </m:oMath>
      </m:oMathPara>
    </w:p>
    <w:p w14:paraId="7473C83A" w14:textId="77777777" w:rsidR="00CC76BF" w:rsidRPr="00C868F2" w:rsidRDefault="00CC76BF" w:rsidP="00F76E8F">
      <w:pPr>
        <w:spacing w:line="480" w:lineRule="auto"/>
        <w:rPr>
          <w:rFonts w:eastAsiaTheme="minorEastAsia"/>
          <w:b/>
          <w:color w:val="000000" w:themeColor="text1"/>
        </w:rPr>
      </w:pPr>
    </w:p>
    <w:p w14:paraId="18D54F4F" w14:textId="3054FE4E" w:rsidR="00CC76BF" w:rsidRPr="00C868F2" w:rsidRDefault="00CC76BF" w:rsidP="00F76E8F">
      <w:pPr>
        <w:spacing w:line="480" w:lineRule="auto"/>
        <w:rPr>
          <w:rFonts w:eastAsiaTheme="minorEastAsia"/>
          <w:bCs/>
          <w:color w:val="000000" w:themeColor="text1"/>
        </w:rPr>
      </w:pPr>
      <w:r w:rsidRPr="00C868F2">
        <w:rPr>
          <w:rFonts w:eastAsiaTheme="minorEastAsia"/>
          <w:bCs/>
          <w:color w:val="000000" w:themeColor="text1"/>
        </w:rPr>
        <w:t xml:space="preserve">where </w:t>
      </w:r>
      <w:r w:rsidRPr="00C868F2">
        <w:rPr>
          <w:rFonts w:eastAsiaTheme="minorEastAsia"/>
          <w:bCs/>
          <w:i/>
          <w:iCs/>
          <w:color w:val="000000" w:themeColor="text1"/>
        </w:rPr>
        <w:t>S</w:t>
      </w:r>
      <w:r w:rsidRPr="00C868F2">
        <w:rPr>
          <w:rFonts w:eastAsiaTheme="minorEastAsia"/>
          <w:bCs/>
          <w:i/>
          <w:iCs/>
          <w:color w:val="000000" w:themeColor="text1"/>
          <w:vertAlign w:val="subscript"/>
        </w:rPr>
        <w:t>h</w:t>
      </w:r>
      <w:r w:rsidRPr="00C868F2">
        <w:rPr>
          <w:rFonts w:eastAsiaTheme="minorEastAsia"/>
          <w:bCs/>
          <w:i/>
          <w:iCs/>
          <w:color w:val="000000" w:themeColor="text1"/>
        </w:rPr>
        <w:t xml:space="preserve"> </w:t>
      </w:r>
      <w:r w:rsidRPr="00C868F2">
        <w:rPr>
          <w:rFonts w:eastAsiaTheme="minorEastAsia"/>
          <w:bCs/>
          <w:color w:val="000000" w:themeColor="text1"/>
        </w:rPr>
        <w:t xml:space="preserve">is the annual savings due to the SCS reducing hospitalization for overdose, </w:t>
      </w:r>
      <w:r w:rsidRPr="00C868F2">
        <w:rPr>
          <w:rFonts w:eastAsiaTheme="minorEastAsia"/>
          <w:bCs/>
          <w:i/>
          <w:iCs/>
          <w:color w:val="000000" w:themeColor="text1"/>
        </w:rPr>
        <w:t>I</w:t>
      </w:r>
      <w:r w:rsidRPr="00C868F2">
        <w:rPr>
          <w:rFonts w:eastAsiaTheme="minorEastAsia"/>
          <w:bCs/>
          <w:color w:val="000000" w:themeColor="text1"/>
        </w:rPr>
        <w:t xml:space="preserve"> is the annual number of injections in the SCS, </w:t>
      </w:r>
      <w:r w:rsidRPr="00C868F2">
        <w:rPr>
          <w:rFonts w:eastAsiaTheme="minorEastAsia"/>
          <w:bCs/>
          <w:i/>
          <w:iCs/>
          <w:color w:val="000000" w:themeColor="text1"/>
        </w:rPr>
        <w:t>o</w:t>
      </w:r>
      <w:r w:rsidRPr="00C868F2">
        <w:rPr>
          <w:rFonts w:eastAsiaTheme="minorEastAsia"/>
          <w:bCs/>
          <w:color w:val="000000" w:themeColor="text1"/>
        </w:rPr>
        <w:t xml:space="preserve"> is the rate of non</w:t>
      </w:r>
      <w:r w:rsidR="00F74CEA" w:rsidRPr="00C868F2">
        <w:rPr>
          <w:rFonts w:eastAsiaTheme="minorEastAsia"/>
          <w:bCs/>
          <w:color w:val="000000" w:themeColor="text1"/>
        </w:rPr>
        <w:t>-</w:t>
      </w:r>
      <w:r w:rsidRPr="00C868F2">
        <w:rPr>
          <w:rFonts w:eastAsiaTheme="minorEastAsia"/>
          <w:bCs/>
          <w:color w:val="000000" w:themeColor="text1"/>
        </w:rPr>
        <w:t xml:space="preserve">fatal overdose, </w:t>
      </w:r>
      <w:r w:rsidRPr="00C868F2">
        <w:rPr>
          <w:rFonts w:eastAsiaTheme="minorEastAsia"/>
          <w:bCs/>
          <w:i/>
          <w:iCs/>
          <w:color w:val="000000" w:themeColor="text1"/>
        </w:rPr>
        <w:t>a</w:t>
      </w:r>
      <w:r w:rsidRPr="00C868F2">
        <w:rPr>
          <w:rFonts w:eastAsiaTheme="minorEastAsia"/>
          <w:bCs/>
          <w:i/>
          <w:iCs/>
          <w:color w:val="000000" w:themeColor="text1"/>
          <w:vertAlign w:val="subscript"/>
        </w:rPr>
        <w:t>o</w:t>
      </w:r>
      <w:r w:rsidRPr="00C868F2">
        <w:rPr>
          <w:rFonts w:eastAsiaTheme="minorEastAsia"/>
          <w:bCs/>
          <w:i/>
          <w:iCs/>
          <w:color w:val="000000" w:themeColor="text1"/>
        </w:rPr>
        <w:t xml:space="preserve"> </w:t>
      </w:r>
      <w:r w:rsidRPr="00C868F2">
        <w:rPr>
          <w:rFonts w:eastAsiaTheme="minorEastAsia"/>
          <w:bCs/>
          <w:color w:val="000000" w:themeColor="text1"/>
        </w:rPr>
        <w:t xml:space="preserve">and </w:t>
      </w:r>
      <w:r w:rsidRPr="00C868F2">
        <w:rPr>
          <w:rFonts w:eastAsiaTheme="minorEastAsia"/>
          <w:bCs/>
          <w:i/>
          <w:iCs/>
          <w:color w:val="000000" w:themeColor="text1"/>
        </w:rPr>
        <w:t>a</w:t>
      </w:r>
      <w:r w:rsidRPr="00C868F2">
        <w:rPr>
          <w:rFonts w:eastAsiaTheme="minorEastAsia"/>
          <w:bCs/>
          <w:i/>
          <w:iCs/>
          <w:color w:val="000000" w:themeColor="text1"/>
          <w:vertAlign w:val="subscript"/>
        </w:rPr>
        <w:t>i</w:t>
      </w:r>
      <w:r w:rsidRPr="00C868F2">
        <w:rPr>
          <w:rFonts w:eastAsiaTheme="minorEastAsia"/>
          <w:bCs/>
          <w:color w:val="000000" w:themeColor="text1"/>
          <w:vertAlign w:val="subscript"/>
        </w:rPr>
        <w:t xml:space="preserve"> </w:t>
      </w:r>
      <w:r w:rsidRPr="00C868F2">
        <w:rPr>
          <w:rFonts w:eastAsiaTheme="minorEastAsia"/>
          <w:bCs/>
          <w:color w:val="000000" w:themeColor="text1"/>
        </w:rPr>
        <w:t xml:space="preserve">are the rates of hospitalization for overdose when the overdose occurs outside and inside the SCS, respectively, and </w:t>
      </w:r>
      <w:r w:rsidRPr="00C868F2">
        <w:rPr>
          <w:rFonts w:eastAsiaTheme="minorEastAsia"/>
          <w:bCs/>
          <w:i/>
          <w:iCs/>
          <w:color w:val="000000" w:themeColor="text1"/>
        </w:rPr>
        <w:t>E</w:t>
      </w:r>
      <w:r w:rsidRPr="00C868F2">
        <w:rPr>
          <w:rFonts w:eastAsiaTheme="minorEastAsia"/>
          <w:bCs/>
          <w:color w:val="000000" w:themeColor="text1"/>
        </w:rPr>
        <w:t xml:space="preserve"> is the average expense of an overdose hospital stay (Irwin et al., 2017). This brings the cost savings to $398,193.41 annually with approximately 147 averted instances per year.</w:t>
      </w:r>
      <w:r w:rsidR="00815C40" w:rsidRPr="00C868F2">
        <w:rPr>
          <w:rFonts w:eastAsiaTheme="minorEastAsia"/>
          <w:bCs/>
          <w:color w:val="000000" w:themeColor="text1"/>
        </w:rPr>
        <w:t xml:space="preserve"> For variables and sources see appendix </w:t>
      </w:r>
      <w:r w:rsidR="00433AA4">
        <w:rPr>
          <w:rFonts w:eastAsiaTheme="minorEastAsia"/>
          <w:bCs/>
          <w:color w:val="000000" w:themeColor="text1"/>
        </w:rPr>
        <w:t>F</w:t>
      </w:r>
      <w:r w:rsidR="00815C40" w:rsidRPr="00C868F2">
        <w:rPr>
          <w:rFonts w:eastAsiaTheme="minorEastAsia"/>
          <w:bCs/>
          <w:color w:val="000000" w:themeColor="text1"/>
        </w:rPr>
        <w:t>.</w:t>
      </w:r>
      <w:r w:rsidR="00815C40" w:rsidRPr="00C868F2">
        <w:rPr>
          <w:color w:val="000000" w:themeColor="text1"/>
          <w:bdr w:val="none" w:sz="0" w:space="0" w:color="auto" w:frame="1"/>
        </w:rPr>
        <w:t xml:space="preserve"> </w:t>
      </w:r>
      <w:r w:rsidRPr="00C868F2">
        <w:rPr>
          <w:rFonts w:eastAsiaTheme="minorEastAsia"/>
          <w:bCs/>
          <w:color w:val="000000" w:themeColor="text1"/>
        </w:rPr>
        <w:t xml:space="preserve"> </w:t>
      </w:r>
    </w:p>
    <w:p w14:paraId="4A505574" w14:textId="6A167A3D" w:rsidR="00CC76BF" w:rsidRPr="00C868F2" w:rsidRDefault="00CC76BF" w:rsidP="00F76E8F">
      <w:pPr>
        <w:pStyle w:val="Heading2"/>
        <w:spacing w:line="480" w:lineRule="auto"/>
        <w:rPr>
          <w:rFonts w:ascii="Times New Roman" w:hAnsi="Times New Roman" w:cs="Times New Roman"/>
          <w:b/>
          <w:bCs/>
          <w:i/>
          <w:iCs/>
          <w:color w:val="000000" w:themeColor="text1"/>
          <w:sz w:val="24"/>
          <w:szCs w:val="24"/>
        </w:rPr>
      </w:pPr>
      <w:bookmarkStart w:id="21" w:name="_Toc103539041"/>
      <w:r w:rsidRPr="00C868F2">
        <w:rPr>
          <w:rFonts w:ascii="Times New Roman" w:hAnsi="Times New Roman" w:cs="Times New Roman"/>
          <w:b/>
          <w:bCs/>
          <w:i/>
          <w:iCs/>
          <w:color w:val="000000" w:themeColor="text1"/>
          <w:sz w:val="24"/>
          <w:szCs w:val="24"/>
        </w:rPr>
        <w:t>Medication-Assisted Treatment Benefits</w:t>
      </w:r>
      <w:bookmarkEnd w:id="21"/>
    </w:p>
    <w:p w14:paraId="06EB0F1F" w14:textId="7121BFDE" w:rsidR="00CC76BF" w:rsidRPr="00C868F2" w:rsidRDefault="00CC76BF" w:rsidP="00F76E8F">
      <w:pPr>
        <w:spacing w:line="480" w:lineRule="auto"/>
        <w:rPr>
          <w:color w:val="000000" w:themeColor="text1"/>
        </w:rPr>
      </w:pPr>
      <w:r w:rsidRPr="00C868F2">
        <w:rPr>
          <w:b/>
          <w:bCs/>
          <w:color w:val="000000" w:themeColor="text1"/>
        </w:rPr>
        <w:tab/>
      </w:r>
      <w:r w:rsidRPr="00C868F2">
        <w:rPr>
          <w:color w:val="000000" w:themeColor="text1"/>
        </w:rPr>
        <w:t xml:space="preserve">A secondary goal of an SCS would be to expose PWUD to rehabilitation and </w:t>
      </w:r>
      <w:r w:rsidR="004F52C8" w:rsidRPr="00C868F2">
        <w:rPr>
          <w:color w:val="000000" w:themeColor="text1"/>
        </w:rPr>
        <w:t>medication-assisted treatment</w:t>
      </w:r>
      <w:r w:rsidRPr="00C868F2">
        <w:rPr>
          <w:color w:val="000000" w:themeColor="text1"/>
        </w:rPr>
        <w:t xml:space="preserve"> programs. Using statistics from MSIC, a study conducted on retention rates for </w:t>
      </w:r>
      <w:r w:rsidR="004F52C8" w:rsidRPr="00C868F2">
        <w:rPr>
          <w:color w:val="000000" w:themeColor="text1"/>
        </w:rPr>
        <w:t xml:space="preserve">medication-assisted treatment </w:t>
      </w:r>
      <w:r w:rsidRPr="00C868F2">
        <w:rPr>
          <w:color w:val="000000" w:themeColor="text1"/>
        </w:rPr>
        <w:t>for opiate dependence (</w:t>
      </w:r>
      <w:r w:rsidR="002829FB" w:rsidRPr="00C868F2">
        <w:rPr>
          <w:color w:val="000000" w:themeColor="text1"/>
        </w:rPr>
        <w:t>Timko et al., 2015</w:t>
      </w:r>
      <w:r w:rsidRPr="00C868F2">
        <w:rPr>
          <w:color w:val="000000" w:themeColor="text1"/>
        </w:rPr>
        <w:t xml:space="preserve">), and the 2017 CBA, I use the following formula to estimate the benefits associated with an increase in enrollment in MAT: </w:t>
      </w:r>
    </w:p>
    <w:p w14:paraId="02AFD2C9" w14:textId="66177FF2" w:rsidR="00CC76BF" w:rsidRPr="00C868F2" w:rsidRDefault="00372454" w:rsidP="00F76E8F">
      <w:pPr>
        <w:spacing w:line="480" w:lineRule="auto"/>
        <w:rPr>
          <w:rFonts w:eastAsiaTheme="minorEastAsia"/>
          <w:b/>
          <w:color w:val="000000" w:themeColor="text1"/>
        </w:rPr>
      </w:pPr>
      <m:oMathPara>
        <m:oMath>
          <m:sSub>
            <m:sSubPr>
              <m:ctrlPr>
                <w:rPr>
                  <w:rFonts w:ascii="Cambria Math" w:eastAsiaTheme="minorEastAsia" w:hAnsi="Cambria Math"/>
                  <w:b/>
                  <w:i/>
                  <w:color w:val="000000" w:themeColor="text1"/>
                </w:rPr>
              </m:ctrlPr>
            </m:sSubPr>
            <m:e>
              <m:r>
                <m:rPr>
                  <m:sty m:val="bi"/>
                </m:rPr>
                <w:rPr>
                  <w:rFonts w:ascii="Cambria Math" w:eastAsiaTheme="minorEastAsia" w:hAnsi="Cambria Math"/>
                  <w:color w:val="000000" w:themeColor="text1"/>
                </w:rPr>
                <m:t>S</m:t>
              </m:r>
            </m:e>
            <m:sub>
              <m:r>
                <m:rPr>
                  <m:sty m:val="bi"/>
                </m:rPr>
                <w:rPr>
                  <w:rFonts w:ascii="Cambria Math" w:eastAsiaTheme="minorEastAsia" w:hAnsi="Cambria Math"/>
                  <w:color w:val="000000" w:themeColor="text1"/>
                </w:rPr>
                <m:t>MAT</m:t>
              </m:r>
            </m:sub>
          </m:sSub>
          <m:r>
            <m:rPr>
              <m:sty m:val="bi"/>
            </m:rPr>
            <w:rPr>
              <w:rFonts w:ascii="Cambria Math" w:eastAsiaTheme="minorEastAsia" w:hAnsi="Cambria Math"/>
              <w:color w:val="000000" w:themeColor="text1"/>
            </w:rPr>
            <m:t>=Nr f</m:t>
          </m:r>
          <m:d>
            <m:dPr>
              <m:ctrlPr>
                <w:rPr>
                  <w:rFonts w:ascii="Cambria Math" w:eastAsiaTheme="minorEastAsia" w:hAnsi="Cambria Math"/>
                  <w:b/>
                  <w:i/>
                  <w:color w:val="000000" w:themeColor="text1"/>
                </w:rPr>
              </m:ctrlPr>
            </m:dPr>
            <m:e>
              <m:r>
                <m:rPr>
                  <m:sty m:val="bi"/>
                </m:rPr>
                <w:rPr>
                  <w:rFonts w:ascii="Cambria Math" w:eastAsiaTheme="minorEastAsia" w:hAnsi="Cambria Math"/>
                  <w:color w:val="000000" w:themeColor="text1"/>
                </w:rPr>
                <m:t>b-1</m:t>
              </m:r>
            </m:e>
          </m:d>
          <m:r>
            <m:rPr>
              <m:sty m:val="bi"/>
            </m:rPr>
            <w:rPr>
              <w:rFonts w:ascii="Cambria Math" w:eastAsiaTheme="minorEastAsia" w:hAnsi="Cambria Math"/>
              <w:color w:val="000000" w:themeColor="text1"/>
            </w:rPr>
            <m:t>T</m:t>
          </m:r>
        </m:oMath>
      </m:oMathPara>
    </w:p>
    <w:p w14:paraId="2E945B6E" w14:textId="77777777" w:rsidR="00DA3762" w:rsidRPr="00C868F2" w:rsidRDefault="00DA3762" w:rsidP="00F76E8F">
      <w:pPr>
        <w:spacing w:line="480" w:lineRule="auto"/>
        <w:rPr>
          <w:rFonts w:eastAsiaTheme="minorEastAsia"/>
          <w:b/>
          <w:color w:val="000000" w:themeColor="text1"/>
        </w:rPr>
      </w:pPr>
    </w:p>
    <w:p w14:paraId="2E36172D" w14:textId="4E59FFAB" w:rsidR="00CC76BF" w:rsidRPr="00C868F2" w:rsidRDefault="00CC76BF" w:rsidP="00F76E8F">
      <w:pPr>
        <w:spacing w:line="480" w:lineRule="auto"/>
        <w:rPr>
          <w:rFonts w:eastAsiaTheme="minorEastAsia"/>
          <w:bCs/>
          <w:color w:val="000000" w:themeColor="text1"/>
        </w:rPr>
      </w:pPr>
      <w:r w:rsidRPr="00C868F2">
        <w:rPr>
          <w:rFonts w:eastAsiaTheme="minorEastAsia"/>
          <w:bCs/>
          <w:color w:val="000000" w:themeColor="text1"/>
        </w:rPr>
        <w:t xml:space="preserve">where </w:t>
      </w:r>
      <w:r w:rsidRPr="00C868F2">
        <w:rPr>
          <w:rFonts w:eastAsiaTheme="minorEastAsia"/>
          <w:bCs/>
          <w:i/>
          <w:iCs/>
          <w:color w:val="000000" w:themeColor="text1"/>
        </w:rPr>
        <w:t>N</w:t>
      </w:r>
      <w:r w:rsidRPr="00C868F2">
        <w:rPr>
          <w:rFonts w:eastAsiaTheme="minorEastAsia"/>
          <w:bCs/>
          <w:color w:val="000000" w:themeColor="text1"/>
        </w:rPr>
        <w:t xml:space="preserve"> is the number of </w:t>
      </w:r>
      <w:r w:rsidR="00A377C6" w:rsidRPr="00C868F2">
        <w:rPr>
          <w:rFonts w:eastAsiaTheme="minorEastAsia"/>
          <w:bCs/>
          <w:color w:val="000000" w:themeColor="text1"/>
        </w:rPr>
        <w:t>PWUD</w:t>
      </w:r>
      <w:r w:rsidRPr="00C868F2">
        <w:rPr>
          <w:rFonts w:eastAsiaTheme="minorEastAsia"/>
          <w:bCs/>
          <w:color w:val="000000" w:themeColor="text1"/>
        </w:rPr>
        <w:t xml:space="preserve"> who use the SCS, </w:t>
      </w:r>
      <w:r w:rsidRPr="00C868F2">
        <w:rPr>
          <w:rFonts w:eastAsiaTheme="minorEastAsia"/>
          <w:bCs/>
          <w:i/>
          <w:iCs/>
          <w:color w:val="000000" w:themeColor="text1"/>
        </w:rPr>
        <w:t>r</w:t>
      </w:r>
      <w:r w:rsidRPr="00C868F2">
        <w:rPr>
          <w:rFonts w:eastAsiaTheme="minorEastAsia"/>
          <w:bCs/>
          <w:color w:val="000000" w:themeColor="text1"/>
        </w:rPr>
        <w:t xml:space="preserve"> is the </w:t>
      </w:r>
      <w:r w:rsidR="00CB1442">
        <w:rPr>
          <w:rFonts w:eastAsiaTheme="minorEastAsia"/>
          <w:bCs/>
          <w:color w:val="000000" w:themeColor="text1"/>
        </w:rPr>
        <w:t xml:space="preserve">percent </w:t>
      </w:r>
      <w:r w:rsidRPr="00C868F2">
        <w:rPr>
          <w:rFonts w:eastAsiaTheme="minorEastAsia"/>
          <w:bCs/>
          <w:color w:val="000000" w:themeColor="text1"/>
        </w:rPr>
        <w:t xml:space="preserve">of SCS clients who have been shown to access treatment as a result of SCS referrals, </w:t>
      </w:r>
      <w:r w:rsidRPr="00AB254A">
        <w:rPr>
          <w:rFonts w:eastAsiaTheme="minorEastAsia"/>
          <w:bCs/>
          <w:i/>
          <w:iCs/>
          <w:color w:val="000000" w:themeColor="text1"/>
        </w:rPr>
        <w:t>f</w:t>
      </w:r>
      <w:r w:rsidRPr="00C868F2">
        <w:rPr>
          <w:rFonts w:eastAsiaTheme="minorEastAsia"/>
          <w:bCs/>
          <w:color w:val="000000" w:themeColor="text1"/>
        </w:rPr>
        <w:t xml:space="preserve"> is a conservative 37% estimate for retention in </w:t>
      </w:r>
      <w:r w:rsidR="0037024E" w:rsidRPr="00C868F2">
        <w:rPr>
          <w:rFonts w:eastAsiaTheme="minorEastAsia"/>
          <w:bCs/>
          <w:color w:val="000000" w:themeColor="text1"/>
        </w:rPr>
        <w:t>medication-assisted treatment</w:t>
      </w:r>
      <w:r w:rsidRPr="00C868F2">
        <w:rPr>
          <w:rFonts w:eastAsiaTheme="minorEastAsia"/>
          <w:bCs/>
          <w:color w:val="000000" w:themeColor="text1"/>
        </w:rPr>
        <w:t xml:space="preserve">, </w:t>
      </w:r>
      <w:r w:rsidRPr="00AB254A">
        <w:rPr>
          <w:rFonts w:eastAsiaTheme="minorEastAsia"/>
          <w:bCs/>
          <w:i/>
          <w:iCs/>
          <w:color w:val="000000" w:themeColor="text1"/>
        </w:rPr>
        <w:t>b</w:t>
      </w:r>
      <w:r w:rsidRPr="00C868F2">
        <w:rPr>
          <w:rFonts w:eastAsiaTheme="minorEastAsia"/>
          <w:bCs/>
          <w:color w:val="000000" w:themeColor="text1"/>
        </w:rPr>
        <w:t xml:space="preserve"> is the average cost-benefit ratio Irwin et al. reported for </w:t>
      </w:r>
      <w:r w:rsidR="004F52C8" w:rsidRPr="00C868F2">
        <w:rPr>
          <w:color w:val="000000" w:themeColor="text1"/>
        </w:rPr>
        <w:t>medication-assisted treatment</w:t>
      </w:r>
      <w:r w:rsidRPr="00C868F2">
        <w:rPr>
          <w:rFonts w:eastAsiaTheme="minorEastAsia"/>
          <w:bCs/>
          <w:color w:val="000000" w:themeColor="text1"/>
        </w:rPr>
        <w:t xml:space="preserve"> (2007), and </w:t>
      </w:r>
      <w:r w:rsidRPr="00AB254A">
        <w:rPr>
          <w:rFonts w:eastAsiaTheme="minorEastAsia"/>
          <w:bCs/>
          <w:i/>
          <w:iCs/>
          <w:color w:val="000000" w:themeColor="text1"/>
        </w:rPr>
        <w:t>T</w:t>
      </w:r>
      <w:r w:rsidRPr="00C868F2">
        <w:rPr>
          <w:rFonts w:eastAsiaTheme="minorEastAsia"/>
          <w:bCs/>
          <w:color w:val="000000" w:themeColor="text1"/>
        </w:rPr>
        <w:t xml:space="preserve"> is the annual cost of treatment. It is important to note that I am using a much more conservative value for retention in </w:t>
      </w:r>
      <w:r w:rsidR="004F52C8" w:rsidRPr="00C868F2">
        <w:rPr>
          <w:color w:val="000000" w:themeColor="text1"/>
        </w:rPr>
        <w:t>medication-assisted treatment</w:t>
      </w:r>
      <w:r w:rsidRPr="00C868F2">
        <w:rPr>
          <w:rFonts w:eastAsiaTheme="minorEastAsia"/>
          <w:bCs/>
          <w:color w:val="000000" w:themeColor="text1"/>
        </w:rPr>
        <w:t xml:space="preserve"> programs since through my own research, I found the range to be between 37</w:t>
      </w:r>
      <w:r w:rsidR="00944B71" w:rsidRPr="00C868F2">
        <w:rPr>
          <w:rFonts w:eastAsiaTheme="minorEastAsia"/>
          <w:bCs/>
          <w:color w:val="000000" w:themeColor="text1"/>
        </w:rPr>
        <w:t>%</w:t>
      </w:r>
      <w:r w:rsidR="00AB254A">
        <w:rPr>
          <w:rFonts w:eastAsiaTheme="minorEastAsia"/>
          <w:bCs/>
          <w:color w:val="000000" w:themeColor="text1"/>
        </w:rPr>
        <w:t xml:space="preserve"> </w:t>
      </w:r>
      <w:r w:rsidRPr="00C868F2">
        <w:rPr>
          <w:rFonts w:eastAsiaTheme="minorEastAsia"/>
          <w:bCs/>
          <w:color w:val="000000" w:themeColor="text1"/>
        </w:rPr>
        <w:t>and 95</w:t>
      </w:r>
      <w:r w:rsidR="00AB254A">
        <w:rPr>
          <w:rFonts w:eastAsiaTheme="minorEastAsia"/>
          <w:bCs/>
          <w:color w:val="000000" w:themeColor="text1"/>
        </w:rPr>
        <w:t>%</w:t>
      </w:r>
      <w:r w:rsidRPr="00C868F2">
        <w:rPr>
          <w:rFonts w:eastAsiaTheme="minorEastAsia"/>
          <w:bCs/>
          <w:color w:val="000000" w:themeColor="text1"/>
        </w:rPr>
        <w:t xml:space="preserve">. Additionally, the average yearly cost for </w:t>
      </w:r>
      <w:r w:rsidR="004F52C8" w:rsidRPr="00C868F2">
        <w:rPr>
          <w:color w:val="000000" w:themeColor="text1"/>
        </w:rPr>
        <w:t>medication-assisted treatment</w:t>
      </w:r>
      <w:r w:rsidRPr="00C868F2">
        <w:rPr>
          <w:rFonts w:eastAsiaTheme="minorEastAsia"/>
          <w:bCs/>
          <w:color w:val="000000" w:themeColor="text1"/>
        </w:rPr>
        <w:t xml:space="preserve"> has increased since the 2017 study was published, so I have updated the cost as well. This brings the total cost savings to $943,11</w:t>
      </w:r>
      <w:r w:rsidR="00AB254A">
        <w:rPr>
          <w:rFonts w:eastAsiaTheme="minorEastAsia"/>
          <w:bCs/>
          <w:color w:val="000000" w:themeColor="text1"/>
        </w:rPr>
        <w:t>3</w:t>
      </w:r>
      <w:r w:rsidRPr="00C868F2">
        <w:rPr>
          <w:rFonts w:eastAsiaTheme="minorEastAsia"/>
          <w:bCs/>
          <w:color w:val="000000" w:themeColor="text1"/>
        </w:rPr>
        <w:t xml:space="preserve"> annually. </w:t>
      </w:r>
      <w:r w:rsidR="00815C40" w:rsidRPr="00C868F2">
        <w:rPr>
          <w:rFonts w:eastAsiaTheme="minorEastAsia"/>
          <w:bCs/>
          <w:color w:val="000000" w:themeColor="text1"/>
        </w:rPr>
        <w:t xml:space="preserve">For variables and sources see appendix </w:t>
      </w:r>
      <w:r w:rsidR="00433AA4">
        <w:rPr>
          <w:rFonts w:eastAsiaTheme="minorEastAsia"/>
          <w:bCs/>
          <w:color w:val="000000" w:themeColor="text1"/>
        </w:rPr>
        <w:t>G</w:t>
      </w:r>
      <w:r w:rsidR="00815C40" w:rsidRPr="00C868F2">
        <w:rPr>
          <w:rFonts w:eastAsiaTheme="minorEastAsia"/>
          <w:bCs/>
          <w:color w:val="000000" w:themeColor="text1"/>
        </w:rPr>
        <w:t>.</w:t>
      </w:r>
    </w:p>
    <w:p w14:paraId="53AAD3B9" w14:textId="6F8B24C7" w:rsidR="00854145" w:rsidRPr="00C868F2" w:rsidRDefault="00854145" w:rsidP="00854145">
      <w:pPr>
        <w:pStyle w:val="Heading2"/>
        <w:spacing w:line="480" w:lineRule="auto"/>
        <w:rPr>
          <w:rFonts w:ascii="Times New Roman" w:hAnsi="Times New Roman" w:cs="Times New Roman"/>
          <w:b/>
          <w:bCs/>
          <w:color w:val="000000" w:themeColor="text1"/>
          <w:sz w:val="24"/>
          <w:szCs w:val="24"/>
        </w:rPr>
      </w:pPr>
      <w:bookmarkStart w:id="22" w:name="_Toc103539042"/>
      <w:r w:rsidRPr="00C868F2">
        <w:rPr>
          <w:rFonts w:ascii="Times New Roman" w:hAnsi="Times New Roman" w:cs="Times New Roman"/>
          <w:b/>
          <w:bCs/>
          <w:color w:val="000000" w:themeColor="text1"/>
          <w:sz w:val="24"/>
          <w:szCs w:val="24"/>
        </w:rPr>
        <w:t>Sensitivity Analysis</w:t>
      </w:r>
      <w:bookmarkEnd w:id="22"/>
    </w:p>
    <w:p w14:paraId="3994685B" w14:textId="20B0AB42" w:rsidR="00CC76BF" w:rsidRPr="00C868F2" w:rsidRDefault="00CD1DDF" w:rsidP="00F76E8F">
      <w:pPr>
        <w:spacing w:line="480" w:lineRule="auto"/>
        <w:ind w:firstLine="720"/>
        <w:rPr>
          <w:color w:val="000000" w:themeColor="text1"/>
        </w:rPr>
      </w:pPr>
      <w:r w:rsidRPr="00C868F2">
        <w:rPr>
          <w:color w:val="000000" w:themeColor="text1"/>
        </w:rPr>
        <w:t xml:space="preserve">Variables related to overdose mortality, morbidity, and </w:t>
      </w:r>
      <w:r w:rsidR="004F52C8" w:rsidRPr="00C868F2">
        <w:rPr>
          <w:color w:val="000000" w:themeColor="text1"/>
        </w:rPr>
        <w:t>medication-assisted treatment</w:t>
      </w:r>
      <w:r w:rsidRPr="00C868F2">
        <w:rPr>
          <w:color w:val="000000" w:themeColor="text1"/>
        </w:rPr>
        <w:t xml:space="preserve"> enrollment fluctuate yearly so in order to account for these fluctuations and increase the validity of my estimates I performed a sensitivity analysis on the variables of interest. To do this I created upper and lower bound estimates by increasing and decreasing the variables by 50 percent. </w:t>
      </w:r>
      <w:r w:rsidR="00EB355A" w:rsidRPr="00C868F2">
        <w:rPr>
          <w:color w:val="000000" w:themeColor="text1"/>
        </w:rPr>
        <w:t>Increasing and decreasing these values by 50 percent gives the ability to show that even with sharp increases and decreases, SCS can still provide positive net benefits.</w:t>
      </w:r>
    </w:p>
    <w:p w14:paraId="36587A3D" w14:textId="62E8364D" w:rsidR="001D235C" w:rsidRPr="00C868F2" w:rsidRDefault="00CD1DDF" w:rsidP="001D235C">
      <w:pPr>
        <w:pStyle w:val="Heading2"/>
        <w:spacing w:line="480" w:lineRule="auto"/>
        <w:rPr>
          <w:rFonts w:ascii="Times New Roman" w:hAnsi="Times New Roman" w:cs="Times New Roman"/>
          <w:b/>
          <w:bCs/>
          <w:i/>
          <w:iCs/>
          <w:color w:val="000000" w:themeColor="text1"/>
          <w:sz w:val="24"/>
          <w:szCs w:val="24"/>
        </w:rPr>
      </w:pPr>
      <w:bookmarkStart w:id="23" w:name="_Toc103539043"/>
      <w:r w:rsidRPr="00C868F2">
        <w:rPr>
          <w:rFonts w:ascii="Times New Roman" w:hAnsi="Times New Roman" w:cs="Times New Roman"/>
          <w:b/>
          <w:bCs/>
          <w:i/>
          <w:iCs/>
          <w:color w:val="000000" w:themeColor="text1"/>
          <w:sz w:val="24"/>
          <w:szCs w:val="24"/>
        </w:rPr>
        <w:t>Overdose Mortality</w:t>
      </w:r>
      <w:r w:rsidR="005E4600" w:rsidRPr="00C868F2">
        <w:rPr>
          <w:rFonts w:ascii="Times New Roman" w:hAnsi="Times New Roman" w:cs="Times New Roman"/>
          <w:b/>
          <w:bCs/>
          <w:i/>
          <w:iCs/>
          <w:color w:val="000000" w:themeColor="text1"/>
          <w:sz w:val="24"/>
          <w:szCs w:val="24"/>
        </w:rPr>
        <w:t>: Present Value</w:t>
      </w:r>
      <w:bookmarkEnd w:id="23"/>
      <w:r w:rsidRPr="00C868F2">
        <w:rPr>
          <w:rFonts w:ascii="Times New Roman" w:hAnsi="Times New Roman" w:cs="Times New Roman"/>
          <w:b/>
          <w:bCs/>
          <w:i/>
          <w:iCs/>
          <w:color w:val="000000" w:themeColor="text1"/>
          <w:sz w:val="24"/>
          <w:szCs w:val="24"/>
        </w:rPr>
        <w:t xml:space="preserve"> </w:t>
      </w:r>
    </w:p>
    <w:p w14:paraId="3F30CC7D" w14:textId="52C3DB51" w:rsidR="00CD1DDF" w:rsidRPr="00C868F2" w:rsidRDefault="00CD1DDF" w:rsidP="001D235C">
      <w:pPr>
        <w:spacing w:line="480" w:lineRule="auto"/>
        <w:ind w:firstLine="720"/>
        <w:rPr>
          <w:color w:val="000000" w:themeColor="text1"/>
        </w:rPr>
      </w:pPr>
      <w:r w:rsidRPr="00C868F2">
        <w:rPr>
          <w:color w:val="000000" w:themeColor="text1"/>
        </w:rPr>
        <w:t xml:space="preserve">The original calculation estimated that an SCS in Baltimore City would prevent 13.2 overdoses annually which came out to an overall </w:t>
      </w:r>
      <w:r w:rsidR="00562522" w:rsidRPr="00C868F2">
        <w:rPr>
          <w:color w:val="000000" w:themeColor="text1"/>
        </w:rPr>
        <w:t>benefit</w:t>
      </w:r>
      <w:r w:rsidRPr="00C868F2">
        <w:rPr>
          <w:color w:val="000000" w:themeColor="text1"/>
        </w:rPr>
        <w:t xml:space="preserve"> of $</w:t>
      </w:r>
      <w:r w:rsidR="008366DD" w:rsidRPr="00C868F2">
        <w:rPr>
          <w:color w:val="000000" w:themeColor="text1"/>
        </w:rPr>
        <w:t>8,431,503</w:t>
      </w:r>
      <w:r w:rsidR="0033144E" w:rsidRPr="00C868F2">
        <w:rPr>
          <w:color w:val="000000" w:themeColor="text1"/>
        </w:rPr>
        <w:t xml:space="preserve">. </w:t>
      </w:r>
      <w:r w:rsidRPr="00C868F2">
        <w:rPr>
          <w:color w:val="000000" w:themeColor="text1"/>
        </w:rPr>
        <w:t xml:space="preserve">To perform this sensitivity </w:t>
      </w:r>
      <w:r w:rsidR="00830F88" w:rsidRPr="00C868F2">
        <w:rPr>
          <w:color w:val="000000" w:themeColor="text1"/>
        </w:rPr>
        <w:t>analysis</w:t>
      </w:r>
      <w:r w:rsidR="005C0F35" w:rsidRPr="00C868F2">
        <w:rPr>
          <w:color w:val="000000" w:themeColor="text1"/>
        </w:rPr>
        <w:t xml:space="preserve"> for the upper bound,</w:t>
      </w:r>
      <w:r w:rsidRPr="00C868F2">
        <w:rPr>
          <w:color w:val="000000" w:themeColor="text1"/>
        </w:rPr>
        <w:t xml:space="preserve"> I increased the number of overdose deaths in Baltimore City to 1,446 deaths annually</w:t>
      </w:r>
      <w:r w:rsidR="00205A40" w:rsidRPr="00C868F2">
        <w:rPr>
          <w:color w:val="000000" w:themeColor="text1"/>
        </w:rPr>
        <w:t>.</w:t>
      </w:r>
      <w:r w:rsidRPr="00C868F2">
        <w:rPr>
          <w:color w:val="000000" w:themeColor="text1"/>
        </w:rPr>
        <w:t xml:space="preserve"> </w:t>
      </w:r>
      <w:r w:rsidR="00205A40" w:rsidRPr="00C868F2">
        <w:rPr>
          <w:color w:val="000000" w:themeColor="text1"/>
        </w:rPr>
        <w:t>This calculation</w:t>
      </w:r>
      <w:r w:rsidRPr="00C868F2">
        <w:rPr>
          <w:color w:val="000000" w:themeColor="text1"/>
        </w:rPr>
        <w:t xml:space="preserve"> estimated</w:t>
      </w:r>
      <w:r w:rsidR="00205A40" w:rsidRPr="00C868F2">
        <w:rPr>
          <w:color w:val="000000" w:themeColor="text1"/>
        </w:rPr>
        <w:t xml:space="preserve"> that 19.7 fatal overdoses would be prevented with an</w:t>
      </w:r>
      <w:r w:rsidRPr="00C868F2">
        <w:rPr>
          <w:color w:val="000000" w:themeColor="text1"/>
        </w:rPr>
        <w:t xml:space="preserve"> overall </w:t>
      </w:r>
      <w:r w:rsidR="00562522" w:rsidRPr="00C868F2">
        <w:rPr>
          <w:color w:val="000000" w:themeColor="text1"/>
        </w:rPr>
        <w:t>benefit</w:t>
      </w:r>
      <w:r w:rsidRPr="00C868F2">
        <w:rPr>
          <w:color w:val="000000" w:themeColor="text1"/>
        </w:rPr>
        <w:t xml:space="preserve"> </w:t>
      </w:r>
      <w:r w:rsidR="00205A40" w:rsidRPr="00C868F2">
        <w:rPr>
          <w:color w:val="000000" w:themeColor="text1"/>
        </w:rPr>
        <w:t>of</w:t>
      </w:r>
      <w:r w:rsidRPr="00C868F2">
        <w:rPr>
          <w:color w:val="000000" w:themeColor="text1"/>
        </w:rPr>
        <w:t xml:space="preserve"> $</w:t>
      </w:r>
      <w:r w:rsidR="008366DD" w:rsidRPr="00C868F2">
        <w:rPr>
          <w:color w:val="000000" w:themeColor="text1"/>
        </w:rPr>
        <w:t>12,647,255</w:t>
      </w:r>
      <w:r w:rsidRPr="00C868F2">
        <w:rPr>
          <w:color w:val="000000" w:themeColor="text1"/>
        </w:rPr>
        <w:t xml:space="preserve"> annually for the upper bound. As for the lower </w:t>
      </w:r>
      <w:r w:rsidRPr="00C868F2">
        <w:rPr>
          <w:color w:val="000000" w:themeColor="text1"/>
        </w:rPr>
        <w:lastRenderedPageBreak/>
        <w:t>bound estimate, the number of deaths related to opioids was decreased to 482 deaths annually</w:t>
      </w:r>
      <w:r w:rsidR="00205A40" w:rsidRPr="00C868F2">
        <w:rPr>
          <w:color w:val="000000" w:themeColor="text1"/>
        </w:rPr>
        <w:t>. This calculation estimated that 6.6 fatal overdoses would be prevented annually</w:t>
      </w:r>
      <w:r w:rsidRPr="00C868F2">
        <w:rPr>
          <w:color w:val="000000" w:themeColor="text1"/>
        </w:rPr>
        <w:t xml:space="preserve"> which yielded $</w:t>
      </w:r>
      <w:r w:rsidR="008366DD" w:rsidRPr="00C868F2">
        <w:rPr>
          <w:color w:val="000000" w:themeColor="text1"/>
        </w:rPr>
        <w:t>4,215,752</w:t>
      </w:r>
      <w:r w:rsidRPr="00C868F2">
        <w:rPr>
          <w:color w:val="000000" w:themeColor="text1"/>
        </w:rPr>
        <w:t xml:space="preserve"> in </w:t>
      </w:r>
      <w:r w:rsidR="00500C1F" w:rsidRPr="00C868F2">
        <w:rPr>
          <w:color w:val="000000" w:themeColor="text1"/>
        </w:rPr>
        <w:t>benefits</w:t>
      </w:r>
      <w:r w:rsidRPr="00C868F2">
        <w:rPr>
          <w:color w:val="000000" w:themeColor="text1"/>
        </w:rPr>
        <w:t xml:space="preserve"> per year. </w:t>
      </w:r>
      <w:r w:rsidR="00B92FCC" w:rsidRPr="00C868F2">
        <w:rPr>
          <w:color w:val="000000" w:themeColor="text1"/>
        </w:rPr>
        <w:t xml:space="preserve">See appendix </w:t>
      </w:r>
      <w:r w:rsidR="00433AA4">
        <w:rPr>
          <w:color w:val="000000" w:themeColor="text1"/>
        </w:rPr>
        <w:t>H</w:t>
      </w:r>
      <w:r w:rsidR="00B92FCC" w:rsidRPr="00C868F2">
        <w:rPr>
          <w:color w:val="000000" w:themeColor="text1"/>
        </w:rPr>
        <w:t>.</w:t>
      </w:r>
    </w:p>
    <w:p w14:paraId="7C99D2ED" w14:textId="36F920AF" w:rsidR="00B63113" w:rsidRPr="00C868F2" w:rsidRDefault="00B63113" w:rsidP="001D235C">
      <w:pPr>
        <w:spacing w:line="480" w:lineRule="auto"/>
        <w:ind w:firstLine="720"/>
        <w:rPr>
          <w:color w:val="000000" w:themeColor="text1"/>
        </w:rPr>
      </w:pPr>
      <w:r w:rsidRPr="00C868F2">
        <w:rPr>
          <w:color w:val="000000" w:themeColor="text1"/>
        </w:rPr>
        <w:t>To further explore how the impact of an averted overdose, I decided t</w:t>
      </w:r>
      <w:r w:rsidR="00631082" w:rsidRPr="00C868F2">
        <w:rPr>
          <w:color w:val="000000" w:themeColor="text1"/>
        </w:rPr>
        <w:t xml:space="preserve">o decrease the median income per capita in Baltimore City by 25% and 75% to show just how much the value of a life saved can fluctuate while still giving positive net benefits. </w:t>
      </w:r>
      <w:r w:rsidR="00676C97" w:rsidRPr="00C868F2">
        <w:rPr>
          <w:color w:val="000000" w:themeColor="text1"/>
        </w:rPr>
        <w:t xml:space="preserve">As seen in </w:t>
      </w:r>
      <w:r w:rsidR="0020468F" w:rsidRPr="00C868F2">
        <w:rPr>
          <w:color w:val="000000" w:themeColor="text1"/>
        </w:rPr>
        <w:t>Table</w:t>
      </w:r>
      <w:r w:rsidR="00676C97" w:rsidRPr="00C868F2">
        <w:rPr>
          <w:color w:val="000000" w:themeColor="text1"/>
        </w:rPr>
        <w:t xml:space="preserve"> </w:t>
      </w:r>
      <w:r w:rsidR="0020468F" w:rsidRPr="00C868F2">
        <w:rPr>
          <w:color w:val="000000" w:themeColor="text1"/>
        </w:rPr>
        <w:t>1</w:t>
      </w:r>
      <w:r w:rsidR="00676C97" w:rsidRPr="00C868F2">
        <w:rPr>
          <w:color w:val="000000" w:themeColor="text1"/>
        </w:rPr>
        <w:t xml:space="preserve">, the net benefits based on 13.2 averted overdoses ranges from approximately $1 million to $8.4 million. </w:t>
      </w:r>
    </w:p>
    <w:tbl>
      <w:tblPr>
        <w:tblW w:w="9090" w:type="dxa"/>
        <w:jc w:val="center"/>
        <w:tblLook w:val="04A0" w:firstRow="1" w:lastRow="0" w:firstColumn="1" w:lastColumn="0" w:noHBand="0" w:noVBand="1"/>
      </w:tblPr>
      <w:tblGrid>
        <w:gridCol w:w="5587"/>
        <w:gridCol w:w="3503"/>
      </w:tblGrid>
      <w:tr w:rsidR="00AA4462" w:rsidRPr="00675F12" w14:paraId="6A454E4E" w14:textId="77777777" w:rsidTr="00DC3959">
        <w:trPr>
          <w:trHeight w:val="366"/>
          <w:jc w:val="center"/>
        </w:trPr>
        <w:tc>
          <w:tcPr>
            <w:tcW w:w="9090" w:type="dxa"/>
            <w:gridSpan w:val="2"/>
            <w:tcBorders>
              <w:top w:val="nil"/>
              <w:left w:val="nil"/>
              <w:bottom w:val="nil"/>
              <w:right w:val="nil"/>
            </w:tcBorders>
            <w:shd w:val="clear" w:color="000000" w:fill="FFFFFF"/>
            <w:noWrap/>
            <w:vAlign w:val="bottom"/>
            <w:hideMark/>
          </w:tcPr>
          <w:p w14:paraId="23BB8C88" w14:textId="77777777" w:rsidR="00433AA4" w:rsidRPr="00675F12" w:rsidRDefault="00433AA4" w:rsidP="00AA4462">
            <w:pPr>
              <w:jc w:val="center"/>
              <w:rPr>
                <w:b/>
                <w:bCs/>
                <w:i/>
                <w:iCs/>
                <w:color w:val="000000"/>
              </w:rPr>
            </w:pPr>
          </w:p>
          <w:p w14:paraId="73504A75" w14:textId="3EC1969B" w:rsidR="00AA4462" w:rsidRPr="00675F12" w:rsidRDefault="0020468F" w:rsidP="00AA4462">
            <w:pPr>
              <w:jc w:val="center"/>
              <w:rPr>
                <w:b/>
                <w:bCs/>
                <w:i/>
                <w:iCs/>
                <w:color w:val="000000"/>
              </w:rPr>
            </w:pPr>
            <w:r w:rsidRPr="00675F12">
              <w:rPr>
                <w:b/>
                <w:bCs/>
                <w:i/>
                <w:iCs/>
                <w:color w:val="000000"/>
              </w:rPr>
              <w:t>Table 1</w:t>
            </w:r>
            <w:r w:rsidR="00AA4462" w:rsidRPr="00675F12">
              <w:rPr>
                <w:b/>
                <w:bCs/>
                <w:i/>
                <w:iCs/>
                <w:color w:val="000000"/>
              </w:rPr>
              <w:t>. Present Value of an averted overdose with Median Income Fluctuation for Baltimore City</w:t>
            </w:r>
          </w:p>
        </w:tc>
      </w:tr>
      <w:tr w:rsidR="00AA4462" w:rsidRPr="00675F12" w14:paraId="3219FC70" w14:textId="77777777" w:rsidTr="00DC3959">
        <w:trPr>
          <w:trHeight w:val="366"/>
          <w:jc w:val="center"/>
        </w:trPr>
        <w:tc>
          <w:tcPr>
            <w:tcW w:w="5587" w:type="dxa"/>
            <w:tcBorders>
              <w:top w:val="nil"/>
              <w:left w:val="nil"/>
              <w:bottom w:val="single" w:sz="4" w:space="0" w:color="auto"/>
              <w:right w:val="single" w:sz="4" w:space="0" w:color="auto"/>
            </w:tcBorders>
            <w:shd w:val="clear" w:color="000000" w:fill="FFFFFF"/>
            <w:noWrap/>
            <w:vAlign w:val="bottom"/>
            <w:hideMark/>
          </w:tcPr>
          <w:p w14:paraId="7FDA0470" w14:textId="77777777" w:rsidR="00AA4462" w:rsidRPr="00675F12" w:rsidRDefault="00AA4462" w:rsidP="00AA4462">
            <w:pPr>
              <w:jc w:val="center"/>
              <w:rPr>
                <w:b/>
                <w:bCs/>
                <w:color w:val="000000"/>
              </w:rPr>
            </w:pPr>
            <w:r w:rsidRPr="00675F12">
              <w:rPr>
                <w:b/>
                <w:bCs/>
                <w:color w:val="000000"/>
              </w:rPr>
              <w:t>Income</w:t>
            </w:r>
          </w:p>
        </w:tc>
        <w:tc>
          <w:tcPr>
            <w:tcW w:w="3503" w:type="dxa"/>
            <w:tcBorders>
              <w:top w:val="nil"/>
              <w:left w:val="nil"/>
              <w:bottom w:val="single" w:sz="4" w:space="0" w:color="auto"/>
              <w:right w:val="nil"/>
            </w:tcBorders>
            <w:shd w:val="clear" w:color="000000" w:fill="FFFFFF"/>
            <w:noWrap/>
            <w:vAlign w:val="bottom"/>
            <w:hideMark/>
          </w:tcPr>
          <w:p w14:paraId="69E9316C" w14:textId="77777777" w:rsidR="00AA4462" w:rsidRPr="00675F12" w:rsidRDefault="00AA4462" w:rsidP="00AA4462">
            <w:pPr>
              <w:jc w:val="center"/>
              <w:rPr>
                <w:b/>
                <w:bCs/>
                <w:color w:val="000000"/>
              </w:rPr>
            </w:pPr>
            <w:r w:rsidRPr="00675F12">
              <w:rPr>
                <w:b/>
                <w:bCs/>
                <w:color w:val="000000"/>
              </w:rPr>
              <w:t xml:space="preserve"> Annual Benefit </w:t>
            </w:r>
          </w:p>
        </w:tc>
      </w:tr>
      <w:tr w:rsidR="00AA4462" w:rsidRPr="00675F12" w14:paraId="6E36A9C9" w14:textId="77777777" w:rsidTr="00DC3959">
        <w:trPr>
          <w:trHeight w:val="366"/>
          <w:jc w:val="center"/>
        </w:trPr>
        <w:tc>
          <w:tcPr>
            <w:tcW w:w="5587" w:type="dxa"/>
            <w:tcBorders>
              <w:top w:val="nil"/>
              <w:left w:val="nil"/>
              <w:bottom w:val="single" w:sz="4" w:space="0" w:color="auto"/>
              <w:right w:val="single" w:sz="4" w:space="0" w:color="auto"/>
            </w:tcBorders>
            <w:shd w:val="clear" w:color="000000" w:fill="FFFFFF"/>
            <w:noWrap/>
            <w:vAlign w:val="bottom"/>
            <w:hideMark/>
          </w:tcPr>
          <w:p w14:paraId="29F6265C" w14:textId="77777777" w:rsidR="00AA4462" w:rsidRPr="00675F12" w:rsidRDefault="00AA4462" w:rsidP="00AA4462">
            <w:pPr>
              <w:rPr>
                <w:color w:val="000000"/>
              </w:rPr>
            </w:pPr>
            <w:r w:rsidRPr="00675F12">
              <w:rPr>
                <w:color w:val="000000"/>
              </w:rPr>
              <w:t>Median Income Per Capita in Baltimore City</w:t>
            </w:r>
          </w:p>
        </w:tc>
        <w:tc>
          <w:tcPr>
            <w:tcW w:w="3503" w:type="dxa"/>
            <w:tcBorders>
              <w:top w:val="nil"/>
              <w:left w:val="nil"/>
              <w:bottom w:val="single" w:sz="4" w:space="0" w:color="auto"/>
              <w:right w:val="nil"/>
            </w:tcBorders>
            <w:shd w:val="clear" w:color="000000" w:fill="FFFFFF"/>
            <w:noWrap/>
            <w:vAlign w:val="bottom"/>
            <w:hideMark/>
          </w:tcPr>
          <w:p w14:paraId="632A70CF" w14:textId="77777777" w:rsidR="00AA4462" w:rsidRPr="00675F12" w:rsidRDefault="00AA4462" w:rsidP="00AA4462">
            <w:pPr>
              <w:jc w:val="center"/>
              <w:rPr>
                <w:color w:val="000000"/>
              </w:rPr>
            </w:pPr>
            <w:r w:rsidRPr="00675F12">
              <w:rPr>
                <w:color w:val="000000"/>
              </w:rPr>
              <w:t>$8,431,503.03</w:t>
            </w:r>
          </w:p>
        </w:tc>
      </w:tr>
      <w:tr w:rsidR="00AA4462" w:rsidRPr="00675F12" w14:paraId="13AA8F0F" w14:textId="77777777" w:rsidTr="00DC3959">
        <w:trPr>
          <w:trHeight w:val="366"/>
          <w:jc w:val="center"/>
        </w:trPr>
        <w:tc>
          <w:tcPr>
            <w:tcW w:w="5587" w:type="dxa"/>
            <w:tcBorders>
              <w:top w:val="nil"/>
              <w:left w:val="nil"/>
              <w:bottom w:val="single" w:sz="4" w:space="0" w:color="auto"/>
              <w:right w:val="single" w:sz="4" w:space="0" w:color="auto"/>
            </w:tcBorders>
            <w:shd w:val="clear" w:color="000000" w:fill="FFFFFF"/>
            <w:noWrap/>
            <w:vAlign w:val="bottom"/>
            <w:hideMark/>
          </w:tcPr>
          <w:p w14:paraId="421C7623" w14:textId="77777777" w:rsidR="00AA4462" w:rsidRPr="00675F12" w:rsidRDefault="00AA4462" w:rsidP="00AA4462">
            <w:pPr>
              <w:rPr>
                <w:color w:val="000000"/>
              </w:rPr>
            </w:pPr>
            <w:r w:rsidRPr="00675F12">
              <w:rPr>
                <w:color w:val="000000"/>
              </w:rPr>
              <w:t>Median Income Per Capita in Baltimore City decreased by 50%</w:t>
            </w:r>
          </w:p>
        </w:tc>
        <w:tc>
          <w:tcPr>
            <w:tcW w:w="3503" w:type="dxa"/>
            <w:tcBorders>
              <w:top w:val="nil"/>
              <w:left w:val="nil"/>
              <w:bottom w:val="single" w:sz="4" w:space="0" w:color="auto"/>
              <w:right w:val="nil"/>
            </w:tcBorders>
            <w:shd w:val="clear" w:color="000000" w:fill="FFFFFF"/>
            <w:noWrap/>
            <w:vAlign w:val="bottom"/>
            <w:hideMark/>
          </w:tcPr>
          <w:p w14:paraId="58ECE8C4" w14:textId="77777777" w:rsidR="00AA4462" w:rsidRPr="00675F12" w:rsidRDefault="00AA4462" w:rsidP="00AA4462">
            <w:pPr>
              <w:jc w:val="center"/>
              <w:rPr>
                <w:color w:val="000000"/>
              </w:rPr>
            </w:pPr>
            <w:r w:rsidRPr="00675F12">
              <w:rPr>
                <w:color w:val="000000"/>
              </w:rPr>
              <w:t>$6,323,627.27</w:t>
            </w:r>
          </w:p>
        </w:tc>
      </w:tr>
      <w:tr w:rsidR="00AA4462" w:rsidRPr="00675F12" w14:paraId="3621EEBC" w14:textId="77777777" w:rsidTr="00DC3959">
        <w:trPr>
          <w:trHeight w:val="366"/>
          <w:jc w:val="center"/>
        </w:trPr>
        <w:tc>
          <w:tcPr>
            <w:tcW w:w="5587" w:type="dxa"/>
            <w:tcBorders>
              <w:top w:val="nil"/>
              <w:left w:val="nil"/>
              <w:bottom w:val="single" w:sz="4" w:space="0" w:color="auto"/>
              <w:right w:val="single" w:sz="4" w:space="0" w:color="auto"/>
            </w:tcBorders>
            <w:shd w:val="clear" w:color="000000" w:fill="FFFFFF"/>
            <w:noWrap/>
            <w:vAlign w:val="bottom"/>
            <w:hideMark/>
          </w:tcPr>
          <w:p w14:paraId="113EDC7D" w14:textId="77777777" w:rsidR="00AA4462" w:rsidRPr="00675F12" w:rsidRDefault="00AA4462" w:rsidP="00AA4462">
            <w:pPr>
              <w:rPr>
                <w:color w:val="000000"/>
              </w:rPr>
            </w:pPr>
            <w:r w:rsidRPr="00675F12">
              <w:rPr>
                <w:color w:val="000000"/>
              </w:rPr>
              <w:t>Median Income Per Capita in Baltimore City decreased by 75%</w:t>
            </w:r>
          </w:p>
        </w:tc>
        <w:tc>
          <w:tcPr>
            <w:tcW w:w="3503" w:type="dxa"/>
            <w:tcBorders>
              <w:top w:val="nil"/>
              <w:left w:val="nil"/>
              <w:bottom w:val="single" w:sz="4" w:space="0" w:color="auto"/>
              <w:right w:val="nil"/>
            </w:tcBorders>
            <w:shd w:val="clear" w:color="000000" w:fill="FFFFFF"/>
            <w:noWrap/>
            <w:vAlign w:val="bottom"/>
            <w:hideMark/>
          </w:tcPr>
          <w:p w14:paraId="339D5711" w14:textId="77777777" w:rsidR="00AA4462" w:rsidRPr="00675F12" w:rsidRDefault="00AA4462" w:rsidP="00AA4462">
            <w:pPr>
              <w:jc w:val="center"/>
              <w:rPr>
                <w:color w:val="000000"/>
              </w:rPr>
            </w:pPr>
            <w:r w:rsidRPr="00675F12">
              <w:rPr>
                <w:color w:val="000000"/>
              </w:rPr>
              <w:t xml:space="preserve">$1,053,938 </w:t>
            </w:r>
          </w:p>
        </w:tc>
      </w:tr>
    </w:tbl>
    <w:p w14:paraId="0DF4CF28" w14:textId="77777777" w:rsidR="00AA4462" w:rsidRPr="00C868F2" w:rsidRDefault="00AA4462" w:rsidP="001D235C">
      <w:pPr>
        <w:spacing w:line="480" w:lineRule="auto"/>
        <w:ind w:firstLine="720"/>
        <w:rPr>
          <w:color w:val="000000" w:themeColor="text1"/>
          <w:u w:val="single"/>
        </w:rPr>
      </w:pPr>
    </w:p>
    <w:p w14:paraId="62EBAFEC" w14:textId="7BF8A083" w:rsidR="005E4600" w:rsidRPr="00C868F2" w:rsidRDefault="005E4600" w:rsidP="00917920">
      <w:pPr>
        <w:pStyle w:val="Heading2"/>
        <w:spacing w:line="480" w:lineRule="auto"/>
        <w:rPr>
          <w:rFonts w:ascii="Times New Roman" w:hAnsi="Times New Roman" w:cs="Times New Roman"/>
          <w:b/>
          <w:bCs/>
          <w:i/>
          <w:iCs/>
          <w:color w:val="000000" w:themeColor="text1"/>
          <w:sz w:val="24"/>
          <w:szCs w:val="24"/>
        </w:rPr>
      </w:pPr>
      <w:bookmarkStart w:id="24" w:name="_Toc103539044"/>
      <w:r w:rsidRPr="00C868F2">
        <w:rPr>
          <w:rFonts w:ascii="Times New Roman" w:hAnsi="Times New Roman" w:cs="Times New Roman"/>
          <w:b/>
          <w:bCs/>
          <w:i/>
          <w:iCs/>
          <w:color w:val="000000" w:themeColor="text1"/>
          <w:sz w:val="24"/>
          <w:szCs w:val="24"/>
        </w:rPr>
        <w:t>Overdose Mortality: Value of a Statistical Life</w:t>
      </w:r>
      <w:bookmarkEnd w:id="24"/>
    </w:p>
    <w:p w14:paraId="5D8F1AD8" w14:textId="42B07D57" w:rsidR="00A57DE8" w:rsidRPr="00C868F2" w:rsidRDefault="00A57DE8" w:rsidP="005E4600">
      <w:pPr>
        <w:spacing w:line="480" w:lineRule="auto"/>
        <w:rPr>
          <w:color w:val="000000" w:themeColor="text1"/>
        </w:rPr>
      </w:pPr>
      <w:r w:rsidRPr="00C868F2">
        <w:rPr>
          <w:b/>
          <w:bCs/>
          <w:i/>
          <w:iCs/>
          <w:color w:val="000000" w:themeColor="text1"/>
        </w:rPr>
        <w:tab/>
      </w:r>
      <w:r w:rsidR="008F5E58" w:rsidRPr="00C868F2">
        <w:rPr>
          <w:rFonts w:eastAsiaTheme="minorEastAsia"/>
          <w:bCs/>
          <w:color w:val="000000" w:themeColor="text1"/>
        </w:rPr>
        <w:t>Following the guidelines of</w:t>
      </w:r>
      <w:r w:rsidR="001E0791" w:rsidRPr="00C868F2">
        <w:rPr>
          <w:rFonts w:eastAsiaTheme="minorEastAsia"/>
          <w:bCs/>
          <w:color w:val="000000" w:themeColor="text1"/>
        </w:rPr>
        <w:t xml:space="preserve"> The Department of</w:t>
      </w:r>
      <w:r w:rsidR="008F5E58" w:rsidRPr="00C868F2">
        <w:rPr>
          <w:rFonts w:eastAsiaTheme="minorEastAsia"/>
          <w:bCs/>
          <w:color w:val="000000" w:themeColor="text1"/>
        </w:rPr>
        <w:t xml:space="preserve"> HHS, I will also conduct a sensitivity analysis using a low, central, and high value</w:t>
      </w:r>
      <w:r w:rsidR="00C55161" w:rsidRPr="00C868F2">
        <w:rPr>
          <w:rFonts w:eastAsiaTheme="minorEastAsia"/>
          <w:bCs/>
          <w:color w:val="000000" w:themeColor="text1"/>
        </w:rPr>
        <w:t xml:space="preserve"> that is given by the department</w:t>
      </w:r>
      <w:r w:rsidR="008F5E58" w:rsidRPr="00C868F2">
        <w:rPr>
          <w:rFonts w:eastAsiaTheme="minorEastAsia"/>
          <w:bCs/>
          <w:color w:val="000000" w:themeColor="text1"/>
        </w:rPr>
        <w:t xml:space="preserve"> (20</w:t>
      </w:r>
      <w:r w:rsidR="001E0791" w:rsidRPr="00C868F2">
        <w:rPr>
          <w:rFonts w:eastAsiaTheme="minorEastAsia"/>
          <w:bCs/>
          <w:color w:val="000000" w:themeColor="text1"/>
        </w:rPr>
        <w:t>17</w:t>
      </w:r>
      <w:r w:rsidR="008F5E58" w:rsidRPr="00C868F2">
        <w:rPr>
          <w:rFonts w:eastAsiaTheme="minorEastAsia"/>
          <w:bCs/>
          <w:color w:val="000000" w:themeColor="text1"/>
        </w:rPr>
        <w:t>).</w:t>
      </w:r>
      <w:r w:rsidR="00C55161" w:rsidRPr="00C868F2">
        <w:rPr>
          <w:rFonts w:eastAsiaTheme="minorEastAsia"/>
          <w:bCs/>
          <w:color w:val="000000" w:themeColor="text1"/>
        </w:rPr>
        <w:t xml:space="preserve"> I will adjust the values to 2022 numbers in order to get the most accurate estimation</w:t>
      </w:r>
      <w:r w:rsidR="006F4E18" w:rsidRPr="00C868F2">
        <w:rPr>
          <w:rFonts w:eastAsiaTheme="minorEastAsia"/>
          <w:bCs/>
          <w:color w:val="000000" w:themeColor="text1"/>
        </w:rPr>
        <w:t xml:space="preserve">, and use the baseline calculation </w:t>
      </w:r>
      <w:r w:rsidR="00F93606" w:rsidRPr="00C868F2">
        <w:rPr>
          <w:rFonts w:eastAsiaTheme="minorEastAsia"/>
          <w:bCs/>
          <w:color w:val="000000" w:themeColor="text1"/>
        </w:rPr>
        <w:t>for the number of averted fatal overdoses: 13.2</w:t>
      </w:r>
      <w:r w:rsidR="00747549">
        <w:rPr>
          <w:rFonts w:eastAsiaTheme="minorEastAsia"/>
          <w:bCs/>
          <w:color w:val="000000" w:themeColor="text1"/>
        </w:rPr>
        <w:t xml:space="preserve"> per year</w:t>
      </w:r>
      <w:r w:rsidR="00C55161" w:rsidRPr="00C868F2">
        <w:rPr>
          <w:rFonts w:eastAsiaTheme="minorEastAsia"/>
          <w:bCs/>
          <w:color w:val="000000" w:themeColor="text1"/>
        </w:rPr>
        <w:t xml:space="preserve">. For the lower bound, the </w:t>
      </w:r>
      <w:r w:rsidR="00482364">
        <w:rPr>
          <w:rFonts w:eastAsiaTheme="minorEastAsia"/>
          <w:bCs/>
          <w:color w:val="000000" w:themeColor="text1"/>
        </w:rPr>
        <w:t xml:space="preserve">average </w:t>
      </w:r>
      <w:r w:rsidR="00C55161" w:rsidRPr="00C868F2">
        <w:rPr>
          <w:rFonts w:eastAsiaTheme="minorEastAsia"/>
          <w:bCs/>
          <w:color w:val="000000" w:themeColor="text1"/>
        </w:rPr>
        <w:t>VSL is equal to approximately $6</w:t>
      </w:r>
      <w:r w:rsidR="00482364">
        <w:rPr>
          <w:rFonts w:eastAsiaTheme="minorEastAsia"/>
          <w:bCs/>
          <w:color w:val="000000" w:themeColor="text1"/>
        </w:rPr>
        <w:t>.7</w:t>
      </w:r>
      <w:r w:rsidR="00C55161" w:rsidRPr="00C868F2">
        <w:rPr>
          <w:rFonts w:eastAsiaTheme="minorEastAsia"/>
          <w:bCs/>
          <w:color w:val="000000" w:themeColor="text1"/>
        </w:rPr>
        <w:t xml:space="preserve"> million per year (</w:t>
      </w:r>
      <w:r w:rsidR="001E0791" w:rsidRPr="00C868F2">
        <w:rPr>
          <w:rFonts w:eastAsiaTheme="minorEastAsia"/>
          <w:bCs/>
          <w:color w:val="000000" w:themeColor="text1"/>
        </w:rPr>
        <w:t>U.S. Dept. HHS</w:t>
      </w:r>
      <w:r w:rsidR="00B7218B" w:rsidRPr="00C868F2">
        <w:rPr>
          <w:rFonts w:eastAsiaTheme="minorEastAsia"/>
          <w:bCs/>
          <w:color w:val="000000" w:themeColor="text1"/>
        </w:rPr>
        <w:t xml:space="preserve">, </w:t>
      </w:r>
      <w:r w:rsidR="00C55161" w:rsidRPr="00C868F2">
        <w:rPr>
          <w:rFonts w:eastAsiaTheme="minorEastAsia"/>
          <w:bCs/>
          <w:color w:val="000000" w:themeColor="text1"/>
        </w:rPr>
        <w:t>20</w:t>
      </w:r>
      <w:r w:rsidR="001E0791" w:rsidRPr="00C868F2">
        <w:rPr>
          <w:rFonts w:eastAsiaTheme="minorEastAsia"/>
          <w:bCs/>
          <w:color w:val="000000" w:themeColor="text1"/>
        </w:rPr>
        <w:t>17</w:t>
      </w:r>
      <w:r w:rsidR="00C55161" w:rsidRPr="00C868F2">
        <w:rPr>
          <w:rFonts w:eastAsiaTheme="minorEastAsia"/>
          <w:bCs/>
          <w:color w:val="000000" w:themeColor="text1"/>
        </w:rPr>
        <w:t>). The upper bound</w:t>
      </w:r>
      <w:r w:rsidR="00482364">
        <w:rPr>
          <w:rFonts w:eastAsiaTheme="minorEastAsia"/>
          <w:bCs/>
          <w:color w:val="000000" w:themeColor="text1"/>
        </w:rPr>
        <w:t xml:space="preserve"> average</w:t>
      </w:r>
      <w:r w:rsidR="00C55161" w:rsidRPr="00C868F2">
        <w:rPr>
          <w:rFonts w:eastAsiaTheme="minorEastAsia"/>
          <w:bCs/>
          <w:color w:val="000000" w:themeColor="text1"/>
        </w:rPr>
        <w:t xml:space="preserve"> VSL is approximately $</w:t>
      </w:r>
      <w:r w:rsidR="00482364">
        <w:rPr>
          <w:rFonts w:eastAsiaTheme="minorEastAsia"/>
          <w:bCs/>
          <w:color w:val="000000" w:themeColor="text1"/>
        </w:rPr>
        <w:t>21.9</w:t>
      </w:r>
      <w:r w:rsidR="00C55161" w:rsidRPr="00C868F2">
        <w:rPr>
          <w:rFonts w:eastAsiaTheme="minorEastAsia"/>
          <w:bCs/>
          <w:color w:val="000000" w:themeColor="text1"/>
        </w:rPr>
        <w:t xml:space="preserve"> million per year </w:t>
      </w:r>
      <w:r w:rsidR="001E0791" w:rsidRPr="00C868F2">
        <w:rPr>
          <w:rFonts w:eastAsiaTheme="minorEastAsia"/>
          <w:bCs/>
          <w:color w:val="000000" w:themeColor="text1"/>
        </w:rPr>
        <w:t>(U.S. Dept.</w:t>
      </w:r>
      <w:r w:rsidR="001E0791" w:rsidRPr="00C868F2">
        <w:rPr>
          <w:rFonts w:eastAsiaTheme="minorEastAsia"/>
          <w:bCs/>
          <w:i/>
          <w:iCs/>
          <w:color w:val="000000" w:themeColor="text1"/>
        </w:rPr>
        <w:t xml:space="preserve"> </w:t>
      </w:r>
      <w:r w:rsidR="001E0791" w:rsidRPr="00F13FE2">
        <w:rPr>
          <w:rFonts w:eastAsiaTheme="minorEastAsia"/>
          <w:bCs/>
          <w:color w:val="000000" w:themeColor="text1"/>
        </w:rPr>
        <w:t>HHS</w:t>
      </w:r>
      <w:r w:rsidR="001E0791" w:rsidRPr="00C868F2">
        <w:rPr>
          <w:rFonts w:eastAsiaTheme="minorEastAsia"/>
          <w:bCs/>
          <w:color w:val="000000" w:themeColor="text1"/>
        </w:rPr>
        <w:t xml:space="preserve">, 2017). </w:t>
      </w:r>
      <w:r w:rsidR="006F4E18" w:rsidRPr="00C868F2">
        <w:rPr>
          <w:rFonts w:eastAsiaTheme="minorEastAsia"/>
          <w:bCs/>
          <w:color w:val="000000" w:themeColor="text1"/>
        </w:rPr>
        <w:t xml:space="preserve">This </w:t>
      </w:r>
      <w:r w:rsidR="00F93606" w:rsidRPr="00C868F2">
        <w:rPr>
          <w:rFonts w:eastAsiaTheme="minorEastAsia"/>
          <w:bCs/>
          <w:color w:val="000000" w:themeColor="text1"/>
        </w:rPr>
        <w:t>sensitivity analysis gives a range of benefits estimating from approximately $</w:t>
      </w:r>
      <w:r w:rsidR="00482364">
        <w:rPr>
          <w:rFonts w:eastAsiaTheme="minorEastAsia"/>
          <w:bCs/>
          <w:color w:val="000000" w:themeColor="text1"/>
        </w:rPr>
        <w:t>2.3</w:t>
      </w:r>
      <w:r w:rsidR="00F93606" w:rsidRPr="00C868F2">
        <w:rPr>
          <w:rFonts w:eastAsiaTheme="minorEastAsia"/>
          <w:bCs/>
          <w:color w:val="000000" w:themeColor="text1"/>
        </w:rPr>
        <w:t xml:space="preserve"> </w:t>
      </w:r>
      <w:r w:rsidR="00482364">
        <w:rPr>
          <w:rFonts w:eastAsiaTheme="minorEastAsia"/>
          <w:bCs/>
          <w:color w:val="000000" w:themeColor="text1"/>
        </w:rPr>
        <w:t>b</w:t>
      </w:r>
      <w:r w:rsidR="00F93606" w:rsidRPr="00C868F2">
        <w:rPr>
          <w:rFonts w:eastAsiaTheme="minorEastAsia"/>
          <w:bCs/>
          <w:color w:val="000000" w:themeColor="text1"/>
        </w:rPr>
        <w:t>illion to $</w:t>
      </w:r>
      <w:r w:rsidR="00482364">
        <w:rPr>
          <w:rFonts w:eastAsiaTheme="minorEastAsia"/>
          <w:bCs/>
          <w:color w:val="000000" w:themeColor="text1"/>
        </w:rPr>
        <w:t>7.5</w:t>
      </w:r>
      <w:r w:rsidR="00F93606" w:rsidRPr="00C868F2">
        <w:rPr>
          <w:rFonts w:eastAsiaTheme="minorEastAsia"/>
          <w:bCs/>
          <w:color w:val="000000" w:themeColor="text1"/>
        </w:rPr>
        <w:t xml:space="preserve"> </w:t>
      </w:r>
      <w:r w:rsidR="00482364">
        <w:rPr>
          <w:rFonts w:eastAsiaTheme="minorEastAsia"/>
          <w:bCs/>
          <w:color w:val="000000" w:themeColor="text1"/>
        </w:rPr>
        <w:t>b</w:t>
      </w:r>
      <w:r w:rsidR="00F93606" w:rsidRPr="00C868F2">
        <w:rPr>
          <w:rFonts w:eastAsiaTheme="minorEastAsia"/>
          <w:bCs/>
          <w:color w:val="000000" w:themeColor="text1"/>
        </w:rPr>
        <w:t xml:space="preserve">illion per year. </w:t>
      </w:r>
    </w:p>
    <w:p w14:paraId="4E21A45C" w14:textId="7C2EECC4" w:rsidR="00CD1DDF" w:rsidRPr="00C868F2" w:rsidRDefault="00CD1DDF" w:rsidP="00F76E8F">
      <w:pPr>
        <w:pStyle w:val="Heading2"/>
        <w:spacing w:line="480" w:lineRule="auto"/>
        <w:rPr>
          <w:rFonts w:ascii="Times New Roman" w:hAnsi="Times New Roman" w:cs="Times New Roman"/>
          <w:b/>
          <w:bCs/>
          <w:i/>
          <w:iCs/>
          <w:color w:val="000000" w:themeColor="text1"/>
          <w:sz w:val="24"/>
          <w:szCs w:val="24"/>
        </w:rPr>
      </w:pPr>
      <w:bookmarkStart w:id="25" w:name="_Toc103539045"/>
      <w:r w:rsidRPr="00C868F2">
        <w:rPr>
          <w:rFonts w:ascii="Times New Roman" w:hAnsi="Times New Roman" w:cs="Times New Roman"/>
          <w:b/>
          <w:bCs/>
          <w:i/>
          <w:iCs/>
          <w:color w:val="000000" w:themeColor="text1"/>
          <w:sz w:val="24"/>
          <w:szCs w:val="24"/>
        </w:rPr>
        <w:lastRenderedPageBreak/>
        <w:t>Overdose Morbidity</w:t>
      </w:r>
      <w:bookmarkEnd w:id="25"/>
    </w:p>
    <w:p w14:paraId="7BAB4C2A" w14:textId="27B27184" w:rsidR="00CD1DDF" w:rsidRPr="00C868F2" w:rsidRDefault="00CD1DDF" w:rsidP="00F76E8F">
      <w:pPr>
        <w:spacing w:line="480" w:lineRule="auto"/>
        <w:rPr>
          <w:color w:val="000000" w:themeColor="text1"/>
        </w:rPr>
      </w:pPr>
      <w:r w:rsidRPr="00C868F2">
        <w:rPr>
          <w:b/>
          <w:bCs/>
          <w:color w:val="000000" w:themeColor="text1"/>
        </w:rPr>
        <w:tab/>
      </w:r>
      <w:r w:rsidRPr="00C868F2">
        <w:rPr>
          <w:color w:val="000000" w:themeColor="text1"/>
        </w:rPr>
        <w:t xml:space="preserve">The </w:t>
      </w:r>
      <w:r w:rsidR="00500C1F" w:rsidRPr="00C868F2">
        <w:rPr>
          <w:color w:val="000000" w:themeColor="text1"/>
        </w:rPr>
        <w:t>baseline</w:t>
      </w:r>
      <w:r w:rsidRPr="00C868F2">
        <w:rPr>
          <w:color w:val="000000" w:themeColor="text1"/>
        </w:rPr>
        <w:t xml:space="preserve"> calculation for overdose morbidity yielded an annual savings of $1,</w:t>
      </w:r>
      <w:r w:rsidR="00B804B9" w:rsidRPr="00C868F2">
        <w:rPr>
          <w:color w:val="000000" w:themeColor="text1"/>
        </w:rPr>
        <w:t>386</w:t>
      </w:r>
      <w:r w:rsidRPr="00C868F2">
        <w:rPr>
          <w:color w:val="000000" w:themeColor="text1"/>
        </w:rPr>
        <w:t>,</w:t>
      </w:r>
      <w:r w:rsidR="00B804B9" w:rsidRPr="00C868F2">
        <w:rPr>
          <w:color w:val="000000" w:themeColor="text1"/>
        </w:rPr>
        <w:t>654</w:t>
      </w:r>
      <w:r w:rsidRPr="00C868F2">
        <w:rPr>
          <w:color w:val="000000" w:themeColor="text1"/>
        </w:rPr>
        <w:t xml:space="preserve"> consisting of savings from 593 averted ambulance deployments, 423.44 emergency room visits, and 147.37 days of inpatient hospitalizations related to overdoses. The individual savings of those three categories was  $4</w:t>
      </w:r>
      <w:r w:rsidR="00AC791B" w:rsidRPr="00C868F2">
        <w:rPr>
          <w:color w:val="000000" w:themeColor="text1"/>
        </w:rPr>
        <w:t>15,120</w:t>
      </w:r>
      <w:r w:rsidRPr="00C868F2">
        <w:rPr>
          <w:color w:val="000000" w:themeColor="text1"/>
        </w:rPr>
        <w:t xml:space="preserve">, $573,340, and $398,193, respectively. </w:t>
      </w:r>
    </w:p>
    <w:p w14:paraId="7595D2ED" w14:textId="6B2F41F1" w:rsidR="00CD1DDF" w:rsidRPr="00C868F2" w:rsidRDefault="00CD1DDF" w:rsidP="00F76E8F">
      <w:pPr>
        <w:spacing w:line="480" w:lineRule="auto"/>
        <w:rPr>
          <w:color w:val="000000" w:themeColor="text1"/>
        </w:rPr>
      </w:pPr>
      <w:r w:rsidRPr="00C868F2">
        <w:rPr>
          <w:color w:val="000000" w:themeColor="text1"/>
        </w:rPr>
        <w:tab/>
        <w:t>The sensitivity analysis for averted ambulance deployments gave an upper bound of 889.5 deployments and a lower bound of 296.5 deployments totaling to annual savings of $6</w:t>
      </w:r>
      <w:r w:rsidR="00810961" w:rsidRPr="00C868F2">
        <w:rPr>
          <w:color w:val="000000" w:themeColor="text1"/>
        </w:rPr>
        <w:t>22</w:t>
      </w:r>
      <w:r w:rsidRPr="00C868F2">
        <w:rPr>
          <w:color w:val="000000" w:themeColor="text1"/>
        </w:rPr>
        <w:t>,</w:t>
      </w:r>
      <w:r w:rsidR="00810961" w:rsidRPr="00C868F2">
        <w:rPr>
          <w:color w:val="000000" w:themeColor="text1"/>
        </w:rPr>
        <w:t>680</w:t>
      </w:r>
      <w:r w:rsidRPr="00C868F2">
        <w:rPr>
          <w:color w:val="000000" w:themeColor="text1"/>
        </w:rPr>
        <w:t xml:space="preserve"> and $2</w:t>
      </w:r>
      <w:r w:rsidR="00810961" w:rsidRPr="00C868F2">
        <w:rPr>
          <w:color w:val="000000" w:themeColor="text1"/>
        </w:rPr>
        <w:t>07,560</w:t>
      </w:r>
      <w:r w:rsidRPr="00C868F2">
        <w:rPr>
          <w:color w:val="000000" w:themeColor="text1"/>
        </w:rPr>
        <w:t xml:space="preserve">, respectively. </w:t>
      </w:r>
      <w:r w:rsidR="00094570" w:rsidRPr="00C868F2">
        <w:rPr>
          <w:color w:val="000000" w:themeColor="text1"/>
        </w:rPr>
        <w:t xml:space="preserve">See table </w:t>
      </w:r>
      <w:r w:rsidR="00B57D98">
        <w:rPr>
          <w:color w:val="000000" w:themeColor="text1"/>
        </w:rPr>
        <w:t>2</w:t>
      </w:r>
      <w:r w:rsidR="00094570" w:rsidRPr="00C868F2">
        <w:rPr>
          <w:color w:val="000000" w:themeColor="text1"/>
        </w:rPr>
        <w:t xml:space="preserve"> for the breakdown. </w:t>
      </w:r>
    </w:p>
    <w:p w14:paraId="0FC9CF0D" w14:textId="0B33C663" w:rsidR="00B814EB" w:rsidRPr="00C868F2" w:rsidRDefault="00CD1DDF" w:rsidP="00B814EB">
      <w:pPr>
        <w:spacing w:line="480" w:lineRule="auto"/>
        <w:ind w:firstLine="720"/>
        <w:rPr>
          <w:color w:val="000000" w:themeColor="text1"/>
        </w:rPr>
      </w:pPr>
      <w:r w:rsidRPr="00C868F2">
        <w:rPr>
          <w:color w:val="000000" w:themeColor="text1"/>
        </w:rPr>
        <w:t>The sensitivity analysis for averted emergency department visits gave an upper bound of 635.16 visits and a lower bound of 211.72 visits totaling to annual savings of $860,01</w:t>
      </w:r>
      <w:r w:rsidR="0053280C">
        <w:rPr>
          <w:color w:val="000000" w:themeColor="text1"/>
        </w:rPr>
        <w:t>1</w:t>
      </w:r>
      <w:r w:rsidRPr="00C868F2">
        <w:rPr>
          <w:color w:val="000000" w:themeColor="text1"/>
        </w:rPr>
        <w:t xml:space="preserve"> and $286,670, respectively.</w:t>
      </w:r>
      <w:r w:rsidR="00815C40" w:rsidRPr="00C868F2">
        <w:rPr>
          <w:color w:val="000000" w:themeColor="text1"/>
        </w:rPr>
        <w:t xml:space="preserve"> </w:t>
      </w:r>
      <w:r w:rsidR="00094570" w:rsidRPr="00C868F2">
        <w:rPr>
          <w:color w:val="000000" w:themeColor="text1"/>
        </w:rPr>
        <w:t xml:space="preserve">See table </w:t>
      </w:r>
      <w:r w:rsidR="00B57D98">
        <w:rPr>
          <w:color w:val="000000" w:themeColor="text1"/>
        </w:rPr>
        <w:t>2</w:t>
      </w:r>
      <w:r w:rsidR="00094570" w:rsidRPr="00C868F2">
        <w:rPr>
          <w:color w:val="000000" w:themeColor="text1"/>
        </w:rPr>
        <w:t xml:space="preserve"> for the breakdown.</w:t>
      </w:r>
    </w:p>
    <w:p w14:paraId="4C18F06D" w14:textId="73381C93" w:rsidR="003E48DC" w:rsidRPr="00C868F2" w:rsidRDefault="00CD1DDF" w:rsidP="00B814EB">
      <w:pPr>
        <w:spacing w:line="480" w:lineRule="auto"/>
        <w:ind w:firstLine="720"/>
        <w:rPr>
          <w:color w:val="000000" w:themeColor="text1"/>
        </w:rPr>
      </w:pPr>
      <w:r w:rsidRPr="00C868F2">
        <w:rPr>
          <w:color w:val="000000" w:themeColor="text1"/>
        </w:rPr>
        <w:t>The sensitivity analysis for averted inpatient hospital stays gave an upper bound of 221.05 days and a lower bound of 73.68 days totaling to annual savings of $597,290 and $199,09</w:t>
      </w:r>
      <w:r w:rsidR="0053280C">
        <w:rPr>
          <w:color w:val="000000" w:themeColor="text1"/>
        </w:rPr>
        <w:t>7</w:t>
      </w:r>
      <w:r w:rsidRPr="00C868F2">
        <w:rPr>
          <w:color w:val="000000" w:themeColor="text1"/>
        </w:rPr>
        <w:t>, respectively.</w:t>
      </w:r>
      <w:r w:rsidR="00815C40" w:rsidRPr="00C868F2">
        <w:rPr>
          <w:color w:val="000000" w:themeColor="text1"/>
        </w:rPr>
        <w:t xml:space="preserve"> </w:t>
      </w:r>
      <w:r w:rsidR="00094570" w:rsidRPr="00C868F2">
        <w:rPr>
          <w:color w:val="000000" w:themeColor="text1"/>
        </w:rPr>
        <w:t xml:space="preserve">See table </w:t>
      </w:r>
      <w:r w:rsidR="00B57D98">
        <w:rPr>
          <w:color w:val="000000" w:themeColor="text1"/>
        </w:rPr>
        <w:t>2</w:t>
      </w:r>
      <w:r w:rsidR="00094570" w:rsidRPr="00C868F2">
        <w:rPr>
          <w:color w:val="000000" w:themeColor="text1"/>
        </w:rPr>
        <w:t xml:space="preserve"> for the </w:t>
      </w:r>
      <w:r w:rsidR="00F04F2F" w:rsidRPr="00C868F2">
        <w:rPr>
          <w:color w:val="000000" w:themeColor="text1"/>
        </w:rPr>
        <w:t>breakdown and</w:t>
      </w:r>
      <w:r w:rsidR="008A030A" w:rsidRPr="00C868F2">
        <w:rPr>
          <w:color w:val="000000" w:themeColor="text1"/>
        </w:rPr>
        <w:t xml:space="preserve"> see appendix </w:t>
      </w:r>
      <w:r w:rsidR="00433AA4">
        <w:rPr>
          <w:color w:val="000000" w:themeColor="text1"/>
        </w:rPr>
        <w:t>I</w:t>
      </w:r>
      <w:r w:rsidR="008A030A" w:rsidRPr="00C868F2">
        <w:rPr>
          <w:color w:val="000000" w:themeColor="text1"/>
        </w:rPr>
        <w:t xml:space="preserve"> for </w:t>
      </w:r>
      <w:r w:rsidR="00433AA4" w:rsidRPr="00C868F2">
        <w:rPr>
          <w:color w:val="000000" w:themeColor="text1"/>
        </w:rPr>
        <w:t>variables</w:t>
      </w:r>
      <w:r w:rsidR="008A030A" w:rsidRPr="00C868F2">
        <w:rPr>
          <w:color w:val="000000" w:themeColor="text1"/>
        </w:rPr>
        <w:t xml:space="preserve"> and sources.</w:t>
      </w:r>
      <w:r w:rsidR="00B57D98">
        <w:rPr>
          <w:color w:val="000000" w:themeColor="text1"/>
        </w:rPr>
        <w:t xml:space="preserve"> </w:t>
      </w:r>
    </w:p>
    <w:p w14:paraId="0494B47B" w14:textId="1A4B7896" w:rsidR="008A4FB6" w:rsidRPr="005567B6" w:rsidRDefault="008A4FB6" w:rsidP="005567B6">
      <w:pPr>
        <w:pStyle w:val="Caption"/>
        <w:keepNext/>
        <w:ind w:left="1440" w:firstLine="720"/>
        <w:rPr>
          <w:b/>
          <w:bCs/>
          <w:color w:val="000000" w:themeColor="text1"/>
          <w:sz w:val="20"/>
          <w:szCs w:val="20"/>
        </w:rPr>
      </w:pPr>
      <w:r w:rsidRPr="005567B6">
        <w:rPr>
          <w:b/>
          <w:bCs/>
          <w:color w:val="000000" w:themeColor="text1"/>
          <w:sz w:val="20"/>
          <w:szCs w:val="20"/>
        </w:rPr>
        <w:t>Table</w:t>
      </w:r>
      <w:r w:rsidR="0020468F" w:rsidRPr="005567B6">
        <w:rPr>
          <w:b/>
          <w:bCs/>
          <w:color w:val="000000" w:themeColor="text1"/>
          <w:sz w:val="20"/>
          <w:szCs w:val="20"/>
        </w:rPr>
        <w:t xml:space="preserve"> 2</w:t>
      </w:r>
      <w:r w:rsidRPr="005567B6">
        <w:rPr>
          <w:b/>
          <w:bCs/>
          <w:color w:val="000000" w:themeColor="text1"/>
          <w:sz w:val="20"/>
          <w:szCs w:val="20"/>
        </w:rPr>
        <w:t>. Overdose Morbidity Sensitivity Analysis</w:t>
      </w:r>
    </w:p>
    <w:tbl>
      <w:tblPr>
        <w:tblpPr w:leftFromText="180" w:rightFromText="180" w:vertAnchor="text" w:horzAnchor="margin" w:tblpXSpec="center" w:tblpY="58"/>
        <w:tblW w:w="6757" w:type="dxa"/>
        <w:tblLook w:val="04A0" w:firstRow="1" w:lastRow="0" w:firstColumn="1" w:lastColumn="0" w:noHBand="0" w:noVBand="1"/>
      </w:tblPr>
      <w:tblGrid>
        <w:gridCol w:w="4325"/>
        <w:gridCol w:w="1216"/>
        <w:gridCol w:w="1216"/>
      </w:tblGrid>
      <w:tr w:rsidR="00F17E9D" w:rsidRPr="005567B6" w14:paraId="034D88BF" w14:textId="77777777" w:rsidTr="00B57D98">
        <w:trPr>
          <w:trHeight w:val="306"/>
        </w:trPr>
        <w:tc>
          <w:tcPr>
            <w:tcW w:w="4325" w:type="dxa"/>
            <w:tcBorders>
              <w:top w:val="nil"/>
              <w:left w:val="nil"/>
              <w:bottom w:val="single" w:sz="4" w:space="0" w:color="auto"/>
              <w:right w:val="nil"/>
            </w:tcBorders>
            <w:shd w:val="clear" w:color="auto" w:fill="auto"/>
            <w:noWrap/>
            <w:vAlign w:val="bottom"/>
            <w:hideMark/>
          </w:tcPr>
          <w:p w14:paraId="5CDF9CF9" w14:textId="77777777" w:rsidR="00F17E9D" w:rsidRPr="005567B6" w:rsidRDefault="00F17E9D" w:rsidP="00F17E9D">
            <w:pPr>
              <w:rPr>
                <w:color w:val="000000"/>
                <w:sz w:val="20"/>
                <w:szCs w:val="20"/>
              </w:rPr>
            </w:pPr>
            <w:r w:rsidRPr="005567B6">
              <w:rPr>
                <w:color w:val="000000"/>
                <w:sz w:val="20"/>
                <w:szCs w:val="20"/>
              </w:rPr>
              <w:t> </w:t>
            </w:r>
          </w:p>
        </w:tc>
        <w:tc>
          <w:tcPr>
            <w:tcW w:w="1216" w:type="dxa"/>
            <w:tcBorders>
              <w:top w:val="nil"/>
              <w:left w:val="nil"/>
              <w:bottom w:val="single" w:sz="4" w:space="0" w:color="auto"/>
              <w:right w:val="nil"/>
            </w:tcBorders>
            <w:shd w:val="clear" w:color="auto" w:fill="auto"/>
            <w:noWrap/>
            <w:vAlign w:val="bottom"/>
            <w:hideMark/>
          </w:tcPr>
          <w:p w14:paraId="0995E7FC" w14:textId="77777777" w:rsidR="00F17E9D" w:rsidRPr="005567B6" w:rsidRDefault="00F17E9D" w:rsidP="00F17E9D">
            <w:pPr>
              <w:rPr>
                <w:b/>
                <w:bCs/>
                <w:color w:val="000000"/>
                <w:sz w:val="20"/>
                <w:szCs w:val="20"/>
              </w:rPr>
            </w:pPr>
            <w:r w:rsidRPr="005567B6">
              <w:rPr>
                <w:b/>
                <w:bCs/>
                <w:color w:val="000000"/>
                <w:sz w:val="20"/>
                <w:szCs w:val="20"/>
              </w:rPr>
              <w:t xml:space="preserve"> Upper Bound </w:t>
            </w:r>
          </w:p>
        </w:tc>
        <w:tc>
          <w:tcPr>
            <w:tcW w:w="1216" w:type="dxa"/>
            <w:tcBorders>
              <w:top w:val="nil"/>
              <w:left w:val="nil"/>
              <w:bottom w:val="single" w:sz="4" w:space="0" w:color="auto"/>
              <w:right w:val="nil"/>
            </w:tcBorders>
            <w:shd w:val="clear" w:color="auto" w:fill="auto"/>
            <w:noWrap/>
            <w:vAlign w:val="bottom"/>
            <w:hideMark/>
          </w:tcPr>
          <w:p w14:paraId="56F154C2" w14:textId="77777777" w:rsidR="00F17E9D" w:rsidRPr="005567B6" w:rsidRDefault="00F17E9D" w:rsidP="00F17E9D">
            <w:pPr>
              <w:rPr>
                <w:b/>
                <w:bCs/>
                <w:color w:val="000000"/>
                <w:sz w:val="20"/>
                <w:szCs w:val="20"/>
              </w:rPr>
            </w:pPr>
            <w:r w:rsidRPr="005567B6">
              <w:rPr>
                <w:b/>
                <w:bCs/>
                <w:color w:val="000000"/>
                <w:sz w:val="20"/>
                <w:szCs w:val="20"/>
              </w:rPr>
              <w:t xml:space="preserve"> Lower Bound </w:t>
            </w:r>
          </w:p>
        </w:tc>
      </w:tr>
      <w:tr w:rsidR="00F17E9D" w:rsidRPr="005567B6" w14:paraId="39A2526B" w14:textId="77777777" w:rsidTr="00B57D98">
        <w:trPr>
          <w:trHeight w:val="306"/>
        </w:trPr>
        <w:tc>
          <w:tcPr>
            <w:tcW w:w="4325" w:type="dxa"/>
            <w:tcBorders>
              <w:top w:val="nil"/>
              <w:left w:val="nil"/>
              <w:bottom w:val="nil"/>
              <w:right w:val="single" w:sz="4" w:space="0" w:color="auto"/>
            </w:tcBorders>
            <w:shd w:val="clear" w:color="000000" w:fill="FFFFFF"/>
            <w:noWrap/>
            <w:vAlign w:val="bottom"/>
            <w:hideMark/>
          </w:tcPr>
          <w:p w14:paraId="5083BAF0" w14:textId="77777777" w:rsidR="00F17E9D" w:rsidRPr="005567B6" w:rsidRDefault="00F17E9D" w:rsidP="00F17E9D">
            <w:pPr>
              <w:rPr>
                <w:b/>
                <w:bCs/>
                <w:color w:val="000000"/>
                <w:sz w:val="20"/>
                <w:szCs w:val="20"/>
              </w:rPr>
            </w:pPr>
            <w:r w:rsidRPr="005567B6">
              <w:rPr>
                <w:b/>
                <w:bCs/>
                <w:color w:val="000000"/>
                <w:sz w:val="20"/>
                <w:szCs w:val="20"/>
              </w:rPr>
              <w:t>Overdose Morbidity</w:t>
            </w:r>
          </w:p>
        </w:tc>
        <w:tc>
          <w:tcPr>
            <w:tcW w:w="1216" w:type="dxa"/>
            <w:tcBorders>
              <w:top w:val="nil"/>
              <w:left w:val="nil"/>
              <w:bottom w:val="nil"/>
              <w:right w:val="nil"/>
            </w:tcBorders>
            <w:shd w:val="clear" w:color="000000" w:fill="FFFFFF"/>
            <w:noWrap/>
            <w:vAlign w:val="bottom"/>
            <w:hideMark/>
          </w:tcPr>
          <w:p w14:paraId="68A761D4" w14:textId="77777777" w:rsidR="00F17E9D" w:rsidRPr="005567B6" w:rsidRDefault="00F17E9D" w:rsidP="00F17E9D">
            <w:pPr>
              <w:rPr>
                <w:color w:val="000000"/>
                <w:sz w:val="20"/>
                <w:szCs w:val="20"/>
              </w:rPr>
            </w:pPr>
            <w:r w:rsidRPr="005567B6">
              <w:rPr>
                <w:color w:val="000000"/>
                <w:sz w:val="20"/>
                <w:szCs w:val="20"/>
              </w:rPr>
              <w:t> </w:t>
            </w:r>
          </w:p>
        </w:tc>
        <w:tc>
          <w:tcPr>
            <w:tcW w:w="1216" w:type="dxa"/>
            <w:tcBorders>
              <w:top w:val="nil"/>
              <w:left w:val="single" w:sz="4" w:space="0" w:color="auto"/>
              <w:bottom w:val="nil"/>
              <w:right w:val="nil"/>
            </w:tcBorders>
            <w:shd w:val="clear" w:color="000000" w:fill="FFFFFF"/>
            <w:noWrap/>
            <w:vAlign w:val="bottom"/>
            <w:hideMark/>
          </w:tcPr>
          <w:p w14:paraId="7860EE49" w14:textId="77777777" w:rsidR="00F17E9D" w:rsidRPr="005567B6" w:rsidRDefault="00F17E9D" w:rsidP="00F17E9D">
            <w:pPr>
              <w:rPr>
                <w:color w:val="000000"/>
                <w:sz w:val="20"/>
                <w:szCs w:val="20"/>
              </w:rPr>
            </w:pPr>
            <w:r w:rsidRPr="005567B6">
              <w:rPr>
                <w:color w:val="000000"/>
                <w:sz w:val="20"/>
                <w:szCs w:val="20"/>
              </w:rPr>
              <w:t> </w:t>
            </w:r>
          </w:p>
        </w:tc>
      </w:tr>
      <w:tr w:rsidR="00F17E9D" w:rsidRPr="005567B6" w14:paraId="0C9A9DBD" w14:textId="77777777" w:rsidTr="00B57D98">
        <w:trPr>
          <w:trHeight w:val="306"/>
        </w:trPr>
        <w:tc>
          <w:tcPr>
            <w:tcW w:w="4325" w:type="dxa"/>
            <w:tcBorders>
              <w:top w:val="nil"/>
              <w:left w:val="nil"/>
              <w:bottom w:val="nil"/>
              <w:right w:val="single" w:sz="4" w:space="0" w:color="auto"/>
            </w:tcBorders>
            <w:shd w:val="clear" w:color="000000" w:fill="FFFFFF"/>
            <w:noWrap/>
            <w:vAlign w:val="bottom"/>
            <w:hideMark/>
          </w:tcPr>
          <w:p w14:paraId="23409BEE" w14:textId="77777777" w:rsidR="00F17E9D" w:rsidRPr="005567B6" w:rsidRDefault="00F17E9D" w:rsidP="00F17E9D">
            <w:pPr>
              <w:jc w:val="right"/>
              <w:rPr>
                <w:b/>
                <w:bCs/>
                <w:i/>
                <w:iCs/>
                <w:color w:val="000000"/>
                <w:sz w:val="20"/>
                <w:szCs w:val="20"/>
              </w:rPr>
            </w:pPr>
            <w:r w:rsidRPr="005567B6">
              <w:rPr>
                <w:b/>
                <w:bCs/>
                <w:i/>
                <w:iCs/>
                <w:color w:val="000000"/>
                <w:sz w:val="20"/>
                <w:szCs w:val="20"/>
              </w:rPr>
              <w:t>Averted Ambulance Deployments</w:t>
            </w:r>
          </w:p>
        </w:tc>
        <w:tc>
          <w:tcPr>
            <w:tcW w:w="1216" w:type="dxa"/>
            <w:tcBorders>
              <w:top w:val="nil"/>
              <w:left w:val="nil"/>
              <w:bottom w:val="nil"/>
              <w:right w:val="nil"/>
            </w:tcBorders>
            <w:shd w:val="clear" w:color="000000" w:fill="FFFFFF"/>
            <w:noWrap/>
            <w:vAlign w:val="bottom"/>
            <w:hideMark/>
          </w:tcPr>
          <w:p w14:paraId="00AAB0C3" w14:textId="77777777" w:rsidR="00F17E9D" w:rsidRPr="005567B6" w:rsidRDefault="00F17E9D" w:rsidP="00F17E9D">
            <w:pPr>
              <w:jc w:val="right"/>
              <w:rPr>
                <w:color w:val="000000"/>
                <w:sz w:val="20"/>
                <w:szCs w:val="20"/>
              </w:rPr>
            </w:pPr>
            <w:r w:rsidRPr="005567B6">
              <w:rPr>
                <w:color w:val="000000"/>
                <w:sz w:val="20"/>
                <w:szCs w:val="20"/>
              </w:rPr>
              <w:t xml:space="preserve">$622,680.46 </w:t>
            </w:r>
          </w:p>
        </w:tc>
        <w:tc>
          <w:tcPr>
            <w:tcW w:w="1216" w:type="dxa"/>
            <w:tcBorders>
              <w:top w:val="nil"/>
              <w:left w:val="single" w:sz="4" w:space="0" w:color="auto"/>
              <w:bottom w:val="nil"/>
              <w:right w:val="nil"/>
            </w:tcBorders>
            <w:shd w:val="clear" w:color="000000" w:fill="FFFFFF"/>
            <w:noWrap/>
            <w:vAlign w:val="bottom"/>
            <w:hideMark/>
          </w:tcPr>
          <w:p w14:paraId="2F4BDE44" w14:textId="77777777" w:rsidR="00F17E9D" w:rsidRPr="005567B6" w:rsidRDefault="00F17E9D" w:rsidP="00F17E9D">
            <w:pPr>
              <w:jc w:val="right"/>
              <w:rPr>
                <w:color w:val="000000"/>
                <w:sz w:val="20"/>
                <w:szCs w:val="20"/>
              </w:rPr>
            </w:pPr>
            <w:r w:rsidRPr="005567B6">
              <w:rPr>
                <w:color w:val="000000"/>
                <w:sz w:val="20"/>
                <w:szCs w:val="20"/>
              </w:rPr>
              <w:t xml:space="preserve">$207,560.15 </w:t>
            </w:r>
          </w:p>
        </w:tc>
      </w:tr>
      <w:tr w:rsidR="00F17E9D" w:rsidRPr="005567B6" w14:paraId="41154AB9" w14:textId="77777777" w:rsidTr="00B57D98">
        <w:trPr>
          <w:trHeight w:val="306"/>
        </w:trPr>
        <w:tc>
          <w:tcPr>
            <w:tcW w:w="4325" w:type="dxa"/>
            <w:tcBorders>
              <w:top w:val="nil"/>
              <w:left w:val="nil"/>
              <w:bottom w:val="nil"/>
              <w:right w:val="single" w:sz="4" w:space="0" w:color="auto"/>
            </w:tcBorders>
            <w:shd w:val="clear" w:color="000000" w:fill="FFFFFF"/>
            <w:noWrap/>
            <w:vAlign w:val="bottom"/>
            <w:hideMark/>
          </w:tcPr>
          <w:p w14:paraId="22A22222" w14:textId="77777777" w:rsidR="00F17E9D" w:rsidRPr="005567B6" w:rsidRDefault="00F17E9D" w:rsidP="00F17E9D">
            <w:pPr>
              <w:jc w:val="right"/>
              <w:rPr>
                <w:b/>
                <w:bCs/>
                <w:i/>
                <w:iCs/>
                <w:color w:val="000000"/>
                <w:sz w:val="20"/>
                <w:szCs w:val="20"/>
              </w:rPr>
            </w:pPr>
            <w:r w:rsidRPr="005567B6">
              <w:rPr>
                <w:b/>
                <w:bCs/>
                <w:i/>
                <w:iCs/>
                <w:color w:val="000000"/>
                <w:sz w:val="20"/>
                <w:szCs w:val="20"/>
              </w:rPr>
              <w:t>Averted Emergency Room Visits</w:t>
            </w:r>
          </w:p>
        </w:tc>
        <w:tc>
          <w:tcPr>
            <w:tcW w:w="1216" w:type="dxa"/>
            <w:tcBorders>
              <w:top w:val="nil"/>
              <w:left w:val="nil"/>
              <w:bottom w:val="nil"/>
              <w:right w:val="nil"/>
            </w:tcBorders>
            <w:shd w:val="clear" w:color="000000" w:fill="FFFFFF"/>
            <w:noWrap/>
            <w:vAlign w:val="bottom"/>
            <w:hideMark/>
          </w:tcPr>
          <w:p w14:paraId="4104329A" w14:textId="77777777" w:rsidR="00F17E9D" w:rsidRPr="005567B6" w:rsidRDefault="00F17E9D" w:rsidP="00F17E9D">
            <w:pPr>
              <w:jc w:val="right"/>
              <w:rPr>
                <w:color w:val="000000"/>
                <w:sz w:val="20"/>
                <w:szCs w:val="20"/>
              </w:rPr>
            </w:pPr>
            <w:r w:rsidRPr="005567B6">
              <w:rPr>
                <w:color w:val="000000"/>
                <w:sz w:val="20"/>
                <w:szCs w:val="20"/>
              </w:rPr>
              <w:t xml:space="preserve">$860,010.51 </w:t>
            </w:r>
          </w:p>
        </w:tc>
        <w:tc>
          <w:tcPr>
            <w:tcW w:w="1216" w:type="dxa"/>
            <w:tcBorders>
              <w:top w:val="nil"/>
              <w:left w:val="single" w:sz="4" w:space="0" w:color="auto"/>
              <w:bottom w:val="nil"/>
              <w:right w:val="nil"/>
            </w:tcBorders>
            <w:shd w:val="clear" w:color="000000" w:fill="FFFFFF"/>
            <w:noWrap/>
            <w:vAlign w:val="bottom"/>
            <w:hideMark/>
          </w:tcPr>
          <w:p w14:paraId="591621A3" w14:textId="77777777" w:rsidR="00F17E9D" w:rsidRPr="005567B6" w:rsidRDefault="00F17E9D" w:rsidP="00F17E9D">
            <w:pPr>
              <w:jc w:val="right"/>
              <w:rPr>
                <w:color w:val="000000"/>
                <w:sz w:val="20"/>
                <w:szCs w:val="20"/>
              </w:rPr>
            </w:pPr>
            <w:r w:rsidRPr="005567B6">
              <w:rPr>
                <w:color w:val="000000"/>
                <w:sz w:val="20"/>
                <w:szCs w:val="20"/>
              </w:rPr>
              <w:t xml:space="preserve">$286,670.17 </w:t>
            </w:r>
          </w:p>
        </w:tc>
      </w:tr>
      <w:tr w:rsidR="00F17E9D" w:rsidRPr="005567B6" w14:paraId="77BD5FF7" w14:textId="77777777" w:rsidTr="00B57D98">
        <w:trPr>
          <w:trHeight w:val="306"/>
        </w:trPr>
        <w:tc>
          <w:tcPr>
            <w:tcW w:w="4325" w:type="dxa"/>
            <w:tcBorders>
              <w:top w:val="nil"/>
              <w:left w:val="nil"/>
              <w:bottom w:val="single" w:sz="4" w:space="0" w:color="auto"/>
              <w:right w:val="single" w:sz="4" w:space="0" w:color="auto"/>
            </w:tcBorders>
            <w:shd w:val="clear" w:color="000000" w:fill="FFFFFF"/>
            <w:noWrap/>
            <w:vAlign w:val="bottom"/>
            <w:hideMark/>
          </w:tcPr>
          <w:p w14:paraId="68E0733F" w14:textId="77777777" w:rsidR="00F17E9D" w:rsidRPr="005567B6" w:rsidRDefault="00F17E9D" w:rsidP="00F17E9D">
            <w:pPr>
              <w:jc w:val="right"/>
              <w:rPr>
                <w:b/>
                <w:bCs/>
                <w:i/>
                <w:iCs/>
                <w:color w:val="000000"/>
                <w:sz w:val="20"/>
                <w:szCs w:val="20"/>
              </w:rPr>
            </w:pPr>
            <w:r w:rsidRPr="005567B6">
              <w:rPr>
                <w:b/>
                <w:bCs/>
                <w:i/>
                <w:iCs/>
                <w:color w:val="000000"/>
                <w:sz w:val="20"/>
                <w:szCs w:val="20"/>
              </w:rPr>
              <w:t>Averted Inpatient Hospital Stay Days</w:t>
            </w:r>
          </w:p>
        </w:tc>
        <w:tc>
          <w:tcPr>
            <w:tcW w:w="1216" w:type="dxa"/>
            <w:tcBorders>
              <w:top w:val="nil"/>
              <w:left w:val="nil"/>
              <w:bottom w:val="single" w:sz="4" w:space="0" w:color="auto"/>
              <w:right w:val="nil"/>
            </w:tcBorders>
            <w:shd w:val="clear" w:color="000000" w:fill="FFFFFF"/>
            <w:noWrap/>
            <w:vAlign w:val="bottom"/>
            <w:hideMark/>
          </w:tcPr>
          <w:p w14:paraId="05B22224" w14:textId="77777777" w:rsidR="00F17E9D" w:rsidRPr="005567B6" w:rsidRDefault="00F17E9D" w:rsidP="00F17E9D">
            <w:pPr>
              <w:jc w:val="right"/>
              <w:rPr>
                <w:color w:val="000000"/>
                <w:sz w:val="20"/>
                <w:szCs w:val="20"/>
              </w:rPr>
            </w:pPr>
            <w:r w:rsidRPr="005567B6">
              <w:rPr>
                <w:color w:val="000000"/>
                <w:sz w:val="20"/>
                <w:szCs w:val="20"/>
              </w:rPr>
              <w:t xml:space="preserve">$597,290.11 </w:t>
            </w:r>
          </w:p>
        </w:tc>
        <w:tc>
          <w:tcPr>
            <w:tcW w:w="1216" w:type="dxa"/>
            <w:tcBorders>
              <w:top w:val="nil"/>
              <w:left w:val="single" w:sz="4" w:space="0" w:color="auto"/>
              <w:bottom w:val="single" w:sz="4" w:space="0" w:color="auto"/>
              <w:right w:val="nil"/>
            </w:tcBorders>
            <w:shd w:val="clear" w:color="000000" w:fill="FFFFFF"/>
            <w:noWrap/>
            <w:vAlign w:val="bottom"/>
            <w:hideMark/>
          </w:tcPr>
          <w:p w14:paraId="1DD461EC" w14:textId="77777777" w:rsidR="00F17E9D" w:rsidRPr="005567B6" w:rsidRDefault="00F17E9D" w:rsidP="00F17E9D">
            <w:pPr>
              <w:jc w:val="right"/>
              <w:rPr>
                <w:color w:val="000000"/>
                <w:sz w:val="20"/>
                <w:szCs w:val="20"/>
              </w:rPr>
            </w:pPr>
            <w:r w:rsidRPr="005567B6">
              <w:rPr>
                <w:color w:val="000000"/>
                <w:sz w:val="20"/>
                <w:szCs w:val="20"/>
              </w:rPr>
              <w:t xml:space="preserve">$199,096.70 </w:t>
            </w:r>
          </w:p>
        </w:tc>
      </w:tr>
    </w:tbl>
    <w:p w14:paraId="4BBE6E24" w14:textId="77777777" w:rsidR="00F17E9D" w:rsidRPr="00C868F2" w:rsidRDefault="00F17E9D" w:rsidP="00F76E8F">
      <w:pPr>
        <w:pStyle w:val="Heading2"/>
        <w:spacing w:line="480" w:lineRule="auto"/>
        <w:rPr>
          <w:rFonts w:ascii="Times New Roman" w:hAnsi="Times New Roman" w:cs="Times New Roman"/>
          <w:b/>
          <w:bCs/>
          <w:i/>
          <w:iCs/>
          <w:color w:val="000000" w:themeColor="text1"/>
          <w:sz w:val="24"/>
          <w:szCs w:val="24"/>
        </w:rPr>
      </w:pPr>
    </w:p>
    <w:p w14:paraId="124AF2D4" w14:textId="371780A4" w:rsidR="00F17E9D" w:rsidRPr="00C868F2" w:rsidRDefault="00F17E9D" w:rsidP="00F76E8F">
      <w:pPr>
        <w:pStyle w:val="Heading2"/>
        <w:spacing w:line="480" w:lineRule="auto"/>
        <w:rPr>
          <w:rFonts w:ascii="Times New Roman" w:hAnsi="Times New Roman" w:cs="Times New Roman"/>
          <w:b/>
          <w:bCs/>
          <w:i/>
          <w:iCs/>
          <w:color w:val="000000" w:themeColor="text1"/>
          <w:sz w:val="24"/>
          <w:szCs w:val="24"/>
        </w:rPr>
      </w:pPr>
    </w:p>
    <w:p w14:paraId="1BAEDB70" w14:textId="77777777" w:rsidR="00F17E9D" w:rsidRPr="00C868F2" w:rsidRDefault="00F17E9D" w:rsidP="00F17E9D"/>
    <w:p w14:paraId="011CF14D" w14:textId="77777777" w:rsidR="00433AA4" w:rsidRDefault="00433AA4" w:rsidP="00F76E8F">
      <w:pPr>
        <w:pStyle w:val="Heading2"/>
        <w:spacing w:line="480" w:lineRule="auto"/>
        <w:rPr>
          <w:rFonts w:ascii="Times New Roman" w:hAnsi="Times New Roman" w:cs="Times New Roman"/>
          <w:b/>
          <w:bCs/>
          <w:i/>
          <w:iCs/>
          <w:color w:val="000000" w:themeColor="text1"/>
          <w:sz w:val="24"/>
          <w:szCs w:val="24"/>
        </w:rPr>
      </w:pPr>
    </w:p>
    <w:p w14:paraId="73CC631B" w14:textId="37776522" w:rsidR="00CD1DDF" w:rsidRPr="00C868F2" w:rsidRDefault="00CD1DDF" w:rsidP="00F76E8F">
      <w:pPr>
        <w:pStyle w:val="Heading2"/>
        <w:spacing w:line="480" w:lineRule="auto"/>
        <w:rPr>
          <w:rFonts w:ascii="Times New Roman" w:hAnsi="Times New Roman" w:cs="Times New Roman"/>
          <w:b/>
          <w:bCs/>
          <w:i/>
          <w:iCs/>
          <w:color w:val="000000" w:themeColor="text1"/>
          <w:sz w:val="24"/>
          <w:szCs w:val="24"/>
        </w:rPr>
      </w:pPr>
      <w:bookmarkStart w:id="26" w:name="_Toc103539046"/>
      <w:r w:rsidRPr="00C868F2">
        <w:rPr>
          <w:rFonts w:ascii="Times New Roman" w:hAnsi="Times New Roman" w:cs="Times New Roman"/>
          <w:b/>
          <w:bCs/>
          <w:i/>
          <w:iCs/>
          <w:color w:val="000000" w:themeColor="text1"/>
          <w:sz w:val="24"/>
          <w:szCs w:val="24"/>
        </w:rPr>
        <w:t>Medication-Assisted Treatment</w:t>
      </w:r>
      <w:bookmarkEnd w:id="26"/>
      <w:r w:rsidRPr="00C868F2">
        <w:rPr>
          <w:rFonts w:ascii="Times New Roman" w:hAnsi="Times New Roman" w:cs="Times New Roman"/>
          <w:b/>
          <w:bCs/>
          <w:i/>
          <w:iCs/>
          <w:color w:val="000000" w:themeColor="text1"/>
          <w:sz w:val="24"/>
          <w:szCs w:val="24"/>
        </w:rPr>
        <w:t xml:space="preserve"> </w:t>
      </w:r>
    </w:p>
    <w:p w14:paraId="0302F707" w14:textId="3008789F" w:rsidR="00FD69C3" w:rsidRPr="00C868F2" w:rsidRDefault="00CD1DDF" w:rsidP="00F76E8F">
      <w:pPr>
        <w:spacing w:line="480" w:lineRule="auto"/>
        <w:rPr>
          <w:color w:val="000000" w:themeColor="text1"/>
        </w:rPr>
      </w:pPr>
      <w:r w:rsidRPr="00C868F2">
        <w:rPr>
          <w:b/>
          <w:bCs/>
          <w:color w:val="000000" w:themeColor="text1"/>
        </w:rPr>
        <w:tab/>
      </w:r>
      <w:r w:rsidRPr="00C868F2">
        <w:rPr>
          <w:color w:val="000000" w:themeColor="text1"/>
        </w:rPr>
        <w:t xml:space="preserve">The </w:t>
      </w:r>
      <w:r w:rsidR="00FA109A" w:rsidRPr="00C868F2">
        <w:rPr>
          <w:color w:val="000000" w:themeColor="text1"/>
        </w:rPr>
        <w:t>baseline</w:t>
      </w:r>
      <w:r w:rsidRPr="00C868F2">
        <w:rPr>
          <w:color w:val="000000" w:themeColor="text1"/>
        </w:rPr>
        <w:t xml:space="preserve"> calculation for </w:t>
      </w:r>
      <w:r w:rsidR="004F52C8" w:rsidRPr="00C868F2">
        <w:rPr>
          <w:color w:val="000000" w:themeColor="text1"/>
        </w:rPr>
        <w:t>medication-assisted treatment</w:t>
      </w:r>
      <w:r w:rsidRPr="00C868F2">
        <w:rPr>
          <w:color w:val="000000" w:themeColor="text1"/>
        </w:rPr>
        <w:t xml:space="preserve"> benefits yielded an annual savings of $943,12</w:t>
      </w:r>
      <w:r w:rsidR="00795ED5">
        <w:rPr>
          <w:color w:val="000000" w:themeColor="text1"/>
        </w:rPr>
        <w:t>3</w:t>
      </w:r>
      <w:r w:rsidRPr="00C868F2">
        <w:rPr>
          <w:color w:val="000000" w:themeColor="text1"/>
        </w:rPr>
        <w:t xml:space="preserve"> estimating that 44.9 individuals would enroll and stay in </w:t>
      </w:r>
      <w:r w:rsidR="006B2035" w:rsidRPr="00C868F2">
        <w:rPr>
          <w:color w:val="000000" w:themeColor="text1"/>
        </w:rPr>
        <w:t>medication-assisted treatment</w:t>
      </w:r>
      <w:r w:rsidRPr="00C868F2">
        <w:rPr>
          <w:color w:val="000000" w:themeColor="text1"/>
        </w:rPr>
        <w:t xml:space="preserve">. The sensitivity analysis for </w:t>
      </w:r>
      <w:r w:rsidR="004F52C8" w:rsidRPr="00C868F2">
        <w:rPr>
          <w:color w:val="000000" w:themeColor="text1"/>
        </w:rPr>
        <w:t>medication-assisted treatment</w:t>
      </w:r>
      <w:r w:rsidRPr="00C868F2">
        <w:rPr>
          <w:color w:val="000000" w:themeColor="text1"/>
        </w:rPr>
        <w:t xml:space="preserve"> enrollment gave an upper </w:t>
      </w:r>
      <w:r w:rsidRPr="00C868F2">
        <w:rPr>
          <w:color w:val="000000" w:themeColor="text1"/>
        </w:rPr>
        <w:lastRenderedPageBreak/>
        <w:t>bound of 67.4 PW</w:t>
      </w:r>
      <w:r w:rsidR="00A377C6" w:rsidRPr="00C868F2">
        <w:rPr>
          <w:color w:val="000000" w:themeColor="text1"/>
        </w:rPr>
        <w:t>U</w:t>
      </w:r>
      <w:r w:rsidRPr="00C868F2">
        <w:rPr>
          <w:color w:val="000000" w:themeColor="text1"/>
        </w:rPr>
        <w:t xml:space="preserve">D enrolling into </w:t>
      </w:r>
      <w:r w:rsidR="004F52C8" w:rsidRPr="00C868F2">
        <w:rPr>
          <w:color w:val="000000" w:themeColor="text1"/>
        </w:rPr>
        <w:t>medication-assisted treatment</w:t>
      </w:r>
      <w:r w:rsidRPr="00C868F2">
        <w:rPr>
          <w:color w:val="000000" w:themeColor="text1"/>
        </w:rPr>
        <w:t xml:space="preserve"> and a lower bound of 22.5 PW</w:t>
      </w:r>
      <w:r w:rsidR="00A377C6" w:rsidRPr="00C868F2">
        <w:rPr>
          <w:color w:val="000000" w:themeColor="text1"/>
        </w:rPr>
        <w:t>U</w:t>
      </w:r>
      <w:r w:rsidRPr="00C868F2">
        <w:rPr>
          <w:color w:val="000000" w:themeColor="text1"/>
        </w:rPr>
        <w:t xml:space="preserve">D enrolling in </w:t>
      </w:r>
      <w:r w:rsidR="004F52C8" w:rsidRPr="00C868F2">
        <w:rPr>
          <w:color w:val="000000" w:themeColor="text1"/>
        </w:rPr>
        <w:t>medication-assisted treatment</w:t>
      </w:r>
      <w:r w:rsidRPr="00C868F2">
        <w:rPr>
          <w:color w:val="000000" w:themeColor="text1"/>
        </w:rPr>
        <w:t xml:space="preserve"> with an estimated savings of $1,414,68</w:t>
      </w:r>
      <w:r w:rsidR="00795ED5">
        <w:rPr>
          <w:color w:val="000000" w:themeColor="text1"/>
        </w:rPr>
        <w:t>4</w:t>
      </w:r>
      <w:r w:rsidRPr="00C868F2">
        <w:rPr>
          <w:color w:val="000000" w:themeColor="text1"/>
        </w:rPr>
        <w:t xml:space="preserve"> and $471,561, respectively. </w:t>
      </w:r>
      <w:r w:rsidR="00815C40" w:rsidRPr="00C868F2">
        <w:rPr>
          <w:rFonts w:eastAsiaTheme="minorEastAsia"/>
          <w:bCs/>
          <w:color w:val="000000" w:themeColor="text1"/>
        </w:rPr>
        <w:t xml:space="preserve">For variables and sources see appendix </w:t>
      </w:r>
      <w:r w:rsidR="00433AA4">
        <w:rPr>
          <w:rFonts w:eastAsiaTheme="minorEastAsia"/>
          <w:bCs/>
          <w:color w:val="000000" w:themeColor="text1"/>
        </w:rPr>
        <w:t>J</w:t>
      </w:r>
      <w:r w:rsidR="00815C40" w:rsidRPr="00C868F2">
        <w:rPr>
          <w:rFonts w:eastAsiaTheme="minorEastAsia"/>
          <w:bCs/>
          <w:color w:val="000000" w:themeColor="text1"/>
        </w:rPr>
        <w:t>.</w:t>
      </w:r>
    </w:p>
    <w:p w14:paraId="12A550D0" w14:textId="665E569D" w:rsidR="00854145" w:rsidRPr="00C868F2" w:rsidRDefault="00854145" w:rsidP="00854145">
      <w:pPr>
        <w:pStyle w:val="Heading2"/>
        <w:spacing w:line="480" w:lineRule="auto"/>
        <w:rPr>
          <w:rFonts w:ascii="Times New Roman" w:hAnsi="Times New Roman" w:cs="Times New Roman"/>
          <w:b/>
          <w:bCs/>
          <w:color w:val="000000" w:themeColor="text1"/>
          <w:sz w:val="24"/>
          <w:szCs w:val="24"/>
        </w:rPr>
      </w:pPr>
      <w:bookmarkStart w:id="27" w:name="_Toc103539047"/>
      <w:r w:rsidRPr="00C868F2">
        <w:rPr>
          <w:rFonts w:ascii="Times New Roman" w:hAnsi="Times New Roman" w:cs="Times New Roman"/>
          <w:b/>
          <w:bCs/>
          <w:color w:val="000000" w:themeColor="text1"/>
          <w:sz w:val="24"/>
          <w:szCs w:val="24"/>
        </w:rPr>
        <w:t>Overall Results</w:t>
      </w:r>
      <w:r w:rsidR="00931046" w:rsidRPr="00C868F2">
        <w:rPr>
          <w:rFonts w:ascii="Times New Roman" w:hAnsi="Times New Roman" w:cs="Times New Roman"/>
          <w:b/>
          <w:bCs/>
          <w:color w:val="000000" w:themeColor="text1"/>
          <w:sz w:val="24"/>
          <w:szCs w:val="24"/>
        </w:rPr>
        <w:t xml:space="preserve"> using the</w:t>
      </w:r>
      <w:r w:rsidR="000D3CD6" w:rsidRPr="00C868F2">
        <w:rPr>
          <w:rFonts w:ascii="Times New Roman" w:hAnsi="Times New Roman" w:cs="Times New Roman"/>
          <w:b/>
          <w:bCs/>
          <w:color w:val="000000" w:themeColor="text1"/>
          <w:sz w:val="24"/>
          <w:szCs w:val="24"/>
        </w:rPr>
        <w:t xml:space="preserve"> Present Value of a Life</w:t>
      </w:r>
      <w:bookmarkEnd w:id="27"/>
    </w:p>
    <w:p w14:paraId="1729AC69" w14:textId="45D2AA53" w:rsidR="00DB6523" w:rsidRPr="00C868F2" w:rsidRDefault="00DB6523" w:rsidP="00DB6523">
      <w:pPr>
        <w:pStyle w:val="Heading3"/>
        <w:spacing w:line="480" w:lineRule="auto"/>
        <w:rPr>
          <w:rFonts w:ascii="Times New Roman" w:hAnsi="Times New Roman" w:cs="Times New Roman"/>
          <w:b/>
          <w:bCs/>
          <w:i/>
          <w:iCs/>
          <w:color w:val="auto"/>
        </w:rPr>
      </w:pPr>
      <w:bookmarkStart w:id="28" w:name="_Toc103539048"/>
      <w:r w:rsidRPr="00C868F2">
        <w:rPr>
          <w:rFonts w:ascii="Times New Roman" w:hAnsi="Times New Roman" w:cs="Times New Roman"/>
          <w:b/>
          <w:bCs/>
          <w:i/>
          <w:iCs/>
          <w:color w:val="auto"/>
        </w:rPr>
        <w:t>Median Per Capita Income</w:t>
      </w:r>
      <w:bookmarkEnd w:id="28"/>
    </w:p>
    <w:p w14:paraId="284EC9D0" w14:textId="6F1E14D5" w:rsidR="008D0FF9" w:rsidRPr="00C868F2" w:rsidRDefault="00CD1DDF" w:rsidP="00022753">
      <w:pPr>
        <w:spacing w:line="480" w:lineRule="auto"/>
        <w:rPr>
          <w:color w:val="000000" w:themeColor="text1"/>
        </w:rPr>
      </w:pPr>
      <w:r w:rsidRPr="00C868F2">
        <w:rPr>
          <w:b/>
          <w:bCs/>
          <w:color w:val="000000" w:themeColor="text1"/>
        </w:rPr>
        <w:tab/>
      </w:r>
      <w:r w:rsidRPr="00C868F2">
        <w:rPr>
          <w:color w:val="000000" w:themeColor="text1"/>
        </w:rPr>
        <w:t>With the yearly cost of the facility totaling up to $1,8</w:t>
      </w:r>
      <w:r w:rsidR="0005096C" w:rsidRPr="00C868F2">
        <w:rPr>
          <w:color w:val="000000" w:themeColor="text1"/>
        </w:rPr>
        <w:t>22</w:t>
      </w:r>
      <w:r w:rsidRPr="00C868F2">
        <w:rPr>
          <w:color w:val="000000" w:themeColor="text1"/>
        </w:rPr>
        <w:t>,28</w:t>
      </w:r>
      <w:r w:rsidR="003847CB" w:rsidRPr="00C868F2">
        <w:rPr>
          <w:color w:val="000000" w:themeColor="text1"/>
        </w:rPr>
        <w:t>6</w:t>
      </w:r>
      <w:r w:rsidRPr="00C868F2">
        <w:rPr>
          <w:color w:val="000000" w:themeColor="text1"/>
        </w:rPr>
        <w:t xml:space="preserve"> (including the annual levelized payment as well as the operating costs), the </w:t>
      </w:r>
      <w:r w:rsidR="008938A8" w:rsidRPr="00C868F2">
        <w:rPr>
          <w:color w:val="000000" w:themeColor="text1"/>
        </w:rPr>
        <w:t>annual</w:t>
      </w:r>
      <w:r w:rsidRPr="00C868F2">
        <w:rPr>
          <w:color w:val="000000" w:themeColor="text1"/>
        </w:rPr>
        <w:t xml:space="preserve"> savings for the </w:t>
      </w:r>
      <w:r w:rsidR="00BB565D" w:rsidRPr="00C868F2">
        <w:rPr>
          <w:color w:val="000000" w:themeColor="text1"/>
        </w:rPr>
        <w:t>baseline</w:t>
      </w:r>
      <w:r w:rsidRPr="00C868F2">
        <w:rPr>
          <w:color w:val="000000" w:themeColor="text1"/>
        </w:rPr>
        <w:t xml:space="preserve"> calculation estimates</w:t>
      </w:r>
      <w:r w:rsidR="002B0176" w:rsidRPr="00C868F2">
        <w:rPr>
          <w:color w:val="000000" w:themeColor="text1"/>
        </w:rPr>
        <w:t xml:space="preserve"> using the present value of a life</w:t>
      </w:r>
      <w:r w:rsidRPr="00C868F2">
        <w:rPr>
          <w:color w:val="000000" w:themeColor="text1"/>
        </w:rPr>
        <w:t xml:space="preserve"> add up to $</w:t>
      </w:r>
      <w:r w:rsidR="003847CB" w:rsidRPr="00C868F2">
        <w:rPr>
          <w:color w:val="000000" w:themeColor="text1"/>
        </w:rPr>
        <w:t>10</w:t>
      </w:r>
      <w:r w:rsidRPr="00C868F2">
        <w:rPr>
          <w:color w:val="000000" w:themeColor="text1"/>
        </w:rPr>
        <w:t>,</w:t>
      </w:r>
      <w:r w:rsidR="003847CB" w:rsidRPr="00C868F2">
        <w:rPr>
          <w:color w:val="000000" w:themeColor="text1"/>
        </w:rPr>
        <w:t>7</w:t>
      </w:r>
      <w:r w:rsidR="00810961" w:rsidRPr="00C868F2">
        <w:rPr>
          <w:color w:val="000000" w:themeColor="text1"/>
        </w:rPr>
        <w:t>61</w:t>
      </w:r>
      <w:r w:rsidRPr="00C868F2">
        <w:rPr>
          <w:color w:val="000000" w:themeColor="text1"/>
        </w:rPr>
        <w:t>,</w:t>
      </w:r>
      <w:r w:rsidR="00810961" w:rsidRPr="00C868F2">
        <w:rPr>
          <w:color w:val="000000" w:themeColor="text1"/>
        </w:rPr>
        <w:t>280</w:t>
      </w:r>
      <w:r w:rsidRPr="00C868F2">
        <w:rPr>
          <w:color w:val="000000" w:themeColor="text1"/>
        </w:rPr>
        <w:t>. According to this estimate, for every $1 spent, the SCS yields $</w:t>
      </w:r>
      <w:r w:rsidR="008D0FF9" w:rsidRPr="00C868F2">
        <w:rPr>
          <w:color w:val="000000" w:themeColor="text1"/>
        </w:rPr>
        <w:t>5.91</w:t>
      </w:r>
      <w:r w:rsidRPr="00C868F2">
        <w:rPr>
          <w:color w:val="000000" w:themeColor="text1"/>
        </w:rPr>
        <w:t xml:space="preserve"> in savings</w:t>
      </w:r>
      <w:r w:rsidR="00A347FE" w:rsidRPr="00C868F2">
        <w:rPr>
          <w:color w:val="000000" w:themeColor="text1"/>
        </w:rPr>
        <w:t xml:space="preserve"> for a total of </w:t>
      </w:r>
      <w:r w:rsidR="003847CB" w:rsidRPr="00C868F2">
        <w:rPr>
          <w:color w:val="000000" w:themeColor="text1"/>
        </w:rPr>
        <w:t>$8,9</w:t>
      </w:r>
      <w:r w:rsidR="00810961" w:rsidRPr="00C868F2">
        <w:rPr>
          <w:color w:val="000000" w:themeColor="text1"/>
        </w:rPr>
        <w:t>38</w:t>
      </w:r>
      <w:r w:rsidR="003847CB" w:rsidRPr="00C868F2">
        <w:rPr>
          <w:color w:val="000000" w:themeColor="text1"/>
        </w:rPr>
        <w:t>,</w:t>
      </w:r>
      <w:r w:rsidR="00810961" w:rsidRPr="00C868F2">
        <w:rPr>
          <w:color w:val="000000" w:themeColor="text1"/>
        </w:rPr>
        <w:t>994</w:t>
      </w:r>
      <w:r w:rsidR="00A347FE" w:rsidRPr="00C868F2">
        <w:rPr>
          <w:color w:val="000000" w:themeColor="text1"/>
        </w:rPr>
        <w:t xml:space="preserve"> in annual net benefits</w:t>
      </w:r>
      <w:r w:rsidR="00D46CD9">
        <w:rPr>
          <w:color w:val="000000" w:themeColor="text1"/>
        </w:rPr>
        <w:t xml:space="preserve"> (see table 3)</w:t>
      </w:r>
      <w:r w:rsidRPr="00C868F2">
        <w:rPr>
          <w:color w:val="000000" w:themeColor="text1"/>
        </w:rPr>
        <w:t>. Using a 3</w:t>
      </w:r>
      <w:r w:rsidR="00944B71" w:rsidRPr="00C868F2">
        <w:rPr>
          <w:color w:val="000000" w:themeColor="text1"/>
        </w:rPr>
        <w:t>%</w:t>
      </w:r>
      <w:r w:rsidR="00CA7BC5" w:rsidRPr="00C868F2">
        <w:rPr>
          <w:color w:val="000000" w:themeColor="text1"/>
        </w:rPr>
        <w:t xml:space="preserve"> </w:t>
      </w:r>
      <w:r w:rsidRPr="00C868F2">
        <w:rPr>
          <w:color w:val="000000" w:themeColor="text1"/>
        </w:rPr>
        <w:t>discount rate over the span of 25 years yields a net present value of $</w:t>
      </w:r>
      <w:r w:rsidR="003847CB" w:rsidRPr="00C868F2">
        <w:rPr>
          <w:color w:val="000000" w:themeColor="text1"/>
        </w:rPr>
        <w:t>124,440,617</w:t>
      </w:r>
      <w:r w:rsidR="00BB565D" w:rsidRPr="00C868F2">
        <w:rPr>
          <w:color w:val="000000" w:themeColor="text1"/>
        </w:rPr>
        <w:t xml:space="preserve"> </w:t>
      </w:r>
      <w:r w:rsidRPr="00C868F2">
        <w:rPr>
          <w:color w:val="000000" w:themeColor="text1"/>
        </w:rPr>
        <w:t xml:space="preserve">in benefits. </w:t>
      </w:r>
      <w:r w:rsidR="00205A40" w:rsidRPr="00C868F2">
        <w:rPr>
          <w:color w:val="000000" w:themeColor="text1"/>
        </w:rPr>
        <w:t>This calculation estimates that an SCS would prevent 13.2 fata</w:t>
      </w:r>
      <w:r w:rsidR="000C64A5" w:rsidRPr="00C868F2">
        <w:rPr>
          <w:color w:val="000000" w:themeColor="text1"/>
        </w:rPr>
        <w:t>l</w:t>
      </w:r>
      <w:r w:rsidR="00205A40" w:rsidRPr="00C868F2">
        <w:rPr>
          <w:color w:val="000000" w:themeColor="text1"/>
        </w:rPr>
        <w:t xml:space="preserve"> overdoses, </w:t>
      </w:r>
      <w:r w:rsidR="009C329E" w:rsidRPr="00C868F2">
        <w:rPr>
          <w:color w:val="000000" w:themeColor="text1"/>
        </w:rPr>
        <w:t xml:space="preserve">593 ambulance deployments, 423.4 emergency room visits, and 147.37 inpatient hospital days annually. </w:t>
      </w:r>
      <w:r w:rsidR="00CA7BC5" w:rsidRPr="00C868F2">
        <w:rPr>
          <w:color w:val="000000" w:themeColor="text1"/>
        </w:rPr>
        <w:t>A</w:t>
      </w:r>
      <w:r w:rsidR="009C329E" w:rsidRPr="00C868F2">
        <w:rPr>
          <w:color w:val="000000" w:themeColor="text1"/>
        </w:rPr>
        <w:t xml:space="preserve">dditionally, 44.9 PWUD would enroll and complete </w:t>
      </w:r>
      <w:r w:rsidR="003847CB" w:rsidRPr="00C868F2">
        <w:rPr>
          <w:color w:val="000000" w:themeColor="text1"/>
        </w:rPr>
        <w:t>medication-assisted treatment</w:t>
      </w:r>
      <w:r w:rsidR="009C329E" w:rsidRPr="00C868F2">
        <w:rPr>
          <w:color w:val="000000" w:themeColor="text1"/>
        </w:rPr>
        <w:t xml:space="preserve">. </w:t>
      </w:r>
    </w:p>
    <w:tbl>
      <w:tblPr>
        <w:tblW w:w="9338" w:type="dxa"/>
        <w:tblLook w:val="04A0" w:firstRow="1" w:lastRow="0" w:firstColumn="1" w:lastColumn="0" w:noHBand="0" w:noVBand="1"/>
      </w:tblPr>
      <w:tblGrid>
        <w:gridCol w:w="1831"/>
        <w:gridCol w:w="1620"/>
        <w:gridCol w:w="2092"/>
        <w:gridCol w:w="307"/>
        <w:gridCol w:w="1725"/>
        <w:gridCol w:w="1763"/>
      </w:tblGrid>
      <w:tr w:rsidR="00F9455B" w:rsidRPr="00534B14" w14:paraId="372CBDB4" w14:textId="77777777" w:rsidTr="00F9455B">
        <w:trPr>
          <w:trHeight w:val="336"/>
        </w:trPr>
        <w:tc>
          <w:tcPr>
            <w:tcW w:w="5850" w:type="dxa"/>
            <w:gridSpan w:val="4"/>
            <w:tcBorders>
              <w:top w:val="nil"/>
              <w:left w:val="nil"/>
              <w:bottom w:val="nil"/>
              <w:right w:val="nil"/>
            </w:tcBorders>
            <w:shd w:val="clear" w:color="auto" w:fill="auto"/>
            <w:noWrap/>
            <w:vAlign w:val="bottom"/>
            <w:hideMark/>
          </w:tcPr>
          <w:p w14:paraId="2E8EECC5" w14:textId="77777777" w:rsidR="00F9455B" w:rsidRPr="00534B14" w:rsidRDefault="00F9455B" w:rsidP="00F9455B">
            <w:pPr>
              <w:rPr>
                <w:b/>
                <w:bCs/>
                <w:i/>
                <w:iCs/>
                <w:color w:val="000000"/>
                <w:sz w:val="20"/>
                <w:szCs w:val="20"/>
              </w:rPr>
            </w:pPr>
            <w:r w:rsidRPr="00534B14">
              <w:rPr>
                <w:b/>
                <w:bCs/>
                <w:i/>
                <w:iCs/>
                <w:color w:val="000000"/>
                <w:sz w:val="20"/>
                <w:szCs w:val="20"/>
              </w:rPr>
              <w:t>Table 3. Estimated Baseline Results using the Present Value of a Life</w:t>
            </w:r>
          </w:p>
        </w:tc>
        <w:tc>
          <w:tcPr>
            <w:tcW w:w="1725" w:type="dxa"/>
            <w:tcBorders>
              <w:top w:val="nil"/>
              <w:left w:val="nil"/>
              <w:bottom w:val="nil"/>
              <w:right w:val="nil"/>
            </w:tcBorders>
            <w:shd w:val="clear" w:color="auto" w:fill="auto"/>
            <w:noWrap/>
            <w:vAlign w:val="bottom"/>
            <w:hideMark/>
          </w:tcPr>
          <w:p w14:paraId="3C1DFD23" w14:textId="77777777" w:rsidR="00F9455B" w:rsidRPr="00534B14" w:rsidRDefault="00F9455B" w:rsidP="00F9455B">
            <w:pPr>
              <w:rPr>
                <w:b/>
                <w:bCs/>
                <w:i/>
                <w:iCs/>
                <w:color w:val="000000"/>
                <w:sz w:val="20"/>
                <w:szCs w:val="20"/>
              </w:rPr>
            </w:pPr>
          </w:p>
        </w:tc>
        <w:tc>
          <w:tcPr>
            <w:tcW w:w="1763" w:type="dxa"/>
            <w:tcBorders>
              <w:top w:val="nil"/>
              <w:left w:val="nil"/>
              <w:bottom w:val="nil"/>
              <w:right w:val="nil"/>
            </w:tcBorders>
            <w:shd w:val="clear" w:color="auto" w:fill="auto"/>
            <w:noWrap/>
            <w:vAlign w:val="bottom"/>
            <w:hideMark/>
          </w:tcPr>
          <w:p w14:paraId="6584EAB3" w14:textId="77777777" w:rsidR="00F9455B" w:rsidRPr="00534B14" w:rsidRDefault="00F9455B" w:rsidP="00F9455B">
            <w:pPr>
              <w:rPr>
                <w:sz w:val="20"/>
                <w:szCs w:val="20"/>
              </w:rPr>
            </w:pPr>
          </w:p>
        </w:tc>
      </w:tr>
      <w:tr w:rsidR="00F9455B" w:rsidRPr="00534B14" w14:paraId="50A71A82" w14:textId="77777777" w:rsidTr="00F9455B">
        <w:trPr>
          <w:trHeight w:val="336"/>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672B7" w14:textId="77777777" w:rsidR="00F9455B" w:rsidRPr="00534B14" w:rsidRDefault="00F9455B" w:rsidP="00F9455B">
            <w:pPr>
              <w:jc w:val="center"/>
              <w:rPr>
                <w:b/>
                <w:bCs/>
                <w:color w:val="000000"/>
                <w:sz w:val="20"/>
                <w:szCs w:val="20"/>
              </w:rPr>
            </w:pPr>
            <w:r w:rsidRPr="00534B14">
              <w:rPr>
                <w:b/>
                <w:bCs/>
                <w:color w:val="000000"/>
                <w:sz w:val="20"/>
                <w:szCs w:val="20"/>
              </w:rPr>
              <w:t>Estimated Savings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BA588" w14:textId="77777777" w:rsidR="00F9455B" w:rsidRPr="00534B14" w:rsidRDefault="00F9455B" w:rsidP="00F9455B">
            <w:pPr>
              <w:jc w:val="center"/>
              <w:rPr>
                <w:b/>
                <w:bCs/>
                <w:color w:val="000000"/>
                <w:sz w:val="20"/>
                <w:szCs w:val="20"/>
              </w:rPr>
            </w:pPr>
            <w:r w:rsidRPr="00534B14">
              <w:rPr>
                <w:b/>
                <w:bCs/>
                <w:color w:val="000000"/>
                <w:sz w:val="20"/>
                <w:szCs w:val="20"/>
              </w:rPr>
              <w:t xml:space="preserve">Estimated Costs </w:t>
            </w:r>
          </w:p>
        </w:tc>
        <w:tc>
          <w:tcPr>
            <w:tcW w:w="2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1E15" w14:textId="77777777" w:rsidR="00F9455B" w:rsidRPr="00534B14" w:rsidRDefault="00F9455B" w:rsidP="00F9455B">
            <w:pPr>
              <w:jc w:val="center"/>
              <w:rPr>
                <w:b/>
                <w:bCs/>
                <w:color w:val="000000"/>
                <w:sz w:val="20"/>
                <w:szCs w:val="20"/>
              </w:rPr>
            </w:pPr>
            <w:r w:rsidRPr="00534B14">
              <w:rPr>
                <w:b/>
                <w:bCs/>
                <w:color w:val="000000"/>
                <w:sz w:val="20"/>
                <w:szCs w:val="20"/>
              </w:rPr>
              <w:t>Benefit to Cost Ratio</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0F700" w14:textId="77777777" w:rsidR="00F9455B" w:rsidRPr="00534B14" w:rsidRDefault="00F9455B" w:rsidP="00F9455B">
            <w:pPr>
              <w:jc w:val="center"/>
              <w:rPr>
                <w:b/>
                <w:bCs/>
                <w:color w:val="000000"/>
                <w:sz w:val="20"/>
                <w:szCs w:val="20"/>
              </w:rPr>
            </w:pPr>
            <w:r w:rsidRPr="00534B14">
              <w:rPr>
                <w:b/>
                <w:bCs/>
                <w:color w:val="000000"/>
                <w:sz w:val="20"/>
                <w:szCs w:val="20"/>
              </w:rPr>
              <w:t>Net Benefits - Annually</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0A000" w14:textId="77777777" w:rsidR="00F9455B" w:rsidRPr="00534B14" w:rsidRDefault="00F9455B" w:rsidP="00F9455B">
            <w:pPr>
              <w:jc w:val="center"/>
              <w:rPr>
                <w:b/>
                <w:bCs/>
                <w:color w:val="000000"/>
                <w:sz w:val="20"/>
                <w:szCs w:val="20"/>
              </w:rPr>
            </w:pPr>
            <w:r w:rsidRPr="00534B14">
              <w:rPr>
                <w:b/>
                <w:bCs/>
                <w:color w:val="000000"/>
                <w:sz w:val="20"/>
                <w:szCs w:val="20"/>
              </w:rPr>
              <w:t>Net Benefits - Total</w:t>
            </w:r>
          </w:p>
        </w:tc>
      </w:tr>
      <w:tr w:rsidR="00DA3762" w:rsidRPr="00534B14" w14:paraId="3F90A47E" w14:textId="77777777" w:rsidTr="00F9455B">
        <w:trPr>
          <w:trHeight w:val="336"/>
        </w:trPr>
        <w:tc>
          <w:tcPr>
            <w:tcW w:w="183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B0C678" w14:textId="77777777" w:rsidR="00F9455B" w:rsidRPr="00534B14" w:rsidRDefault="00F9455B" w:rsidP="00F9455B">
            <w:pPr>
              <w:jc w:val="center"/>
              <w:rPr>
                <w:color w:val="000000"/>
                <w:sz w:val="20"/>
                <w:szCs w:val="20"/>
              </w:rPr>
            </w:pPr>
            <w:r w:rsidRPr="00534B14">
              <w:rPr>
                <w:color w:val="000000"/>
                <w:sz w:val="20"/>
                <w:szCs w:val="20"/>
              </w:rPr>
              <w:t xml:space="preserve">$10,761,279.68 </w:t>
            </w:r>
          </w:p>
        </w:tc>
        <w:tc>
          <w:tcPr>
            <w:tcW w:w="162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BAA9E2" w14:textId="77777777" w:rsidR="00F9455B" w:rsidRPr="00534B14" w:rsidRDefault="00F9455B" w:rsidP="00F9455B">
            <w:pPr>
              <w:jc w:val="center"/>
              <w:rPr>
                <w:color w:val="000000"/>
                <w:sz w:val="20"/>
                <w:szCs w:val="20"/>
              </w:rPr>
            </w:pPr>
            <w:r w:rsidRPr="00534B14">
              <w:rPr>
                <w:color w:val="000000"/>
                <w:sz w:val="20"/>
                <w:szCs w:val="20"/>
              </w:rPr>
              <w:t xml:space="preserve">$1,822,285.72 </w:t>
            </w:r>
          </w:p>
        </w:tc>
        <w:tc>
          <w:tcPr>
            <w:tcW w:w="209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141718" w14:textId="77777777" w:rsidR="00F9455B" w:rsidRPr="00534B14" w:rsidRDefault="00F9455B" w:rsidP="00F9455B">
            <w:pPr>
              <w:jc w:val="center"/>
              <w:rPr>
                <w:i/>
                <w:iCs/>
                <w:color w:val="000000"/>
                <w:sz w:val="20"/>
                <w:szCs w:val="20"/>
              </w:rPr>
            </w:pPr>
            <w:r w:rsidRPr="00534B14">
              <w:rPr>
                <w:i/>
                <w:iCs/>
                <w:color w:val="000000"/>
                <w:sz w:val="20"/>
                <w:szCs w:val="20"/>
              </w:rPr>
              <w:t>$5.91</w:t>
            </w:r>
          </w:p>
        </w:tc>
        <w:tc>
          <w:tcPr>
            <w:tcW w:w="2032" w:type="dxa"/>
            <w:gridSpan w:val="2"/>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C6E54F" w14:textId="77777777" w:rsidR="00F9455B" w:rsidRPr="00534B14" w:rsidRDefault="00F9455B" w:rsidP="00F9455B">
            <w:pPr>
              <w:jc w:val="center"/>
              <w:rPr>
                <w:b/>
                <w:bCs/>
                <w:color w:val="000000"/>
                <w:sz w:val="20"/>
                <w:szCs w:val="20"/>
              </w:rPr>
            </w:pPr>
            <w:r w:rsidRPr="00534B14">
              <w:rPr>
                <w:b/>
                <w:bCs/>
                <w:color w:val="000000"/>
                <w:sz w:val="20"/>
                <w:szCs w:val="20"/>
              </w:rPr>
              <w:t xml:space="preserve">$8,938,993.95 </w:t>
            </w:r>
          </w:p>
        </w:tc>
        <w:tc>
          <w:tcPr>
            <w:tcW w:w="176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57EF9F" w14:textId="77777777" w:rsidR="00F9455B" w:rsidRPr="00534B14" w:rsidRDefault="00F9455B" w:rsidP="00F9455B">
            <w:pPr>
              <w:jc w:val="center"/>
              <w:rPr>
                <w:b/>
                <w:bCs/>
                <w:color w:val="000000"/>
                <w:sz w:val="20"/>
                <w:szCs w:val="20"/>
              </w:rPr>
            </w:pPr>
            <w:r w:rsidRPr="00534B14">
              <w:rPr>
                <w:b/>
                <w:bCs/>
                <w:color w:val="000000"/>
                <w:sz w:val="20"/>
                <w:szCs w:val="20"/>
              </w:rPr>
              <w:t>$235,555,816.11</w:t>
            </w:r>
          </w:p>
        </w:tc>
      </w:tr>
    </w:tbl>
    <w:p w14:paraId="623C9839" w14:textId="77777777" w:rsidR="00F9455B" w:rsidRPr="00C868F2" w:rsidRDefault="00F9455B" w:rsidP="00022753">
      <w:pPr>
        <w:spacing w:line="480" w:lineRule="auto"/>
        <w:rPr>
          <w:color w:val="000000" w:themeColor="text1"/>
        </w:rPr>
      </w:pPr>
    </w:p>
    <w:p w14:paraId="3DA4031C" w14:textId="7FC9EA3D" w:rsidR="008938A8" w:rsidRPr="00C868F2" w:rsidRDefault="00CD1DDF" w:rsidP="008938A8">
      <w:pPr>
        <w:spacing w:line="480" w:lineRule="auto"/>
        <w:ind w:firstLine="720"/>
        <w:rPr>
          <w:color w:val="000000" w:themeColor="text1"/>
        </w:rPr>
      </w:pPr>
      <w:r w:rsidRPr="00C868F2">
        <w:rPr>
          <w:color w:val="000000" w:themeColor="text1"/>
        </w:rPr>
        <w:t>For the upper bound cost and benefit estimates</w:t>
      </w:r>
      <w:r w:rsidR="000D3CD6" w:rsidRPr="00C868F2">
        <w:rPr>
          <w:color w:val="000000" w:themeColor="text1"/>
        </w:rPr>
        <w:t xml:space="preserve"> using the present value of a life</w:t>
      </w:r>
      <w:r w:rsidRPr="00C868F2">
        <w:rPr>
          <w:color w:val="000000" w:themeColor="text1"/>
        </w:rPr>
        <w:t>, the yearly savings add up to $</w:t>
      </w:r>
      <w:r w:rsidR="005F4AE8" w:rsidRPr="00C868F2">
        <w:rPr>
          <w:color w:val="000000" w:themeColor="text1"/>
        </w:rPr>
        <w:t>14,364,111</w:t>
      </w:r>
      <w:r w:rsidRPr="00C868F2">
        <w:rPr>
          <w:color w:val="000000" w:themeColor="text1"/>
        </w:rPr>
        <w:t xml:space="preserve"> compared to the same facility costs. This makes the net present value for the upper bound $</w:t>
      </w:r>
      <w:r w:rsidR="005F4AE8" w:rsidRPr="00C868F2">
        <w:rPr>
          <w:color w:val="000000" w:themeColor="text1"/>
        </w:rPr>
        <w:t>218,392,655</w:t>
      </w:r>
      <w:r w:rsidRPr="00C868F2">
        <w:rPr>
          <w:color w:val="000000" w:themeColor="text1"/>
        </w:rPr>
        <w:t xml:space="preserve"> in</w:t>
      </w:r>
      <w:r w:rsidR="00BB565D" w:rsidRPr="00C868F2">
        <w:rPr>
          <w:color w:val="000000" w:themeColor="text1"/>
        </w:rPr>
        <w:t xml:space="preserve"> total</w:t>
      </w:r>
      <w:r w:rsidRPr="00C868F2">
        <w:rPr>
          <w:color w:val="000000" w:themeColor="text1"/>
        </w:rPr>
        <w:t xml:space="preserve"> benefits. This calculation estimates that for every $1 spent, the SCS yields </w:t>
      </w:r>
      <w:r w:rsidR="005F4AE8" w:rsidRPr="00C868F2">
        <w:rPr>
          <w:color w:val="000000" w:themeColor="text1"/>
        </w:rPr>
        <w:t>$8.88</w:t>
      </w:r>
      <w:r w:rsidRPr="00C868F2">
        <w:rPr>
          <w:color w:val="000000" w:themeColor="text1"/>
        </w:rPr>
        <w:t xml:space="preserve"> in savings</w:t>
      </w:r>
      <w:r w:rsidR="00DB6523" w:rsidRPr="00C868F2">
        <w:rPr>
          <w:color w:val="000000" w:themeColor="text1"/>
        </w:rPr>
        <w:t xml:space="preserve"> (see table 4)</w:t>
      </w:r>
      <w:r w:rsidRPr="00C868F2">
        <w:rPr>
          <w:color w:val="000000" w:themeColor="text1"/>
        </w:rPr>
        <w:t xml:space="preserve">.  </w:t>
      </w:r>
      <w:r w:rsidR="000C64A5" w:rsidRPr="00C868F2">
        <w:rPr>
          <w:color w:val="000000" w:themeColor="text1"/>
        </w:rPr>
        <w:t>This calculation estimates that an SCS would prevent 1</w:t>
      </w:r>
      <w:r w:rsidR="005C7B23" w:rsidRPr="00C868F2">
        <w:rPr>
          <w:color w:val="000000" w:themeColor="text1"/>
        </w:rPr>
        <w:t>9</w:t>
      </w:r>
      <w:r w:rsidR="000C64A5" w:rsidRPr="00C868F2">
        <w:rPr>
          <w:color w:val="000000" w:themeColor="text1"/>
        </w:rPr>
        <w:t>.</w:t>
      </w:r>
      <w:r w:rsidR="005C7B23" w:rsidRPr="00C868F2">
        <w:rPr>
          <w:color w:val="000000" w:themeColor="text1"/>
        </w:rPr>
        <w:t>7</w:t>
      </w:r>
      <w:r w:rsidR="000C64A5" w:rsidRPr="00C868F2">
        <w:rPr>
          <w:color w:val="000000" w:themeColor="text1"/>
        </w:rPr>
        <w:t xml:space="preserve"> fatal overdoses, </w:t>
      </w:r>
      <w:r w:rsidR="005C7B23" w:rsidRPr="00C868F2">
        <w:rPr>
          <w:color w:val="000000" w:themeColor="text1"/>
        </w:rPr>
        <w:t>889.5</w:t>
      </w:r>
      <w:r w:rsidR="000C64A5" w:rsidRPr="00C868F2">
        <w:rPr>
          <w:color w:val="000000" w:themeColor="text1"/>
        </w:rPr>
        <w:t xml:space="preserve"> ambulance deployments, </w:t>
      </w:r>
      <w:r w:rsidR="005C7B23" w:rsidRPr="00C868F2">
        <w:rPr>
          <w:color w:val="000000" w:themeColor="text1"/>
        </w:rPr>
        <w:t>631.16</w:t>
      </w:r>
      <w:r w:rsidR="000C64A5" w:rsidRPr="00C868F2">
        <w:rPr>
          <w:color w:val="000000" w:themeColor="text1"/>
        </w:rPr>
        <w:t xml:space="preserve"> emergency room </w:t>
      </w:r>
      <w:r w:rsidR="000C64A5" w:rsidRPr="00C868F2">
        <w:rPr>
          <w:color w:val="000000" w:themeColor="text1"/>
        </w:rPr>
        <w:lastRenderedPageBreak/>
        <w:t xml:space="preserve">visits, and </w:t>
      </w:r>
      <w:r w:rsidR="005C7B23" w:rsidRPr="00C868F2">
        <w:rPr>
          <w:color w:val="000000" w:themeColor="text1"/>
        </w:rPr>
        <w:t>221.05</w:t>
      </w:r>
      <w:r w:rsidR="000C64A5" w:rsidRPr="00C868F2">
        <w:rPr>
          <w:color w:val="000000" w:themeColor="text1"/>
        </w:rPr>
        <w:t xml:space="preserve"> inpatient hospital days annually. </w:t>
      </w:r>
      <w:r w:rsidR="003216B4" w:rsidRPr="00C868F2">
        <w:rPr>
          <w:color w:val="000000" w:themeColor="text1"/>
        </w:rPr>
        <w:t>A</w:t>
      </w:r>
      <w:r w:rsidR="000C64A5" w:rsidRPr="00C868F2">
        <w:rPr>
          <w:color w:val="000000" w:themeColor="text1"/>
        </w:rPr>
        <w:t xml:space="preserve">dditionally, </w:t>
      </w:r>
      <w:r w:rsidR="005C7B23" w:rsidRPr="00C868F2">
        <w:rPr>
          <w:color w:val="000000" w:themeColor="text1"/>
        </w:rPr>
        <w:t>67.4</w:t>
      </w:r>
      <w:r w:rsidR="000C64A5" w:rsidRPr="00C868F2">
        <w:rPr>
          <w:color w:val="000000" w:themeColor="text1"/>
        </w:rPr>
        <w:t xml:space="preserve"> PWUD would enroll and complete </w:t>
      </w:r>
      <w:r w:rsidR="00857B63" w:rsidRPr="00C868F2">
        <w:rPr>
          <w:color w:val="000000" w:themeColor="text1"/>
        </w:rPr>
        <w:t>medication-assisted treatment</w:t>
      </w:r>
      <w:r w:rsidR="000C64A5" w:rsidRPr="00C868F2">
        <w:rPr>
          <w:color w:val="000000" w:themeColor="text1"/>
        </w:rPr>
        <w:t>.</w:t>
      </w:r>
      <w:r w:rsidR="00D46CD9">
        <w:rPr>
          <w:color w:val="000000" w:themeColor="text1"/>
        </w:rPr>
        <w:t xml:space="preserve"> </w:t>
      </w:r>
    </w:p>
    <w:tbl>
      <w:tblPr>
        <w:tblW w:w="9304" w:type="dxa"/>
        <w:jc w:val="center"/>
        <w:tblLook w:val="04A0" w:firstRow="1" w:lastRow="0" w:firstColumn="1" w:lastColumn="0" w:noHBand="0" w:noVBand="1"/>
      </w:tblPr>
      <w:tblGrid>
        <w:gridCol w:w="1744"/>
        <w:gridCol w:w="1539"/>
        <w:gridCol w:w="1974"/>
        <w:gridCol w:w="2204"/>
        <w:gridCol w:w="1843"/>
      </w:tblGrid>
      <w:tr w:rsidR="00DB6523" w:rsidRPr="00534B14" w14:paraId="0A23F321" w14:textId="77777777" w:rsidTr="00DB6523">
        <w:trPr>
          <w:trHeight w:val="303"/>
          <w:jc w:val="center"/>
        </w:trPr>
        <w:tc>
          <w:tcPr>
            <w:tcW w:w="9304" w:type="dxa"/>
            <w:gridSpan w:val="5"/>
            <w:tcBorders>
              <w:top w:val="nil"/>
              <w:left w:val="nil"/>
              <w:bottom w:val="nil"/>
              <w:right w:val="nil"/>
            </w:tcBorders>
            <w:shd w:val="clear" w:color="auto" w:fill="auto"/>
            <w:noWrap/>
            <w:vAlign w:val="center"/>
            <w:hideMark/>
          </w:tcPr>
          <w:p w14:paraId="731BBCB9" w14:textId="77777777" w:rsidR="00DB6523" w:rsidRPr="00534B14" w:rsidRDefault="00DB6523" w:rsidP="00DB6523">
            <w:pPr>
              <w:rPr>
                <w:b/>
                <w:bCs/>
                <w:i/>
                <w:iCs/>
                <w:color w:val="000000"/>
                <w:sz w:val="20"/>
                <w:szCs w:val="20"/>
              </w:rPr>
            </w:pPr>
            <w:r w:rsidRPr="00534B14">
              <w:rPr>
                <w:b/>
                <w:bCs/>
                <w:i/>
                <w:iCs/>
                <w:color w:val="000000"/>
                <w:sz w:val="20"/>
                <w:szCs w:val="20"/>
              </w:rPr>
              <w:t>Table 4. Estimated Upper Bound Results using the Present Value of a Life</w:t>
            </w:r>
          </w:p>
        </w:tc>
      </w:tr>
      <w:tr w:rsidR="00DB6523" w:rsidRPr="00534B14" w14:paraId="61E8FCB7" w14:textId="77777777" w:rsidTr="00DB6523">
        <w:trPr>
          <w:trHeight w:val="303"/>
          <w:jc w:val="center"/>
        </w:trPr>
        <w:tc>
          <w:tcPr>
            <w:tcW w:w="1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2FE73" w14:textId="77777777" w:rsidR="00DB6523" w:rsidRPr="00534B14" w:rsidRDefault="00DB6523" w:rsidP="00DB6523">
            <w:pPr>
              <w:jc w:val="center"/>
              <w:rPr>
                <w:b/>
                <w:bCs/>
                <w:color w:val="000000"/>
                <w:sz w:val="20"/>
                <w:szCs w:val="20"/>
              </w:rPr>
            </w:pPr>
            <w:r w:rsidRPr="00534B14">
              <w:rPr>
                <w:b/>
                <w:bCs/>
                <w:color w:val="000000"/>
                <w:sz w:val="20"/>
                <w:szCs w:val="20"/>
              </w:rPr>
              <w:t>Estimated Savings</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14:paraId="5F5843DD" w14:textId="77777777" w:rsidR="00DB6523" w:rsidRPr="00534B14" w:rsidRDefault="00DB6523" w:rsidP="00DB6523">
            <w:pPr>
              <w:jc w:val="center"/>
              <w:rPr>
                <w:b/>
                <w:bCs/>
                <w:color w:val="000000"/>
                <w:sz w:val="20"/>
                <w:szCs w:val="20"/>
              </w:rPr>
            </w:pPr>
            <w:r w:rsidRPr="00534B14">
              <w:rPr>
                <w:b/>
                <w:bCs/>
                <w:color w:val="000000"/>
                <w:sz w:val="20"/>
                <w:szCs w:val="20"/>
              </w:rPr>
              <w:t xml:space="preserve">Estimated Costs </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14:paraId="58305711" w14:textId="77777777" w:rsidR="00DB6523" w:rsidRPr="00534B14" w:rsidRDefault="00DB6523" w:rsidP="00DB6523">
            <w:pPr>
              <w:jc w:val="center"/>
              <w:rPr>
                <w:b/>
                <w:bCs/>
                <w:color w:val="000000"/>
                <w:sz w:val="20"/>
                <w:szCs w:val="20"/>
              </w:rPr>
            </w:pPr>
            <w:r w:rsidRPr="00534B14">
              <w:rPr>
                <w:b/>
                <w:bCs/>
                <w:color w:val="000000"/>
                <w:sz w:val="20"/>
                <w:szCs w:val="20"/>
              </w:rPr>
              <w:t>Benefit to Cost Ratio</w:t>
            </w:r>
          </w:p>
        </w:tc>
        <w:tc>
          <w:tcPr>
            <w:tcW w:w="2204" w:type="dxa"/>
            <w:tcBorders>
              <w:top w:val="single" w:sz="4" w:space="0" w:color="auto"/>
              <w:left w:val="nil"/>
              <w:bottom w:val="single" w:sz="4" w:space="0" w:color="auto"/>
              <w:right w:val="single" w:sz="4" w:space="0" w:color="auto"/>
            </w:tcBorders>
            <w:shd w:val="clear" w:color="auto" w:fill="auto"/>
            <w:noWrap/>
            <w:vAlign w:val="center"/>
            <w:hideMark/>
          </w:tcPr>
          <w:p w14:paraId="51890296" w14:textId="77777777" w:rsidR="00DB6523" w:rsidRPr="00534B14" w:rsidRDefault="00DB6523" w:rsidP="00DB6523">
            <w:pPr>
              <w:jc w:val="center"/>
              <w:rPr>
                <w:b/>
                <w:bCs/>
                <w:color w:val="000000"/>
                <w:sz w:val="20"/>
                <w:szCs w:val="20"/>
              </w:rPr>
            </w:pPr>
            <w:r w:rsidRPr="00534B14">
              <w:rPr>
                <w:b/>
                <w:bCs/>
                <w:color w:val="000000"/>
                <w:sz w:val="20"/>
                <w:szCs w:val="20"/>
              </w:rPr>
              <w:t>Net Benefits - Annually</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035256A" w14:textId="77777777" w:rsidR="00DB6523" w:rsidRPr="00534B14" w:rsidRDefault="00DB6523" w:rsidP="00DB6523">
            <w:pPr>
              <w:jc w:val="center"/>
              <w:rPr>
                <w:b/>
                <w:bCs/>
                <w:color w:val="000000"/>
                <w:sz w:val="20"/>
                <w:szCs w:val="20"/>
              </w:rPr>
            </w:pPr>
            <w:r w:rsidRPr="00534B14">
              <w:rPr>
                <w:b/>
                <w:bCs/>
                <w:color w:val="000000"/>
                <w:sz w:val="20"/>
                <w:szCs w:val="20"/>
              </w:rPr>
              <w:t>Net Benefits - Total</w:t>
            </w:r>
          </w:p>
        </w:tc>
      </w:tr>
      <w:tr w:rsidR="00DB6523" w:rsidRPr="00534B14" w14:paraId="2412A1B2" w14:textId="77777777" w:rsidTr="00DB6523">
        <w:trPr>
          <w:trHeight w:val="303"/>
          <w:jc w:val="center"/>
        </w:trPr>
        <w:tc>
          <w:tcPr>
            <w:tcW w:w="1744" w:type="dxa"/>
            <w:tcBorders>
              <w:top w:val="nil"/>
              <w:left w:val="single" w:sz="4" w:space="0" w:color="auto"/>
              <w:bottom w:val="single" w:sz="4" w:space="0" w:color="auto"/>
              <w:right w:val="single" w:sz="4" w:space="0" w:color="auto"/>
            </w:tcBorders>
            <w:shd w:val="clear" w:color="000000" w:fill="D9D9D9"/>
            <w:noWrap/>
            <w:vAlign w:val="center"/>
            <w:hideMark/>
          </w:tcPr>
          <w:p w14:paraId="4233F4F0" w14:textId="77777777" w:rsidR="00DB6523" w:rsidRPr="00534B14" w:rsidRDefault="00DB6523" w:rsidP="00DB6523">
            <w:pPr>
              <w:jc w:val="center"/>
              <w:rPr>
                <w:color w:val="000000"/>
                <w:sz w:val="20"/>
                <w:szCs w:val="20"/>
              </w:rPr>
            </w:pPr>
            <w:r w:rsidRPr="00534B14">
              <w:rPr>
                <w:color w:val="000000"/>
                <w:sz w:val="20"/>
                <w:szCs w:val="20"/>
              </w:rPr>
              <w:t xml:space="preserve">$16,186,396.69 </w:t>
            </w:r>
          </w:p>
        </w:tc>
        <w:tc>
          <w:tcPr>
            <w:tcW w:w="1539" w:type="dxa"/>
            <w:tcBorders>
              <w:top w:val="nil"/>
              <w:left w:val="nil"/>
              <w:bottom w:val="single" w:sz="4" w:space="0" w:color="auto"/>
              <w:right w:val="single" w:sz="4" w:space="0" w:color="auto"/>
            </w:tcBorders>
            <w:shd w:val="clear" w:color="000000" w:fill="D9D9D9"/>
            <w:noWrap/>
            <w:vAlign w:val="center"/>
            <w:hideMark/>
          </w:tcPr>
          <w:p w14:paraId="5E4869B6" w14:textId="77777777" w:rsidR="00DB6523" w:rsidRPr="00534B14" w:rsidRDefault="00DB6523" w:rsidP="00DB6523">
            <w:pPr>
              <w:jc w:val="center"/>
              <w:rPr>
                <w:color w:val="000000"/>
                <w:sz w:val="20"/>
                <w:szCs w:val="20"/>
              </w:rPr>
            </w:pPr>
            <w:r w:rsidRPr="00534B14">
              <w:rPr>
                <w:color w:val="000000"/>
                <w:sz w:val="20"/>
                <w:szCs w:val="20"/>
              </w:rPr>
              <w:t xml:space="preserve">$1,822,285.72 </w:t>
            </w:r>
          </w:p>
        </w:tc>
        <w:tc>
          <w:tcPr>
            <w:tcW w:w="1974" w:type="dxa"/>
            <w:tcBorders>
              <w:top w:val="nil"/>
              <w:left w:val="nil"/>
              <w:bottom w:val="single" w:sz="4" w:space="0" w:color="auto"/>
              <w:right w:val="single" w:sz="4" w:space="0" w:color="auto"/>
            </w:tcBorders>
            <w:shd w:val="clear" w:color="000000" w:fill="D9D9D9"/>
            <w:noWrap/>
            <w:vAlign w:val="center"/>
            <w:hideMark/>
          </w:tcPr>
          <w:p w14:paraId="1B0C52BF" w14:textId="77777777" w:rsidR="00DB6523" w:rsidRPr="00534B14" w:rsidRDefault="00DB6523" w:rsidP="00DB6523">
            <w:pPr>
              <w:jc w:val="center"/>
              <w:rPr>
                <w:color w:val="000000"/>
                <w:sz w:val="20"/>
                <w:szCs w:val="20"/>
              </w:rPr>
            </w:pPr>
            <w:r w:rsidRPr="00534B14">
              <w:rPr>
                <w:color w:val="000000"/>
                <w:sz w:val="20"/>
                <w:szCs w:val="20"/>
              </w:rPr>
              <w:t xml:space="preserve">$8.88 </w:t>
            </w:r>
          </w:p>
        </w:tc>
        <w:tc>
          <w:tcPr>
            <w:tcW w:w="2204" w:type="dxa"/>
            <w:tcBorders>
              <w:top w:val="nil"/>
              <w:left w:val="nil"/>
              <w:bottom w:val="single" w:sz="4" w:space="0" w:color="auto"/>
              <w:right w:val="single" w:sz="4" w:space="0" w:color="auto"/>
            </w:tcBorders>
            <w:shd w:val="clear" w:color="000000" w:fill="D9D9D9"/>
            <w:noWrap/>
            <w:vAlign w:val="center"/>
            <w:hideMark/>
          </w:tcPr>
          <w:p w14:paraId="42CF24E1" w14:textId="77777777" w:rsidR="00DB6523" w:rsidRPr="00534B14" w:rsidRDefault="00DB6523" w:rsidP="00DB6523">
            <w:pPr>
              <w:jc w:val="center"/>
              <w:rPr>
                <w:b/>
                <w:bCs/>
                <w:color w:val="000000"/>
                <w:sz w:val="20"/>
                <w:szCs w:val="20"/>
              </w:rPr>
            </w:pPr>
            <w:r w:rsidRPr="00534B14">
              <w:rPr>
                <w:b/>
                <w:bCs/>
                <w:color w:val="000000"/>
                <w:sz w:val="20"/>
                <w:szCs w:val="20"/>
              </w:rPr>
              <w:t xml:space="preserve">$14,364,110.97 </w:t>
            </w:r>
          </w:p>
        </w:tc>
        <w:tc>
          <w:tcPr>
            <w:tcW w:w="1840" w:type="dxa"/>
            <w:tcBorders>
              <w:top w:val="nil"/>
              <w:left w:val="nil"/>
              <w:bottom w:val="single" w:sz="4" w:space="0" w:color="auto"/>
              <w:right w:val="single" w:sz="4" w:space="0" w:color="auto"/>
            </w:tcBorders>
            <w:shd w:val="clear" w:color="000000" w:fill="D9D9D9"/>
            <w:noWrap/>
            <w:vAlign w:val="center"/>
            <w:hideMark/>
          </w:tcPr>
          <w:p w14:paraId="1FC6AE1F" w14:textId="77777777" w:rsidR="00DB6523" w:rsidRPr="00534B14" w:rsidRDefault="00DB6523" w:rsidP="00DB6523">
            <w:pPr>
              <w:jc w:val="center"/>
              <w:rPr>
                <w:b/>
                <w:bCs/>
                <w:color w:val="000000"/>
                <w:sz w:val="20"/>
                <w:szCs w:val="20"/>
              </w:rPr>
            </w:pPr>
            <w:r w:rsidRPr="00534B14">
              <w:rPr>
                <w:b/>
                <w:bCs/>
                <w:color w:val="000000"/>
                <w:sz w:val="20"/>
                <w:szCs w:val="20"/>
              </w:rPr>
              <w:t>$369,199,589.26</w:t>
            </w:r>
          </w:p>
        </w:tc>
      </w:tr>
    </w:tbl>
    <w:p w14:paraId="47AB5B40" w14:textId="77777777" w:rsidR="00DB6523" w:rsidRPr="00C868F2" w:rsidRDefault="00DB6523" w:rsidP="00DB6523">
      <w:pPr>
        <w:spacing w:line="480" w:lineRule="auto"/>
        <w:jc w:val="center"/>
        <w:rPr>
          <w:color w:val="000000" w:themeColor="text1"/>
        </w:rPr>
      </w:pPr>
    </w:p>
    <w:p w14:paraId="2C4917C9" w14:textId="4B781DB4" w:rsidR="00534B14" w:rsidRPr="00C868F2" w:rsidRDefault="008938A8" w:rsidP="00E83823">
      <w:pPr>
        <w:spacing w:line="480" w:lineRule="auto"/>
        <w:ind w:firstLine="720"/>
        <w:rPr>
          <w:color w:val="000000" w:themeColor="text1"/>
        </w:rPr>
      </w:pPr>
      <w:r w:rsidRPr="00C868F2">
        <w:rPr>
          <w:color w:val="000000" w:themeColor="text1"/>
        </w:rPr>
        <w:t>F</w:t>
      </w:r>
      <w:r w:rsidR="00CD1DDF" w:rsidRPr="00C868F2">
        <w:rPr>
          <w:color w:val="000000" w:themeColor="text1"/>
        </w:rPr>
        <w:t>or the lower bound cost and benefit estimates</w:t>
      </w:r>
      <w:r w:rsidR="000D3CD6" w:rsidRPr="00C868F2">
        <w:rPr>
          <w:color w:val="000000" w:themeColor="text1"/>
        </w:rPr>
        <w:t xml:space="preserve"> using the present value of a life</w:t>
      </w:r>
      <w:r w:rsidR="00CD1DDF" w:rsidRPr="00C868F2">
        <w:rPr>
          <w:color w:val="000000" w:themeColor="text1"/>
        </w:rPr>
        <w:t>, the yearly savings add up to $</w:t>
      </w:r>
      <w:r w:rsidR="00FF240B" w:rsidRPr="00C868F2">
        <w:rPr>
          <w:color w:val="000000" w:themeColor="text1"/>
        </w:rPr>
        <w:t>3,573,178</w:t>
      </w:r>
      <w:r w:rsidR="00CD1DDF" w:rsidRPr="00C868F2">
        <w:rPr>
          <w:color w:val="000000" w:themeColor="text1"/>
        </w:rPr>
        <w:t xml:space="preserve"> compared to the same facility costs. This makes the net present value for the lower bound $</w:t>
      </w:r>
      <w:r w:rsidR="005F4AE8" w:rsidRPr="00C868F2">
        <w:rPr>
          <w:color w:val="000000" w:themeColor="text1"/>
        </w:rPr>
        <w:t>30,488,578</w:t>
      </w:r>
      <w:r w:rsidR="00CD1DDF" w:rsidRPr="00C868F2">
        <w:rPr>
          <w:color w:val="000000" w:themeColor="text1"/>
        </w:rPr>
        <w:t xml:space="preserve"> in </w:t>
      </w:r>
      <w:r w:rsidR="000850DD" w:rsidRPr="00C868F2">
        <w:rPr>
          <w:color w:val="000000" w:themeColor="text1"/>
        </w:rPr>
        <w:t xml:space="preserve">total </w:t>
      </w:r>
      <w:r w:rsidR="00CD1DDF" w:rsidRPr="00C868F2">
        <w:rPr>
          <w:color w:val="000000" w:themeColor="text1"/>
        </w:rPr>
        <w:t>benefits. This calculation estimates that for every $1 spent, the SCS will yield $</w:t>
      </w:r>
      <w:r w:rsidR="005F4AE8" w:rsidRPr="00C868F2">
        <w:rPr>
          <w:color w:val="000000" w:themeColor="text1"/>
        </w:rPr>
        <w:t>2.96</w:t>
      </w:r>
      <w:r w:rsidR="00CD1DDF" w:rsidRPr="00C868F2">
        <w:rPr>
          <w:color w:val="000000" w:themeColor="text1"/>
        </w:rPr>
        <w:t xml:space="preserve"> in savings</w:t>
      </w:r>
      <w:r w:rsidR="00DB6523" w:rsidRPr="00C868F2">
        <w:rPr>
          <w:color w:val="000000" w:themeColor="text1"/>
        </w:rPr>
        <w:t xml:space="preserve"> (see table 5)</w:t>
      </w:r>
      <w:r w:rsidR="00CD1DDF" w:rsidRPr="00C868F2">
        <w:rPr>
          <w:color w:val="000000" w:themeColor="text1"/>
        </w:rPr>
        <w:t xml:space="preserve">. </w:t>
      </w:r>
      <w:r w:rsidR="008C70C9" w:rsidRPr="00C868F2">
        <w:rPr>
          <w:color w:val="000000" w:themeColor="text1"/>
        </w:rPr>
        <w:t xml:space="preserve">This calculation estimates that an SCS would prevent 6.6 fatal overdoses, 296.5 ambulance deployments, 211.72 emergency room visits, and 73.68 inpatient hospital days annually. </w:t>
      </w:r>
      <w:r w:rsidR="003216B4" w:rsidRPr="00C868F2">
        <w:rPr>
          <w:color w:val="000000" w:themeColor="text1"/>
        </w:rPr>
        <w:t>A</w:t>
      </w:r>
      <w:r w:rsidR="008C70C9" w:rsidRPr="00C868F2">
        <w:rPr>
          <w:color w:val="000000" w:themeColor="text1"/>
        </w:rPr>
        <w:t xml:space="preserve">dditionally, 22.5 PWUD would enroll and complete </w:t>
      </w:r>
      <w:r w:rsidR="006B2035" w:rsidRPr="00C868F2">
        <w:rPr>
          <w:color w:val="000000" w:themeColor="text1"/>
        </w:rPr>
        <w:t>medication-assisted treatment</w:t>
      </w:r>
      <w:r w:rsidR="008C70C9" w:rsidRPr="00C868F2">
        <w:rPr>
          <w:color w:val="000000" w:themeColor="text1"/>
        </w:rPr>
        <w:t>.</w:t>
      </w:r>
    </w:p>
    <w:tbl>
      <w:tblPr>
        <w:tblW w:w="9279" w:type="dxa"/>
        <w:jc w:val="center"/>
        <w:tblLook w:val="04A0" w:firstRow="1" w:lastRow="0" w:firstColumn="1" w:lastColumn="0" w:noHBand="0" w:noVBand="1"/>
      </w:tblPr>
      <w:tblGrid>
        <w:gridCol w:w="1669"/>
        <w:gridCol w:w="2021"/>
        <w:gridCol w:w="1646"/>
        <w:gridCol w:w="2107"/>
        <w:gridCol w:w="1836"/>
      </w:tblGrid>
      <w:tr w:rsidR="00DB6523" w:rsidRPr="00534B14" w14:paraId="0577D4FA" w14:textId="77777777" w:rsidTr="00DB6523">
        <w:trPr>
          <w:trHeight w:val="303"/>
          <w:jc w:val="center"/>
        </w:trPr>
        <w:tc>
          <w:tcPr>
            <w:tcW w:w="9279" w:type="dxa"/>
            <w:gridSpan w:val="5"/>
            <w:tcBorders>
              <w:top w:val="nil"/>
              <w:left w:val="nil"/>
              <w:bottom w:val="nil"/>
              <w:right w:val="nil"/>
            </w:tcBorders>
            <w:shd w:val="clear" w:color="auto" w:fill="auto"/>
            <w:noWrap/>
            <w:vAlign w:val="center"/>
            <w:hideMark/>
          </w:tcPr>
          <w:p w14:paraId="5B487330" w14:textId="77777777" w:rsidR="00DB6523" w:rsidRPr="00534B14" w:rsidRDefault="00DB6523" w:rsidP="00DB6523">
            <w:pPr>
              <w:rPr>
                <w:b/>
                <w:bCs/>
                <w:i/>
                <w:iCs/>
                <w:color w:val="000000"/>
                <w:sz w:val="20"/>
                <w:szCs w:val="20"/>
              </w:rPr>
            </w:pPr>
            <w:r w:rsidRPr="00534B14">
              <w:rPr>
                <w:b/>
                <w:bCs/>
                <w:i/>
                <w:iCs/>
                <w:color w:val="000000"/>
                <w:sz w:val="20"/>
                <w:szCs w:val="20"/>
              </w:rPr>
              <w:t>Table 5. Estimated Lower Bound Results using the Present Value of a Life</w:t>
            </w:r>
          </w:p>
        </w:tc>
      </w:tr>
      <w:tr w:rsidR="00DB6523" w:rsidRPr="00534B14" w14:paraId="312E46BE" w14:textId="77777777" w:rsidTr="00DB6523">
        <w:trPr>
          <w:trHeight w:val="303"/>
          <w:jc w:val="center"/>
        </w:trPr>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3ACF" w14:textId="77777777" w:rsidR="00DB6523" w:rsidRPr="00534B14" w:rsidRDefault="00DB6523" w:rsidP="00DB6523">
            <w:pPr>
              <w:jc w:val="center"/>
              <w:rPr>
                <w:b/>
                <w:bCs/>
                <w:color w:val="000000"/>
                <w:sz w:val="20"/>
                <w:szCs w:val="20"/>
              </w:rPr>
            </w:pPr>
            <w:r w:rsidRPr="00534B14">
              <w:rPr>
                <w:b/>
                <w:bCs/>
                <w:color w:val="000000"/>
                <w:sz w:val="20"/>
                <w:szCs w:val="20"/>
              </w:rPr>
              <w:t>Estimated Savings</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14:paraId="5F06F5AF" w14:textId="77777777" w:rsidR="00DB6523" w:rsidRPr="00534B14" w:rsidRDefault="00DB6523" w:rsidP="00DB6523">
            <w:pPr>
              <w:jc w:val="center"/>
              <w:rPr>
                <w:b/>
                <w:bCs/>
                <w:color w:val="000000"/>
                <w:sz w:val="20"/>
                <w:szCs w:val="20"/>
              </w:rPr>
            </w:pPr>
            <w:r w:rsidRPr="00534B14">
              <w:rPr>
                <w:b/>
                <w:bCs/>
                <w:color w:val="000000"/>
                <w:sz w:val="20"/>
                <w:szCs w:val="20"/>
              </w:rPr>
              <w:t xml:space="preserve">Estimated Costs </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14:paraId="290C164A" w14:textId="77777777" w:rsidR="00DB6523" w:rsidRPr="00534B14" w:rsidRDefault="00DB6523" w:rsidP="00DB6523">
            <w:pPr>
              <w:jc w:val="center"/>
              <w:rPr>
                <w:b/>
                <w:bCs/>
                <w:color w:val="000000"/>
                <w:sz w:val="20"/>
                <w:szCs w:val="20"/>
              </w:rPr>
            </w:pPr>
            <w:r w:rsidRPr="00534B14">
              <w:rPr>
                <w:b/>
                <w:bCs/>
                <w:color w:val="000000"/>
                <w:sz w:val="20"/>
                <w:szCs w:val="20"/>
              </w:rPr>
              <w:t>Benefit to Cost Ratio</w:t>
            </w:r>
          </w:p>
        </w:tc>
        <w:tc>
          <w:tcPr>
            <w:tcW w:w="2107" w:type="dxa"/>
            <w:tcBorders>
              <w:top w:val="single" w:sz="4" w:space="0" w:color="auto"/>
              <w:left w:val="nil"/>
              <w:bottom w:val="single" w:sz="4" w:space="0" w:color="auto"/>
              <w:right w:val="single" w:sz="4" w:space="0" w:color="auto"/>
            </w:tcBorders>
            <w:shd w:val="clear" w:color="auto" w:fill="auto"/>
            <w:noWrap/>
            <w:vAlign w:val="center"/>
            <w:hideMark/>
          </w:tcPr>
          <w:p w14:paraId="4FBFD4F2" w14:textId="77777777" w:rsidR="00DB6523" w:rsidRPr="00534B14" w:rsidRDefault="00DB6523" w:rsidP="00DB6523">
            <w:pPr>
              <w:jc w:val="center"/>
              <w:rPr>
                <w:b/>
                <w:bCs/>
                <w:color w:val="000000"/>
                <w:sz w:val="20"/>
                <w:szCs w:val="20"/>
              </w:rPr>
            </w:pPr>
            <w:r w:rsidRPr="00534B14">
              <w:rPr>
                <w:b/>
                <w:bCs/>
                <w:color w:val="000000"/>
                <w:sz w:val="20"/>
                <w:szCs w:val="20"/>
              </w:rPr>
              <w:t>Net Benefits - Annually</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0D592D5F" w14:textId="77777777" w:rsidR="00DB6523" w:rsidRPr="00534B14" w:rsidRDefault="00DB6523" w:rsidP="00DB6523">
            <w:pPr>
              <w:jc w:val="center"/>
              <w:rPr>
                <w:b/>
                <w:bCs/>
                <w:color w:val="000000"/>
                <w:sz w:val="20"/>
                <w:szCs w:val="20"/>
              </w:rPr>
            </w:pPr>
            <w:r w:rsidRPr="00534B14">
              <w:rPr>
                <w:b/>
                <w:bCs/>
                <w:color w:val="000000"/>
                <w:sz w:val="20"/>
                <w:szCs w:val="20"/>
              </w:rPr>
              <w:t>Net Benefits - Total</w:t>
            </w:r>
          </w:p>
        </w:tc>
      </w:tr>
      <w:tr w:rsidR="00DB6523" w:rsidRPr="00534B14" w14:paraId="2FA83452" w14:textId="77777777" w:rsidTr="00DB6523">
        <w:trPr>
          <w:trHeight w:val="303"/>
          <w:jc w:val="center"/>
        </w:trPr>
        <w:tc>
          <w:tcPr>
            <w:tcW w:w="1669" w:type="dxa"/>
            <w:tcBorders>
              <w:top w:val="nil"/>
              <w:left w:val="single" w:sz="4" w:space="0" w:color="auto"/>
              <w:bottom w:val="single" w:sz="4" w:space="0" w:color="auto"/>
              <w:right w:val="single" w:sz="4" w:space="0" w:color="auto"/>
            </w:tcBorders>
            <w:shd w:val="clear" w:color="000000" w:fill="D9D9D9"/>
            <w:noWrap/>
            <w:vAlign w:val="center"/>
            <w:hideMark/>
          </w:tcPr>
          <w:p w14:paraId="575CA776" w14:textId="77777777" w:rsidR="00DB6523" w:rsidRPr="00534B14" w:rsidRDefault="00DB6523" w:rsidP="00DB6523">
            <w:pPr>
              <w:jc w:val="center"/>
              <w:rPr>
                <w:color w:val="000000"/>
                <w:sz w:val="20"/>
                <w:szCs w:val="20"/>
              </w:rPr>
            </w:pPr>
            <w:r w:rsidRPr="00534B14">
              <w:rPr>
                <w:color w:val="000000"/>
                <w:sz w:val="20"/>
                <w:szCs w:val="20"/>
              </w:rPr>
              <w:t xml:space="preserve">$5,395,465.56 </w:t>
            </w:r>
          </w:p>
        </w:tc>
        <w:tc>
          <w:tcPr>
            <w:tcW w:w="2021" w:type="dxa"/>
            <w:tcBorders>
              <w:top w:val="nil"/>
              <w:left w:val="nil"/>
              <w:bottom w:val="single" w:sz="4" w:space="0" w:color="auto"/>
              <w:right w:val="single" w:sz="4" w:space="0" w:color="auto"/>
            </w:tcBorders>
            <w:shd w:val="clear" w:color="000000" w:fill="D9D9D9"/>
            <w:noWrap/>
            <w:vAlign w:val="center"/>
            <w:hideMark/>
          </w:tcPr>
          <w:p w14:paraId="18913BCD" w14:textId="77777777" w:rsidR="00DB6523" w:rsidRPr="00534B14" w:rsidRDefault="00DB6523" w:rsidP="00DB6523">
            <w:pPr>
              <w:jc w:val="center"/>
              <w:rPr>
                <w:color w:val="000000"/>
                <w:sz w:val="20"/>
                <w:szCs w:val="20"/>
              </w:rPr>
            </w:pPr>
            <w:r w:rsidRPr="00534B14">
              <w:rPr>
                <w:color w:val="000000"/>
                <w:sz w:val="20"/>
                <w:szCs w:val="20"/>
              </w:rPr>
              <w:t xml:space="preserve"> $    1,822,285.72 </w:t>
            </w:r>
          </w:p>
        </w:tc>
        <w:tc>
          <w:tcPr>
            <w:tcW w:w="1646" w:type="dxa"/>
            <w:tcBorders>
              <w:top w:val="nil"/>
              <w:left w:val="nil"/>
              <w:bottom w:val="single" w:sz="4" w:space="0" w:color="auto"/>
              <w:right w:val="single" w:sz="4" w:space="0" w:color="auto"/>
            </w:tcBorders>
            <w:shd w:val="clear" w:color="000000" w:fill="D9D9D9"/>
            <w:noWrap/>
            <w:vAlign w:val="center"/>
            <w:hideMark/>
          </w:tcPr>
          <w:p w14:paraId="16AFEA76" w14:textId="77777777" w:rsidR="00DB6523" w:rsidRPr="00534B14" w:rsidRDefault="00DB6523" w:rsidP="00DB6523">
            <w:pPr>
              <w:jc w:val="center"/>
              <w:rPr>
                <w:color w:val="000000"/>
                <w:sz w:val="20"/>
                <w:szCs w:val="20"/>
              </w:rPr>
            </w:pPr>
            <w:r w:rsidRPr="00534B14">
              <w:rPr>
                <w:color w:val="000000"/>
                <w:sz w:val="20"/>
                <w:szCs w:val="20"/>
              </w:rPr>
              <w:t>$2.96</w:t>
            </w:r>
          </w:p>
        </w:tc>
        <w:tc>
          <w:tcPr>
            <w:tcW w:w="2107" w:type="dxa"/>
            <w:tcBorders>
              <w:top w:val="nil"/>
              <w:left w:val="nil"/>
              <w:bottom w:val="single" w:sz="4" w:space="0" w:color="auto"/>
              <w:right w:val="single" w:sz="4" w:space="0" w:color="auto"/>
            </w:tcBorders>
            <w:shd w:val="clear" w:color="000000" w:fill="D9D9D9"/>
            <w:noWrap/>
            <w:vAlign w:val="center"/>
            <w:hideMark/>
          </w:tcPr>
          <w:p w14:paraId="75C2732D" w14:textId="77777777" w:rsidR="00DB6523" w:rsidRPr="00534B14" w:rsidRDefault="00DB6523" w:rsidP="00DB6523">
            <w:pPr>
              <w:jc w:val="center"/>
              <w:rPr>
                <w:b/>
                <w:bCs/>
                <w:color w:val="000000"/>
                <w:sz w:val="20"/>
                <w:szCs w:val="20"/>
              </w:rPr>
            </w:pPr>
            <w:r w:rsidRPr="00534B14">
              <w:rPr>
                <w:b/>
                <w:bCs/>
                <w:color w:val="000000"/>
                <w:sz w:val="20"/>
                <w:szCs w:val="20"/>
              </w:rPr>
              <w:t xml:space="preserve">$3,573,179.84 </w:t>
            </w:r>
          </w:p>
        </w:tc>
        <w:tc>
          <w:tcPr>
            <w:tcW w:w="1836" w:type="dxa"/>
            <w:tcBorders>
              <w:top w:val="nil"/>
              <w:left w:val="nil"/>
              <w:bottom w:val="single" w:sz="4" w:space="0" w:color="auto"/>
              <w:right w:val="single" w:sz="4" w:space="0" w:color="auto"/>
            </w:tcBorders>
            <w:shd w:val="clear" w:color="000000" w:fill="D9D9D9"/>
            <w:noWrap/>
            <w:vAlign w:val="center"/>
            <w:hideMark/>
          </w:tcPr>
          <w:p w14:paraId="3FC97C09" w14:textId="77777777" w:rsidR="00DB6523" w:rsidRPr="00534B14" w:rsidRDefault="00DB6523" w:rsidP="00DB6523">
            <w:pPr>
              <w:jc w:val="center"/>
              <w:rPr>
                <w:b/>
                <w:bCs/>
                <w:color w:val="000000"/>
                <w:sz w:val="20"/>
                <w:szCs w:val="20"/>
              </w:rPr>
            </w:pPr>
            <w:r w:rsidRPr="00534B14">
              <w:rPr>
                <w:b/>
                <w:bCs/>
                <w:color w:val="000000"/>
                <w:sz w:val="20"/>
                <w:szCs w:val="20"/>
              </w:rPr>
              <w:t>$101,912,042.78</w:t>
            </w:r>
          </w:p>
        </w:tc>
      </w:tr>
    </w:tbl>
    <w:p w14:paraId="2E910133" w14:textId="0BE7DDB1" w:rsidR="00DB6523" w:rsidRPr="00C868F2" w:rsidRDefault="00DB6523" w:rsidP="00DB6523">
      <w:pPr>
        <w:spacing w:line="480" w:lineRule="auto"/>
        <w:rPr>
          <w:color w:val="000000" w:themeColor="text1"/>
        </w:rPr>
      </w:pPr>
    </w:p>
    <w:p w14:paraId="593092CF" w14:textId="772E55CA" w:rsidR="00DB6523" w:rsidRPr="00C868F2" w:rsidRDefault="00DB6523" w:rsidP="00025C94">
      <w:pPr>
        <w:pStyle w:val="Heading3"/>
        <w:spacing w:line="480" w:lineRule="auto"/>
        <w:rPr>
          <w:rFonts w:ascii="Times New Roman" w:hAnsi="Times New Roman" w:cs="Times New Roman"/>
          <w:b/>
          <w:bCs/>
          <w:color w:val="auto"/>
        </w:rPr>
      </w:pPr>
      <w:bookmarkStart w:id="29" w:name="_Toc103539049"/>
      <w:r w:rsidRPr="00C868F2">
        <w:rPr>
          <w:rFonts w:ascii="Times New Roman" w:hAnsi="Times New Roman" w:cs="Times New Roman"/>
          <w:b/>
          <w:bCs/>
          <w:color w:val="auto"/>
        </w:rPr>
        <w:t>Median Income Fluctuations</w:t>
      </w:r>
      <w:bookmarkEnd w:id="29"/>
    </w:p>
    <w:p w14:paraId="65BCC6F4" w14:textId="1959C8CC" w:rsidR="00DB6523" w:rsidRPr="00C868F2" w:rsidRDefault="00025C94" w:rsidP="00DB6523">
      <w:pPr>
        <w:spacing w:line="480" w:lineRule="auto"/>
        <w:rPr>
          <w:color w:val="000000" w:themeColor="text1"/>
        </w:rPr>
      </w:pPr>
      <w:r w:rsidRPr="00C868F2">
        <w:rPr>
          <w:color w:val="000000" w:themeColor="text1"/>
        </w:rPr>
        <w:tab/>
      </w:r>
      <w:r w:rsidR="0035590D" w:rsidRPr="00C868F2">
        <w:rPr>
          <w:color w:val="000000" w:themeColor="text1"/>
        </w:rPr>
        <w:t xml:space="preserve">As a part of this sensitivity analysis, I wanted to account for all possible scenarios where a variable may fluctuate, including the level of income for PWUD. </w:t>
      </w:r>
      <w:r w:rsidR="007D6B54" w:rsidRPr="00C868F2">
        <w:rPr>
          <w:color w:val="000000" w:themeColor="text1"/>
        </w:rPr>
        <w:t>When using the present value of a life to estimate the benefits associated with averting a fatal overdose, it is important to note that the level of income for the average user in Baltimore City may be much lower than the median income of the City</w:t>
      </w:r>
      <w:r w:rsidR="00E8506C" w:rsidRPr="00C868F2">
        <w:rPr>
          <w:color w:val="000000" w:themeColor="text1"/>
        </w:rPr>
        <w:t xml:space="preserve"> as a whole</w:t>
      </w:r>
      <w:r w:rsidR="007D6B54" w:rsidRPr="00C868F2">
        <w:rPr>
          <w:color w:val="000000" w:themeColor="text1"/>
        </w:rPr>
        <w:t xml:space="preserve">. </w:t>
      </w:r>
      <w:r w:rsidR="00E8506C" w:rsidRPr="00C868F2">
        <w:rPr>
          <w:color w:val="000000" w:themeColor="text1"/>
        </w:rPr>
        <w:t>According to DeCuir et al, injection drug use and needle sharing is most common in disadvantaged neighborhoods (</w:t>
      </w:r>
      <w:r w:rsidR="00E8506C" w:rsidRPr="00C868F2">
        <w:t>2018</w:t>
      </w:r>
      <w:r w:rsidR="00E8506C" w:rsidRPr="00C868F2">
        <w:rPr>
          <w:color w:val="000000" w:themeColor="text1"/>
        </w:rPr>
        <w:t xml:space="preserve">). This implies that the people who need access to SCS are most likely coming from a lower socioeconomic status. Safe </w:t>
      </w:r>
      <w:r w:rsidR="00E8506C" w:rsidRPr="00C868F2">
        <w:rPr>
          <w:color w:val="000000" w:themeColor="text1"/>
        </w:rPr>
        <w:lastRenderedPageBreak/>
        <w:t xml:space="preserve">consumption sites are meant to bridge the gap of access to substance use disorder care meaning they target marginalized groups of people. In order to show just how valuable an SCS can be,  I decided to do a sensitivity analysis where I lowered the median income by 50% and 75% to show that even with a very conservative estimate for the value of a life, the SCS will still bring in positive net benefits. While </w:t>
      </w:r>
      <w:r w:rsidR="00FB7CB5" w:rsidRPr="00C868F2">
        <w:rPr>
          <w:color w:val="000000" w:themeColor="text1"/>
        </w:rPr>
        <w:t xml:space="preserve">the value of a life should not fluctuate based on socioeconomic status, level of income, or health status; this sensitivity analysis is purely used to show that no matter how you calculate the value of a life, the benefits are still positive. </w:t>
      </w:r>
      <w:r w:rsidR="00E8506C" w:rsidRPr="00C868F2">
        <w:rPr>
          <w:color w:val="000000" w:themeColor="text1"/>
        </w:rPr>
        <w:t xml:space="preserve"> </w:t>
      </w:r>
    </w:p>
    <w:p w14:paraId="2409C333" w14:textId="23BA40C0" w:rsidR="00C36499" w:rsidRPr="00C868F2" w:rsidRDefault="00C36499" w:rsidP="00DB6523">
      <w:pPr>
        <w:spacing w:line="480" w:lineRule="auto"/>
        <w:rPr>
          <w:color w:val="000000" w:themeColor="text1"/>
        </w:rPr>
      </w:pPr>
      <w:r w:rsidRPr="00C868F2">
        <w:rPr>
          <w:color w:val="000000" w:themeColor="text1"/>
        </w:rPr>
        <w:tab/>
        <w:t>For the 50% decreased estimate, the median income per capita is decreased to $16,350 bringing the present value of an averted overdose</w:t>
      </w:r>
      <w:r w:rsidR="00C97685" w:rsidRPr="00C868F2">
        <w:rPr>
          <w:color w:val="000000" w:themeColor="text1"/>
        </w:rPr>
        <w:t>s</w:t>
      </w:r>
      <w:r w:rsidRPr="00C868F2">
        <w:rPr>
          <w:color w:val="000000" w:themeColor="text1"/>
        </w:rPr>
        <w:t xml:space="preserve"> to approximately $6.3 million</w:t>
      </w:r>
      <w:r w:rsidR="00C97685" w:rsidRPr="00C868F2">
        <w:rPr>
          <w:color w:val="000000" w:themeColor="text1"/>
        </w:rPr>
        <w:t xml:space="preserve"> per year</w:t>
      </w:r>
      <w:r w:rsidRPr="00C868F2">
        <w:rPr>
          <w:color w:val="000000" w:themeColor="text1"/>
        </w:rPr>
        <w:t xml:space="preserve">. </w:t>
      </w:r>
      <w:r w:rsidR="00C97685" w:rsidRPr="00C868F2">
        <w:rPr>
          <w:color w:val="000000" w:themeColor="text1"/>
        </w:rPr>
        <w:t xml:space="preserve">This is based on the original estimation of 13.2 averted fatal overdoses per year. </w:t>
      </w:r>
      <w:r w:rsidR="0057433A" w:rsidRPr="00C868F2">
        <w:rPr>
          <w:color w:val="000000" w:themeColor="text1"/>
        </w:rPr>
        <w:t>According to this estimate, for every $1 spent, the SCS yields $4.75 in benefits for a total of $6,831,118 in annual net benefits. Using a 3% discount rate over the span of 25 years yields a net present value of $118,951,270 in benefits (see table 6).</w:t>
      </w:r>
    </w:p>
    <w:tbl>
      <w:tblPr>
        <w:tblW w:w="8878" w:type="dxa"/>
        <w:jc w:val="center"/>
        <w:tblLook w:val="04A0" w:firstRow="1" w:lastRow="0" w:firstColumn="1" w:lastColumn="0" w:noHBand="0" w:noVBand="1"/>
      </w:tblPr>
      <w:tblGrid>
        <w:gridCol w:w="1665"/>
        <w:gridCol w:w="1469"/>
        <w:gridCol w:w="1884"/>
        <w:gridCol w:w="2103"/>
        <w:gridCol w:w="1757"/>
      </w:tblGrid>
      <w:tr w:rsidR="0057433A" w:rsidRPr="00534B14" w14:paraId="3173D18E" w14:textId="77777777" w:rsidTr="0057433A">
        <w:trPr>
          <w:trHeight w:val="342"/>
          <w:jc w:val="center"/>
        </w:trPr>
        <w:tc>
          <w:tcPr>
            <w:tcW w:w="8878" w:type="dxa"/>
            <w:gridSpan w:val="5"/>
            <w:tcBorders>
              <w:top w:val="nil"/>
              <w:left w:val="nil"/>
              <w:bottom w:val="nil"/>
              <w:right w:val="nil"/>
            </w:tcBorders>
            <w:shd w:val="clear" w:color="auto" w:fill="auto"/>
            <w:noWrap/>
            <w:vAlign w:val="center"/>
            <w:hideMark/>
          </w:tcPr>
          <w:p w14:paraId="73AC3B82" w14:textId="44F32D5D" w:rsidR="0057433A" w:rsidRPr="00534B14" w:rsidRDefault="0057433A" w:rsidP="0057433A">
            <w:pPr>
              <w:rPr>
                <w:b/>
                <w:bCs/>
                <w:i/>
                <w:iCs/>
                <w:color w:val="000000"/>
                <w:sz w:val="20"/>
                <w:szCs w:val="20"/>
              </w:rPr>
            </w:pPr>
            <w:r w:rsidRPr="00534B14">
              <w:rPr>
                <w:b/>
                <w:bCs/>
                <w:i/>
                <w:iCs/>
                <w:color w:val="000000"/>
                <w:sz w:val="20"/>
                <w:szCs w:val="20"/>
              </w:rPr>
              <w:t>Table 6. Estimated 50% Decrease in Median Income Results using the Present Value of a Life</w:t>
            </w:r>
          </w:p>
        </w:tc>
      </w:tr>
      <w:tr w:rsidR="0057433A" w:rsidRPr="00534B14" w14:paraId="4B415C9D" w14:textId="77777777" w:rsidTr="0057433A">
        <w:trPr>
          <w:trHeight w:val="342"/>
          <w:jc w:val="center"/>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FAA5" w14:textId="77777777" w:rsidR="0057433A" w:rsidRPr="00534B14" w:rsidRDefault="0057433A" w:rsidP="0057433A">
            <w:pPr>
              <w:jc w:val="center"/>
              <w:rPr>
                <w:b/>
                <w:bCs/>
                <w:color w:val="000000"/>
                <w:sz w:val="20"/>
                <w:szCs w:val="20"/>
              </w:rPr>
            </w:pPr>
            <w:r w:rsidRPr="00534B14">
              <w:rPr>
                <w:b/>
                <w:bCs/>
                <w:color w:val="000000"/>
                <w:sz w:val="20"/>
                <w:szCs w:val="20"/>
              </w:rPr>
              <w:t>Estimated Savings</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14:paraId="48AE5F69" w14:textId="77777777" w:rsidR="0057433A" w:rsidRPr="00534B14" w:rsidRDefault="0057433A" w:rsidP="0057433A">
            <w:pPr>
              <w:jc w:val="center"/>
              <w:rPr>
                <w:b/>
                <w:bCs/>
                <w:color w:val="000000"/>
                <w:sz w:val="20"/>
                <w:szCs w:val="20"/>
              </w:rPr>
            </w:pPr>
            <w:r w:rsidRPr="00534B14">
              <w:rPr>
                <w:b/>
                <w:bCs/>
                <w:color w:val="000000"/>
                <w:sz w:val="20"/>
                <w:szCs w:val="20"/>
              </w:rPr>
              <w:t xml:space="preserve">Estimated Costs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14:paraId="648F2652" w14:textId="77777777" w:rsidR="0057433A" w:rsidRPr="00534B14" w:rsidRDefault="0057433A" w:rsidP="0057433A">
            <w:pPr>
              <w:jc w:val="center"/>
              <w:rPr>
                <w:b/>
                <w:bCs/>
                <w:color w:val="000000"/>
                <w:sz w:val="20"/>
                <w:szCs w:val="20"/>
              </w:rPr>
            </w:pPr>
            <w:r w:rsidRPr="00534B14">
              <w:rPr>
                <w:b/>
                <w:bCs/>
                <w:color w:val="000000"/>
                <w:sz w:val="20"/>
                <w:szCs w:val="20"/>
              </w:rPr>
              <w:t>Benefit to Cost Ratio</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14:paraId="62BDF632" w14:textId="77777777" w:rsidR="0057433A" w:rsidRPr="00534B14" w:rsidRDefault="0057433A" w:rsidP="0057433A">
            <w:pPr>
              <w:jc w:val="center"/>
              <w:rPr>
                <w:b/>
                <w:bCs/>
                <w:color w:val="000000"/>
                <w:sz w:val="20"/>
                <w:szCs w:val="20"/>
              </w:rPr>
            </w:pPr>
            <w:r w:rsidRPr="00534B14">
              <w:rPr>
                <w:b/>
                <w:bCs/>
                <w:color w:val="000000"/>
                <w:sz w:val="20"/>
                <w:szCs w:val="20"/>
              </w:rPr>
              <w:t>Net Benefits - Annually</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14:paraId="2C9AD746" w14:textId="77777777" w:rsidR="0057433A" w:rsidRPr="00534B14" w:rsidRDefault="0057433A" w:rsidP="0057433A">
            <w:pPr>
              <w:jc w:val="center"/>
              <w:rPr>
                <w:b/>
                <w:bCs/>
                <w:color w:val="000000"/>
                <w:sz w:val="20"/>
                <w:szCs w:val="20"/>
              </w:rPr>
            </w:pPr>
            <w:r w:rsidRPr="00534B14">
              <w:rPr>
                <w:b/>
                <w:bCs/>
                <w:color w:val="000000"/>
                <w:sz w:val="20"/>
                <w:szCs w:val="20"/>
              </w:rPr>
              <w:t>Net Benefits - Total</w:t>
            </w:r>
          </w:p>
        </w:tc>
      </w:tr>
      <w:tr w:rsidR="00DA3762" w:rsidRPr="00534B14" w14:paraId="197B5459" w14:textId="77777777" w:rsidTr="0057433A">
        <w:trPr>
          <w:trHeight w:val="342"/>
          <w:jc w:val="center"/>
        </w:trPr>
        <w:tc>
          <w:tcPr>
            <w:tcW w:w="1665" w:type="dxa"/>
            <w:tcBorders>
              <w:top w:val="nil"/>
              <w:left w:val="single" w:sz="4" w:space="0" w:color="auto"/>
              <w:bottom w:val="single" w:sz="4" w:space="0" w:color="auto"/>
              <w:right w:val="single" w:sz="4" w:space="0" w:color="auto"/>
            </w:tcBorders>
            <w:shd w:val="clear" w:color="000000" w:fill="D9D9D9"/>
            <w:noWrap/>
            <w:vAlign w:val="center"/>
            <w:hideMark/>
          </w:tcPr>
          <w:p w14:paraId="258AD81E" w14:textId="77777777" w:rsidR="0057433A" w:rsidRPr="00534B14" w:rsidRDefault="0057433A" w:rsidP="0057433A">
            <w:pPr>
              <w:jc w:val="center"/>
              <w:rPr>
                <w:color w:val="000000"/>
                <w:sz w:val="20"/>
                <w:szCs w:val="20"/>
              </w:rPr>
            </w:pPr>
            <w:r w:rsidRPr="00534B14">
              <w:rPr>
                <w:color w:val="000000"/>
                <w:sz w:val="20"/>
                <w:szCs w:val="20"/>
              </w:rPr>
              <w:t xml:space="preserve">$8,653,403.92 </w:t>
            </w:r>
          </w:p>
        </w:tc>
        <w:tc>
          <w:tcPr>
            <w:tcW w:w="1469" w:type="dxa"/>
            <w:tcBorders>
              <w:top w:val="nil"/>
              <w:left w:val="nil"/>
              <w:bottom w:val="single" w:sz="4" w:space="0" w:color="auto"/>
              <w:right w:val="single" w:sz="4" w:space="0" w:color="auto"/>
            </w:tcBorders>
            <w:shd w:val="clear" w:color="000000" w:fill="D9D9D9"/>
            <w:noWrap/>
            <w:vAlign w:val="center"/>
            <w:hideMark/>
          </w:tcPr>
          <w:p w14:paraId="5A91ABA6" w14:textId="77777777" w:rsidR="0057433A" w:rsidRPr="00534B14" w:rsidRDefault="0057433A" w:rsidP="0057433A">
            <w:pPr>
              <w:jc w:val="center"/>
              <w:rPr>
                <w:color w:val="000000"/>
                <w:sz w:val="20"/>
                <w:szCs w:val="20"/>
              </w:rPr>
            </w:pPr>
            <w:r w:rsidRPr="00534B14">
              <w:rPr>
                <w:color w:val="000000"/>
                <w:sz w:val="20"/>
                <w:szCs w:val="20"/>
              </w:rPr>
              <w:t xml:space="preserve">$1,822,285.72 </w:t>
            </w:r>
          </w:p>
        </w:tc>
        <w:tc>
          <w:tcPr>
            <w:tcW w:w="1884" w:type="dxa"/>
            <w:tcBorders>
              <w:top w:val="nil"/>
              <w:left w:val="nil"/>
              <w:bottom w:val="single" w:sz="4" w:space="0" w:color="auto"/>
              <w:right w:val="single" w:sz="4" w:space="0" w:color="auto"/>
            </w:tcBorders>
            <w:shd w:val="clear" w:color="000000" w:fill="D9D9D9"/>
            <w:noWrap/>
            <w:vAlign w:val="center"/>
            <w:hideMark/>
          </w:tcPr>
          <w:p w14:paraId="2172D45A" w14:textId="77777777" w:rsidR="0057433A" w:rsidRPr="00534B14" w:rsidRDefault="0057433A" w:rsidP="0057433A">
            <w:pPr>
              <w:jc w:val="center"/>
              <w:rPr>
                <w:color w:val="000000"/>
                <w:sz w:val="20"/>
                <w:szCs w:val="20"/>
              </w:rPr>
            </w:pPr>
            <w:r w:rsidRPr="00534B14">
              <w:rPr>
                <w:color w:val="000000"/>
                <w:sz w:val="20"/>
                <w:szCs w:val="20"/>
              </w:rPr>
              <w:t>$4.75</w:t>
            </w:r>
          </w:p>
        </w:tc>
        <w:tc>
          <w:tcPr>
            <w:tcW w:w="2103" w:type="dxa"/>
            <w:tcBorders>
              <w:top w:val="nil"/>
              <w:left w:val="nil"/>
              <w:bottom w:val="single" w:sz="4" w:space="0" w:color="auto"/>
              <w:right w:val="single" w:sz="4" w:space="0" w:color="auto"/>
            </w:tcBorders>
            <w:shd w:val="clear" w:color="000000" w:fill="D9D9D9"/>
            <w:noWrap/>
            <w:vAlign w:val="center"/>
            <w:hideMark/>
          </w:tcPr>
          <w:p w14:paraId="4D493A64" w14:textId="77777777" w:rsidR="0057433A" w:rsidRPr="00534B14" w:rsidRDefault="0057433A" w:rsidP="0057433A">
            <w:pPr>
              <w:jc w:val="center"/>
              <w:rPr>
                <w:b/>
                <w:bCs/>
                <w:color w:val="000000"/>
                <w:sz w:val="20"/>
                <w:szCs w:val="20"/>
              </w:rPr>
            </w:pPr>
            <w:r w:rsidRPr="00534B14">
              <w:rPr>
                <w:b/>
                <w:bCs/>
                <w:color w:val="000000"/>
                <w:sz w:val="20"/>
                <w:szCs w:val="20"/>
              </w:rPr>
              <w:t xml:space="preserve">$6,831,118.20 </w:t>
            </w:r>
          </w:p>
        </w:tc>
        <w:tc>
          <w:tcPr>
            <w:tcW w:w="1756" w:type="dxa"/>
            <w:tcBorders>
              <w:top w:val="nil"/>
              <w:left w:val="nil"/>
              <w:bottom w:val="single" w:sz="4" w:space="0" w:color="auto"/>
              <w:right w:val="single" w:sz="4" w:space="0" w:color="auto"/>
            </w:tcBorders>
            <w:shd w:val="clear" w:color="000000" w:fill="D9D9D9"/>
            <w:noWrap/>
            <w:vAlign w:val="center"/>
            <w:hideMark/>
          </w:tcPr>
          <w:p w14:paraId="0D51E2ED" w14:textId="77777777" w:rsidR="0057433A" w:rsidRPr="00534B14" w:rsidRDefault="0057433A" w:rsidP="0057433A">
            <w:pPr>
              <w:jc w:val="center"/>
              <w:rPr>
                <w:b/>
                <w:bCs/>
                <w:color w:val="000000"/>
                <w:sz w:val="20"/>
                <w:szCs w:val="20"/>
              </w:rPr>
            </w:pPr>
            <w:r w:rsidRPr="00534B14">
              <w:rPr>
                <w:b/>
                <w:bCs/>
                <w:color w:val="000000"/>
                <w:sz w:val="20"/>
                <w:szCs w:val="20"/>
              </w:rPr>
              <w:t>$118,951,270.13</w:t>
            </w:r>
          </w:p>
        </w:tc>
      </w:tr>
    </w:tbl>
    <w:p w14:paraId="3B52DA7F" w14:textId="2AAACF0A" w:rsidR="0057433A" w:rsidRPr="00C868F2" w:rsidRDefault="0057433A" w:rsidP="00DB6523">
      <w:pPr>
        <w:spacing w:line="480" w:lineRule="auto"/>
        <w:rPr>
          <w:color w:val="000000" w:themeColor="text1"/>
        </w:rPr>
      </w:pPr>
    </w:p>
    <w:p w14:paraId="50987D9B" w14:textId="77777777" w:rsidR="009217A7" w:rsidRDefault="009217A7" w:rsidP="0057433A">
      <w:pPr>
        <w:spacing w:line="480" w:lineRule="auto"/>
        <w:ind w:firstLine="720"/>
        <w:rPr>
          <w:color w:val="000000" w:themeColor="text1"/>
        </w:rPr>
      </w:pPr>
    </w:p>
    <w:p w14:paraId="6F54618E" w14:textId="77777777" w:rsidR="009217A7" w:rsidRDefault="009217A7" w:rsidP="0057433A">
      <w:pPr>
        <w:spacing w:line="480" w:lineRule="auto"/>
        <w:ind w:firstLine="720"/>
        <w:rPr>
          <w:color w:val="000000" w:themeColor="text1"/>
        </w:rPr>
      </w:pPr>
    </w:p>
    <w:p w14:paraId="1E234C72" w14:textId="77777777" w:rsidR="009217A7" w:rsidRDefault="009217A7" w:rsidP="0057433A">
      <w:pPr>
        <w:spacing w:line="480" w:lineRule="auto"/>
        <w:ind w:firstLine="720"/>
        <w:rPr>
          <w:color w:val="000000" w:themeColor="text1"/>
        </w:rPr>
      </w:pPr>
    </w:p>
    <w:p w14:paraId="4D46F337" w14:textId="77777777" w:rsidR="009217A7" w:rsidRDefault="009217A7" w:rsidP="0057433A">
      <w:pPr>
        <w:spacing w:line="480" w:lineRule="auto"/>
        <w:ind w:firstLine="720"/>
        <w:rPr>
          <w:color w:val="000000" w:themeColor="text1"/>
        </w:rPr>
      </w:pPr>
    </w:p>
    <w:p w14:paraId="6FC2BFCB" w14:textId="77777777" w:rsidR="009217A7" w:rsidRDefault="009217A7" w:rsidP="0057433A">
      <w:pPr>
        <w:spacing w:line="480" w:lineRule="auto"/>
        <w:ind w:firstLine="720"/>
        <w:rPr>
          <w:color w:val="000000" w:themeColor="text1"/>
        </w:rPr>
      </w:pPr>
    </w:p>
    <w:p w14:paraId="713D4F32" w14:textId="77777777" w:rsidR="009217A7" w:rsidRDefault="009217A7" w:rsidP="0057433A">
      <w:pPr>
        <w:spacing w:line="480" w:lineRule="auto"/>
        <w:ind w:firstLine="720"/>
        <w:rPr>
          <w:color w:val="000000" w:themeColor="text1"/>
        </w:rPr>
      </w:pPr>
    </w:p>
    <w:p w14:paraId="356AC0B1" w14:textId="58141F02" w:rsidR="009217A7" w:rsidRPr="00C868F2" w:rsidRDefault="0057433A" w:rsidP="009217A7">
      <w:pPr>
        <w:spacing w:line="480" w:lineRule="auto"/>
        <w:ind w:firstLine="720"/>
        <w:rPr>
          <w:color w:val="000000" w:themeColor="text1"/>
        </w:rPr>
      </w:pPr>
      <w:r w:rsidRPr="00C868F2">
        <w:rPr>
          <w:color w:val="000000" w:themeColor="text1"/>
        </w:rPr>
        <w:lastRenderedPageBreak/>
        <w:t>For the 75% decreased estimate, the median income per capita is decreased to $</w:t>
      </w:r>
      <w:r w:rsidR="00E372EF" w:rsidRPr="00C868F2">
        <w:rPr>
          <w:color w:val="000000" w:themeColor="text1"/>
        </w:rPr>
        <w:t>8,175</w:t>
      </w:r>
      <w:r w:rsidRPr="00C868F2">
        <w:rPr>
          <w:color w:val="000000" w:themeColor="text1"/>
        </w:rPr>
        <w:t xml:space="preserve"> bringing the present value of an averted overdoses to approximately $</w:t>
      </w:r>
      <w:r w:rsidR="00E372EF" w:rsidRPr="00C868F2">
        <w:rPr>
          <w:color w:val="000000" w:themeColor="text1"/>
        </w:rPr>
        <w:t>1.1</w:t>
      </w:r>
      <w:r w:rsidRPr="00C868F2">
        <w:rPr>
          <w:color w:val="000000" w:themeColor="text1"/>
        </w:rPr>
        <w:t xml:space="preserve"> million per year. This is based on the original estimation of 13.2 averted fatal overdoses per year. According to this estimate, for every $1 spent, the SCS yields $</w:t>
      </w:r>
      <w:r w:rsidR="00E372EF" w:rsidRPr="00C868F2">
        <w:rPr>
          <w:color w:val="000000" w:themeColor="text1"/>
        </w:rPr>
        <w:t>1.86</w:t>
      </w:r>
      <w:r w:rsidRPr="00C868F2">
        <w:rPr>
          <w:color w:val="000000" w:themeColor="text1"/>
        </w:rPr>
        <w:t xml:space="preserve"> in benefits for a total of $</w:t>
      </w:r>
      <w:r w:rsidR="00E372EF" w:rsidRPr="00C868F2">
        <w:rPr>
          <w:color w:val="000000" w:themeColor="text1"/>
        </w:rPr>
        <w:t>1,561,429</w:t>
      </w:r>
      <w:r w:rsidRPr="00C868F2">
        <w:rPr>
          <w:color w:val="000000" w:themeColor="text1"/>
        </w:rPr>
        <w:t xml:space="preserve"> in annual net benefits. Using a 3% discount rate over the span of 25 years yields a net present value of $</w:t>
      </w:r>
      <w:r w:rsidR="00E372EF" w:rsidRPr="00C868F2">
        <w:rPr>
          <w:color w:val="000000" w:themeColor="text1"/>
        </w:rPr>
        <w:t>27,189,390</w:t>
      </w:r>
      <w:r w:rsidRPr="00C868F2">
        <w:rPr>
          <w:color w:val="000000" w:themeColor="text1"/>
        </w:rPr>
        <w:t xml:space="preserve"> in benefits (see table 7).</w:t>
      </w:r>
    </w:p>
    <w:tbl>
      <w:tblPr>
        <w:tblW w:w="9012" w:type="dxa"/>
        <w:jc w:val="center"/>
        <w:tblLook w:val="04A0" w:firstRow="1" w:lastRow="0" w:firstColumn="1" w:lastColumn="0" w:noHBand="0" w:noVBand="1"/>
      </w:tblPr>
      <w:tblGrid>
        <w:gridCol w:w="1690"/>
        <w:gridCol w:w="1491"/>
        <w:gridCol w:w="1912"/>
        <w:gridCol w:w="2135"/>
        <w:gridCol w:w="1784"/>
      </w:tblGrid>
      <w:tr w:rsidR="0057433A" w:rsidRPr="00534B14" w14:paraId="7BC40687" w14:textId="77777777" w:rsidTr="0057433A">
        <w:trPr>
          <w:trHeight w:val="302"/>
          <w:jc w:val="center"/>
        </w:trPr>
        <w:tc>
          <w:tcPr>
            <w:tcW w:w="9012" w:type="dxa"/>
            <w:gridSpan w:val="5"/>
            <w:tcBorders>
              <w:top w:val="nil"/>
              <w:left w:val="nil"/>
              <w:bottom w:val="nil"/>
              <w:right w:val="nil"/>
            </w:tcBorders>
            <w:shd w:val="clear" w:color="auto" w:fill="auto"/>
            <w:noWrap/>
            <w:vAlign w:val="center"/>
            <w:hideMark/>
          </w:tcPr>
          <w:p w14:paraId="05D948A1" w14:textId="740F9067" w:rsidR="0057433A" w:rsidRPr="00534B14" w:rsidRDefault="0057433A">
            <w:pPr>
              <w:rPr>
                <w:b/>
                <w:bCs/>
                <w:i/>
                <w:iCs/>
                <w:color w:val="000000"/>
                <w:sz w:val="20"/>
                <w:szCs w:val="20"/>
              </w:rPr>
            </w:pPr>
            <w:r w:rsidRPr="00534B14">
              <w:rPr>
                <w:b/>
                <w:bCs/>
                <w:i/>
                <w:iCs/>
                <w:color w:val="000000"/>
                <w:sz w:val="20"/>
                <w:szCs w:val="20"/>
              </w:rPr>
              <w:t>Table 7. Estimated 75% Decrease in Median Income Results using the Present Value of a Life</w:t>
            </w:r>
          </w:p>
        </w:tc>
      </w:tr>
      <w:tr w:rsidR="0057433A" w:rsidRPr="00534B14" w14:paraId="0B13E063" w14:textId="77777777" w:rsidTr="0057433A">
        <w:trPr>
          <w:trHeight w:val="302"/>
          <w:jc w:val="center"/>
        </w:trPr>
        <w:tc>
          <w:tcPr>
            <w:tcW w:w="1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B522B" w14:textId="77777777" w:rsidR="0057433A" w:rsidRPr="00534B14" w:rsidRDefault="0057433A">
            <w:pPr>
              <w:jc w:val="center"/>
              <w:rPr>
                <w:b/>
                <w:bCs/>
                <w:color w:val="000000"/>
                <w:sz w:val="20"/>
                <w:szCs w:val="20"/>
              </w:rPr>
            </w:pPr>
            <w:r w:rsidRPr="00534B14">
              <w:rPr>
                <w:b/>
                <w:bCs/>
                <w:color w:val="000000"/>
                <w:sz w:val="20"/>
                <w:szCs w:val="20"/>
              </w:rPr>
              <w:t>Estimated Savings</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40CC0F77" w14:textId="77777777" w:rsidR="0057433A" w:rsidRPr="00534B14" w:rsidRDefault="0057433A">
            <w:pPr>
              <w:jc w:val="center"/>
              <w:rPr>
                <w:b/>
                <w:bCs/>
                <w:color w:val="000000"/>
                <w:sz w:val="20"/>
                <w:szCs w:val="20"/>
              </w:rPr>
            </w:pPr>
            <w:r w:rsidRPr="00534B14">
              <w:rPr>
                <w:b/>
                <w:bCs/>
                <w:color w:val="000000"/>
                <w:sz w:val="20"/>
                <w:szCs w:val="20"/>
              </w:rPr>
              <w:t xml:space="preserve">Estimated Costs </w:t>
            </w:r>
          </w:p>
        </w:tc>
        <w:tc>
          <w:tcPr>
            <w:tcW w:w="1912" w:type="dxa"/>
            <w:tcBorders>
              <w:top w:val="single" w:sz="4" w:space="0" w:color="auto"/>
              <w:left w:val="nil"/>
              <w:bottom w:val="single" w:sz="4" w:space="0" w:color="auto"/>
              <w:right w:val="single" w:sz="4" w:space="0" w:color="auto"/>
            </w:tcBorders>
            <w:shd w:val="clear" w:color="auto" w:fill="auto"/>
            <w:noWrap/>
            <w:vAlign w:val="center"/>
            <w:hideMark/>
          </w:tcPr>
          <w:p w14:paraId="6F7A2BE2" w14:textId="77777777" w:rsidR="0057433A" w:rsidRPr="00534B14" w:rsidRDefault="0057433A">
            <w:pPr>
              <w:jc w:val="center"/>
              <w:rPr>
                <w:b/>
                <w:bCs/>
                <w:color w:val="000000"/>
                <w:sz w:val="20"/>
                <w:szCs w:val="20"/>
              </w:rPr>
            </w:pPr>
            <w:r w:rsidRPr="00534B14">
              <w:rPr>
                <w:b/>
                <w:bCs/>
                <w:color w:val="000000"/>
                <w:sz w:val="20"/>
                <w:szCs w:val="20"/>
              </w:rPr>
              <w:t>Benefit to Cost Ratio</w:t>
            </w:r>
          </w:p>
        </w:tc>
        <w:tc>
          <w:tcPr>
            <w:tcW w:w="2135" w:type="dxa"/>
            <w:tcBorders>
              <w:top w:val="single" w:sz="4" w:space="0" w:color="auto"/>
              <w:left w:val="nil"/>
              <w:bottom w:val="single" w:sz="4" w:space="0" w:color="auto"/>
              <w:right w:val="single" w:sz="4" w:space="0" w:color="auto"/>
            </w:tcBorders>
            <w:shd w:val="clear" w:color="auto" w:fill="auto"/>
            <w:noWrap/>
            <w:vAlign w:val="center"/>
            <w:hideMark/>
          </w:tcPr>
          <w:p w14:paraId="3CF26D45" w14:textId="77777777" w:rsidR="0057433A" w:rsidRPr="00534B14" w:rsidRDefault="0057433A">
            <w:pPr>
              <w:jc w:val="center"/>
              <w:rPr>
                <w:b/>
                <w:bCs/>
                <w:color w:val="000000"/>
                <w:sz w:val="20"/>
                <w:szCs w:val="20"/>
              </w:rPr>
            </w:pPr>
            <w:r w:rsidRPr="00534B14">
              <w:rPr>
                <w:b/>
                <w:bCs/>
                <w:color w:val="000000"/>
                <w:sz w:val="20"/>
                <w:szCs w:val="20"/>
              </w:rPr>
              <w:t>Net Benefits - Annually</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3B56C6C2" w14:textId="77777777" w:rsidR="0057433A" w:rsidRPr="00534B14" w:rsidRDefault="0057433A">
            <w:pPr>
              <w:jc w:val="center"/>
              <w:rPr>
                <w:b/>
                <w:bCs/>
                <w:color w:val="000000"/>
                <w:sz w:val="20"/>
                <w:szCs w:val="20"/>
              </w:rPr>
            </w:pPr>
            <w:r w:rsidRPr="00534B14">
              <w:rPr>
                <w:b/>
                <w:bCs/>
                <w:color w:val="000000"/>
                <w:sz w:val="20"/>
                <w:szCs w:val="20"/>
              </w:rPr>
              <w:t>Net Benefits - Total</w:t>
            </w:r>
          </w:p>
        </w:tc>
      </w:tr>
      <w:tr w:rsidR="0057433A" w:rsidRPr="00534B14" w14:paraId="4BCAF6AB" w14:textId="77777777" w:rsidTr="0057433A">
        <w:trPr>
          <w:trHeight w:val="302"/>
          <w:jc w:val="center"/>
        </w:trPr>
        <w:tc>
          <w:tcPr>
            <w:tcW w:w="1690" w:type="dxa"/>
            <w:tcBorders>
              <w:top w:val="nil"/>
              <w:left w:val="single" w:sz="4" w:space="0" w:color="auto"/>
              <w:bottom w:val="single" w:sz="4" w:space="0" w:color="auto"/>
              <w:right w:val="single" w:sz="4" w:space="0" w:color="auto"/>
            </w:tcBorders>
            <w:shd w:val="clear" w:color="000000" w:fill="D9D9D9"/>
            <w:noWrap/>
            <w:vAlign w:val="center"/>
            <w:hideMark/>
          </w:tcPr>
          <w:p w14:paraId="1493FCA0" w14:textId="77777777" w:rsidR="0057433A" w:rsidRPr="00534B14" w:rsidRDefault="0057433A">
            <w:pPr>
              <w:jc w:val="center"/>
              <w:rPr>
                <w:color w:val="000000"/>
                <w:sz w:val="20"/>
                <w:szCs w:val="20"/>
              </w:rPr>
            </w:pPr>
            <w:r w:rsidRPr="00534B14">
              <w:rPr>
                <w:color w:val="000000"/>
                <w:sz w:val="20"/>
                <w:szCs w:val="20"/>
              </w:rPr>
              <w:t xml:space="preserve">$3,383,714.53 </w:t>
            </w:r>
          </w:p>
        </w:tc>
        <w:tc>
          <w:tcPr>
            <w:tcW w:w="1491" w:type="dxa"/>
            <w:tcBorders>
              <w:top w:val="nil"/>
              <w:left w:val="nil"/>
              <w:bottom w:val="single" w:sz="4" w:space="0" w:color="auto"/>
              <w:right w:val="single" w:sz="4" w:space="0" w:color="auto"/>
            </w:tcBorders>
            <w:shd w:val="clear" w:color="000000" w:fill="D9D9D9"/>
            <w:noWrap/>
            <w:vAlign w:val="center"/>
            <w:hideMark/>
          </w:tcPr>
          <w:p w14:paraId="0C4F449E" w14:textId="77777777" w:rsidR="0057433A" w:rsidRPr="00534B14" w:rsidRDefault="0057433A">
            <w:pPr>
              <w:jc w:val="center"/>
              <w:rPr>
                <w:color w:val="000000"/>
                <w:sz w:val="20"/>
                <w:szCs w:val="20"/>
              </w:rPr>
            </w:pPr>
            <w:r w:rsidRPr="00534B14">
              <w:rPr>
                <w:color w:val="000000"/>
                <w:sz w:val="20"/>
                <w:szCs w:val="20"/>
              </w:rPr>
              <w:t xml:space="preserve">$1,822,285.72 </w:t>
            </w:r>
          </w:p>
        </w:tc>
        <w:tc>
          <w:tcPr>
            <w:tcW w:w="1912" w:type="dxa"/>
            <w:tcBorders>
              <w:top w:val="nil"/>
              <w:left w:val="nil"/>
              <w:bottom w:val="single" w:sz="4" w:space="0" w:color="auto"/>
              <w:right w:val="single" w:sz="4" w:space="0" w:color="auto"/>
            </w:tcBorders>
            <w:shd w:val="clear" w:color="000000" w:fill="D9D9D9"/>
            <w:noWrap/>
            <w:vAlign w:val="center"/>
            <w:hideMark/>
          </w:tcPr>
          <w:p w14:paraId="5808279B" w14:textId="77777777" w:rsidR="0057433A" w:rsidRPr="00534B14" w:rsidRDefault="0057433A">
            <w:pPr>
              <w:jc w:val="center"/>
              <w:rPr>
                <w:color w:val="000000"/>
                <w:sz w:val="20"/>
                <w:szCs w:val="20"/>
              </w:rPr>
            </w:pPr>
            <w:r w:rsidRPr="00534B14">
              <w:rPr>
                <w:color w:val="000000"/>
                <w:sz w:val="20"/>
                <w:szCs w:val="20"/>
              </w:rPr>
              <w:t>$1.86</w:t>
            </w:r>
          </w:p>
        </w:tc>
        <w:tc>
          <w:tcPr>
            <w:tcW w:w="2135" w:type="dxa"/>
            <w:tcBorders>
              <w:top w:val="nil"/>
              <w:left w:val="nil"/>
              <w:bottom w:val="single" w:sz="4" w:space="0" w:color="auto"/>
              <w:right w:val="single" w:sz="4" w:space="0" w:color="auto"/>
            </w:tcBorders>
            <w:shd w:val="clear" w:color="000000" w:fill="D9D9D9"/>
            <w:noWrap/>
            <w:vAlign w:val="center"/>
            <w:hideMark/>
          </w:tcPr>
          <w:p w14:paraId="4BE446B7" w14:textId="77777777" w:rsidR="0057433A" w:rsidRPr="00534B14" w:rsidRDefault="0057433A">
            <w:pPr>
              <w:jc w:val="center"/>
              <w:rPr>
                <w:b/>
                <w:bCs/>
                <w:color w:val="000000"/>
                <w:sz w:val="20"/>
                <w:szCs w:val="20"/>
              </w:rPr>
            </w:pPr>
            <w:r w:rsidRPr="00534B14">
              <w:rPr>
                <w:b/>
                <w:bCs/>
                <w:color w:val="000000"/>
                <w:sz w:val="20"/>
                <w:szCs w:val="20"/>
              </w:rPr>
              <w:t xml:space="preserve">$1,561,428.81 </w:t>
            </w:r>
          </w:p>
        </w:tc>
        <w:tc>
          <w:tcPr>
            <w:tcW w:w="1783" w:type="dxa"/>
            <w:tcBorders>
              <w:top w:val="nil"/>
              <w:left w:val="nil"/>
              <w:bottom w:val="single" w:sz="4" w:space="0" w:color="auto"/>
              <w:right w:val="single" w:sz="4" w:space="0" w:color="auto"/>
            </w:tcBorders>
            <w:shd w:val="clear" w:color="000000" w:fill="D9D9D9"/>
            <w:noWrap/>
            <w:vAlign w:val="center"/>
            <w:hideMark/>
          </w:tcPr>
          <w:p w14:paraId="0F79B96B" w14:textId="77777777" w:rsidR="0057433A" w:rsidRPr="00534B14" w:rsidRDefault="0057433A">
            <w:pPr>
              <w:jc w:val="center"/>
              <w:rPr>
                <w:b/>
                <w:bCs/>
                <w:color w:val="000000"/>
                <w:sz w:val="20"/>
                <w:szCs w:val="20"/>
              </w:rPr>
            </w:pPr>
            <w:r w:rsidRPr="00534B14">
              <w:rPr>
                <w:b/>
                <w:bCs/>
                <w:color w:val="000000"/>
                <w:sz w:val="20"/>
                <w:szCs w:val="20"/>
              </w:rPr>
              <w:t>$27,189,390.47</w:t>
            </w:r>
          </w:p>
        </w:tc>
      </w:tr>
    </w:tbl>
    <w:p w14:paraId="10072AE3" w14:textId="77777777" w:rsidR="0057433A" w:rsidRPr="00C868F2" w:rsidRDefault="0057433A" w:rsidP="0057433A">
      <w:pPr>
        <w:spacing w:line="480" w:lineRule="auto"/>
        <w:ind w:firstLine="720"/>
        <w:rPr>
          <w:color w:val="000000" w:themeColor="text1"/>
        </w:rPr>
      </w:pPr>
    </w:p>
    <w:p w14:paraId="532BB14E" w14:textId="1901F79A" w:rsidR="000D3CD6" w:rsidRPr="00C868F2" w:rsidRDefault="000D3CD6" w:rsidP="000D3CD6">
      <w:pPr>
        <w:pStyle w:val="Heading2"/>
        <w:spacing w:line="480" w:lineRule="auto"/>
        <w:rPr>
          <w:rFonts w:ascii="Times New Roman" w:hAnsi="Times New Roman" w:cs="Times New Roman"/>
          <w:b/>
          <w:bCs/>
          <w:color w:val="000000" w:themeColor="text1"/>
          <w:sz w:val="24"/>
          <w:szCs w:val="24"/>
        </w:rPr>
      </w:pPr>
      <w:bookmarkStart w:id="30" w:name="_Toc103539050"/>
      <w:r w:rsidRPr="00C868F2">
        <w:rPr>
          <w:rFonts w:ascii="Times New Roman" w:hAnsi="Times New Roman" w:cs="Times New Roman"/>
          <w:b/>
          <w:bCs/>
          <w:color w:val="000000" w:themeColor="text1"/>
          <w:sz w:val="24"/>
          <w:szCs w:val="24"/>
        </w:rPr>
        <w:t>Overall Results</w:t>
      </w:r>
      <w:r w:rsidR="00931046" w:rsidRPr="00C868F2">
        <w:rPr>
          <w:rFonts w:ascii="Times New Roman" w:hAnsi="Times New Roman" w:cs="Times New Roman"/>
          <w:b/>
          <w:bCs/>
          <w:color w:val="000000" w:themeColor="text1"/>
          <w:sz w:val="24"/>
          <w:szCs w:val="24"/>
        </w:rPr>
        <w:t xml:space="preserve"> using the </w:t>
      </w:r>
      <w:r w:rsidRPr="00C868F2">
        <w:rPr>
          <w:rFonts w:ascii="Times New Roman" w:hAnsi="Times New Roman" w:cs="Times New Roman"/>
          <w:b/>
          <w:bCs/>
          <w:color w:val="000000" w:themeColor="text1"/>
          <w:sz w:val="24"/>
          <w:szCs w:val="24"/>
        </w:rPr>
        <w:t>Value of a Statistical Life</w:t>
      </w:r>
      <w:bookmarkEnd w:id="30"/>
    </w:p>
    <w:p w14:paraId="64FD14AD" w14:textId="2ADD40AD" w:rsidR="005C3F33" w:rsidRPr="00C868F2" w:rsidRDefault="00931046" w:rsidP="00EB355A">
      <w:pPr>
        <w:spacing w:line="480" w:lineRule="auto"/>
        <w:rPr>
          <w:color w:val="000000" w:themeColor="text1"/>
        </w:rPr>
      </w:pPr>
      <w:r w:rsidRPr="00C868F2">
        <w:rPr>
          <w:color w:val="000000" w:themeColor="text1"/>
        </w:rPr>
        <w:tab/>
        <w:t xml:space="preserve">As previously stated, using the VSL is an improvement upon the 2017 study in order for it to be up to HHS standards for CBA’s. </w:t>
      </w:r>
      <w:r w:rsidR="00EB355A" w:rsidRPr="00C868F2">
        <w:rPr>
          <w:color w:val="000000" w:themeColor="text1"/>
        </w:rPr>
        <w:t xml:space="preserve">When using the VSL, the estimated net benefits are much higher compared to the estimates when using the present value of a life. The annual </w:t>
      </w:r>
      <w:r w:rsidR="00EB355A" w:rsidRPr="00E9370E">
        <w:rPr>
          <w:color w:val="000000" w:themeColor="text1"/>
        </w:rPr>
        <w:t>estimated benefit for overdose mortality increases to $1</w:t>
      </w:r>
      <w:r w:rsidR="005C3F33" w:rsidRPr="00E9370E">
        <w:rPr>
          <w:color w:val="000000" w:themeColor="text1"/>
        </w:rPr>
        <w:t>8</w:t>
      </w:r>
      <w:r w:rsidR="00EB355A" w:rsidRPr="00E9370E">
        <w:rPr>
          <w:color w:val="000000" w:themeColor="text1"/>
        </w:rPr>
        <w:t>9.</w:t>
      </w:r>
      <w:r w:rsidR="005C3F33" w:rsidRPr="00E9370E">
        <w:rPr>
          <w:color w:val="000000" w:themeColor="text1"/>
        </w:rPr>
        <w:t>7</w:t>
      </w:r>
      <w:r w:rsidR="00EB355A" w:rsidRPr="00E9370E">
        <w:rPr>
          <w:color w:val="000000" w:themeColor="text1"/>
        </w:rPr>
        <w:t xml:space="preserve"> million. According to this estimate, for every $1 spent on SCS, the site yields $</w:t>
      </w:r>
      <w:r w:rsidR="005C3F33" w:rsidRPr="00E9370E">
        <w:rPr>
          <w:color w:val="000000" w:themeColor="text1"/>
        </w:rPr>
        <w:t>105.37</w:t>
      </w:r>
      <w:r w:rsidR="00EB355A" w:rsidRPr="00E9370E">
        <w:rPr>
          <w:color w:val="000000" w:themeColor="text1"/>
        </w:rPr>
        <w:t xml:space="preserve"> in benefits for a total of </w:t>
      </w:r>
      <w:r w:rsidR="005C3F33" w:rsidRPr="00E9370E">
        <w:rPr>
          <w:color w:val="000000" w:themeColor="text1"/>
        </w:rPr>
        <w:t>$190,192,824</w:t>
      </w:r>
      <w:r w:rsidR="00EB355A" w:rsidRPr="00E9370E">
        <w:rPr>
          <w:color w:val="000000" w:themeColor="text1"/>
        </w:rPr>
        <w:t xml:space="preserve"> in annual net benefits</w:t>
      </w:r>
      <w:r w:rsidR="005C3F33" w:rsidRPr="00E9370E">
        <w:rPr>
          <w:color w:val="000000" w:themeColor="text1"/>
        </w:rPr>
        <w:t xml:space="preserve">. </w:t>
      </w:r>
      <w:r w:rsidR="00EB355A" w:rsidRPr="00E9370E">
        <w:rPr>
          <w:color w:val="000000" w:themeColor="text1"/>
        </w:rPr>
        <w:t>Using a 3 percent discount rate over the span of 25 years</w:t>
      </w:r>
      <w:r w:rsidR="005C3F33" w:rsidRPr="00E9370E">
        <w:rPr>
          <w:color w:val="000000" w:themeColor="text1"/>
        </w:rPr>
        <w:t xml:space="preserve"> for overdose morbidity benefits and medication-assisted treatment benefits; and using HHS guidelines for VSL, the SCS</w:t>
      </w:r>
      <w:r w:rsidR="00EB355A" w:rsidRPr="00E9370E">
        <w:rPr>
          <w:color w:val="000000" w:themeColor="text1"/>
        </w:rPr>
        <w:t xml:space="preserve"> yields a net present value of $</w:t>
      </w:r>
      <w:r w:rsidR="005C3F33" w:rsidRPr="00E9370E">
        <w:rPr>
          <w:color w:val="000000" w:themeColor="text1"/>
        </w:rPr>
        <w:t xml:space="preserve">4,940,655,681 </w:t>
      </w:r>
      <w:r w:rsidR="00EB355A" w:rsidRPr="00E9370E">
        <w:rPr>
          <w:color w:val="000000" w:themeColor="text1"/>
        </w:rPr>
        <w:t xml:space="preserve">in benefits. </w:t>
      </w:r>
      <w:r w:rsidR="00E9370E" w:rsidRPr="00E9370E">
        <w:rPr>
          <w:color w:val="000000" w:themeColor="text1"/>
        </w:rPr>
        <w:t>See</w:t>
      </w:r>
      <w:r w:rsidR="00E9370E">
        <w:rPr>
          <w:color w:val="000000" w:themeColor="text1"/>
        </w:rPr>
        <w:t xml:space="preserve"> table 8. </w:t>
      </w:r>
    </w:p>
    <w:tbl>
      <w:tblPr>
        <w:tblW w:w="9010" w:type="dxa"/>
        <w:jc w:val="center"/>
        <w:tblLook w:val="04A0" w:firstRow="1" w:lastRow="0" w:firstColumn="1" w:lastColumn="0" w:noHBand="0" w:noVBand="1"/>
      </w:tblPr>
      <w:tblGrid>
        <w:gridCol w:w="1639"/>
        <w:gridCol w:w="1429"/>
        <w:gridCol w:w="1948"/>
        <w:gridCol w:w="2175"/>
        <w:gridCol w:w="1819"/>
      </w:tblGrid>
      <w:tr w:rsidR="000A6F85" w:rsidRPr="00534B14" w14:paraId="3D0BDA9C" w14:textId="77777777" w:rsidTr="00DA3762">
        <w:trPr>
          <w:trHeight w:val="326"/>
          <w:jc w:val="center"/>
        </w:trPr>
        <w:tc>
          <w:tcPr>
            <w:tcW w:w="9010" w:type="dxa"/>
            <w:gridSpan w:val="5"/>
            <w:tcBorders>
              <w:top w:val="nil"/>
              <w:left w:val="nil"/>
              <w:bottom w:val="nil"/>
              <w:right w:val="nil"/>
            </w:tcBorders>
            <w:shd w:val="clear" w:color="auto" w:fill="auto"/>
            <w:noWrap/>
            <w:vAlign w:val="center"/>
            <w:hideMark/>
          </w:tcPr>
          <w:p w14:paraId="19F09188" w14:textId="62DB032C" w:rsidR="000A6F85" w:rsidRPr="00534B14" w:rsidRDefault="000A6F85">
            <w:pPr>
              <w:rPr>
                <w:b/>
                <w:bCs/>
                <w:i/>
                <w:iCs/>
                <w:color w:val="000000"/>
                <w:sz w:val="20"/>
                <w:szCs w:val="20"/>
              </w:rPr>
            </w:pPr>
            <w:r w:rsidRPr="00534B14">
              <w:rPr>
                <w:b/>
                <w:bCs/>
                <w:i/>
                <w:iCs/>
                <w:color w:val="000000"/>
                <w:sz w:val="20"/>
                <w:szCs w:val="20"/>
              </w:rPr>
              <w:t>Table 8. Estimated Results using the Value of a Statistical Life</w:t>
            </w:r>
          </w:p>
        </w:tc>
      </w:tr>
      <w:tr w:rsidR="00534B14" w:rsidRPr="00534B14" w14:paraId="2AAA4A4A" w14:textId="77777777" w:rsidTr="00534B14">
        <w:trPr>
          <w:trHeight w:val="326"/>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E6219" w14:textId="0EAFE992" w:rsidR="00534B14" w:rsidRPr="00534B14" w:rsidRDefault="00534B14" w:rsidP="00534B14">
            <w:pPr>
              <w:jc w:val="center"/>
              <w:rPr>
                <w:b/>
                <w:bCs/>
                <w:color w:val="000000"/>
                <w:sz w:val="20"/>
                <w:szCs w:val="20"/>
              </w:rPr>
            </w:pPr>
            <w:r>
              <w:rPr>
                <w:b/>
                <w:bCs/>
                <w:color w:val="000000"/>
                <w:sz w:val="20"/>
                <w:szCs w:val="20"/>
              </w:rPr>
              <w:t>Savings</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2A96213D" w14:textId="5A5A85A1" w:rsidR="00534B14" w:rsidRPr="00534B14" w:rsidRDefault="00534B14" w:rsidP="00534B14">
            <w:pPr>
              <w:jc w:val="center"/>
              <w:rPr>
                <w:b/>
                <w:bCs/>
                <w:color w:val="000000"/>
                <w:sz w:val="20"/>
                <w:szCs w:val="20"/>
              </w:rPr>
            </w:pPr>
            <w:r>
              <w:rPr>
                <w:b/>
                <w:bCs/>
                <w:color w:val="000000"/>
                <w:sz w:val="20"/>
                <w:szCs w:val="20"/>
              </w:rPr>
              <w:t xml:space="preserve">Costs </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14:paraId="5C85F7ED" w14:textId="7488CB74" w:rsidR="00534B14" w:rsidRPr="00534B14" w:rsidRDefault="00534B14" w:rsidP="00534B14">
            <w:pPr>
              <w:jc w:val="center"/>
              <w:rPr>
                <w:b/>
                <w:bCs/>
                <w:color w:val="000000"/>
                <w:sz w:val="20"/>
                <w:szCs w:val="20"/>
              </w:rPr>
            </w:pPr>
            <w:r>
              <w:rPr>
                <w:b/>
                <w:bCs/>
                <w:color w:val="000000"/>
                <w:sz w:val="20"/>
                <w:szCs w:val="20"/>
              </w:rPr>
              <w:t>Benefit to Cost Ratio</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1A8525FA" w14:textId="6746FD8C" w:rsidR="00534B14" w:rsidRPr="00534B14" w:rsidRDefault="00534B14" w:rsidP="00534B14">
            <w:pPr>
              <w:jc w:val="center"/>
              <w:rPr>
                <w:b/>
                <w:bCs/>
                <w:color w:val="000000"/>
                <w:sz w:val="20"/>
                <w:szCs w:val="20"/>
              </w:rPr>
            </w:pPr>
            <w:r>
              <w:rPr>
                <w:b/>
                <w:bCs/>
                <w:color w:val="000000"/>
                <w:sz w:val="20"/>
                <w:szCs w:val="20"/>
              </w:rPr>
              <w:t>Net Benefits - Annually</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010EAA5C" w14:textId="423DC1DC" w:rsidR="00534B14" w:rsidRPr="00534B14" w:rsidRDefault="00534B14" w:rsidP="00534B14">
            <w:pPr>
              <w:jc w:val="center"/>
              <w:rPr>
                <w:b/>
                <w:bCs/>
                <w:color w:val="000000"/>
                <w:sz w:val="20"/>
                <w:szCs w:val="20"/>
              </w:rPr>
            </w:pPr>
            <w:r>
              <w:rPr>
                <w:b/>
                <w:bCs/>
                <w:color w:val="000000"/>
                <w:sz w:val="20"/>
                <w:szCs w:val="20"/>
              </w:rPr>
              <w:t>Net Benefits - Total</w:t>
            </w:r>
          </w:p>
        </w:tc>
      </w:tr>
      <w:tr w:rsidR="00534B14" w:rsidRPr="00534B14" w14:paraId="6E756F6C" w14:textId="77777777" w:rsidTr="00534B14">
        <w:trPr>
          <w:trHeight w:val="326"/>
          <w:jc w:val="center"/>
        </w:trPr>
        <w:tc>
          <w:tcPr>
            <w:tcW w:w="1639" w:type="dxa"/>
            <w:tcBorders>
              <w:top w:val="nil"/>
              <w:left w:val="single" w:sz="4" w:space="0" w:color="auto"/>
              <w:bottom w:val="single" w:sz="4" w:space="0" w:color="auto"/>
              <w:right w:val="single" w:sz="4" w:space="0" w:color="auto"/>
            </w:tcBorders>
            <w:shd w:val="clear" w:color="000000" w:fill="D9D9D9"/>
            <w:noWrap/>
            <w:vAlign w:val="center"/>
            <w:hideMark/>
          </w:tcPr>
          <w:p w14:paraId="61F0BB92" w14:textId="5E58FCD5" w:rsidR="00534B14" w:rsidRPr="00534B14" w:rsidRDefault="00534B14" w:rsidP="00534B14">
            <w:pPr>
              <w:jc w:val="center"/>
              <w:rPr>
                <w:color w:val="000000"/>
                <w:sz w:val="20"/>
                <w:szCs w:val="20"/>
              </w:rPr>
            </w:pPr>
            <w:r>
              <w:rPr>
                <w:color w:val="000000"/>
                <w:sz w:val="20"/>
                <w:szCs w:val="20"/>
              </w:rPr>
              <w:t xml:space="preserve">$192,015,109.99 </w:t>
            </w:r>
          </w:p>
        </w:tc>
        <w:tc>
          <w:tcPr>
            <w:tcW w:w="1429" w:type="dxa"/>
            <w:tcBorders>
              <w:top w:val="nil"/>
              <w:left w:val="nil"/>
              <w:bottom w:val="single" w:sz="4" w:space="0" w:color="auto"/>
              <w:right w:val="single" w:sz="4" w:space="0" w:color="auto"/>
            </w:tcBorders>
            <w:shd w:val="clear" w:color="000000" w:fill="D9D9D9"/>
            <w:noWrap/>
            <w:vAlign w:val="center"/>
            <w:hideMark/>
          </w:tcPr>
          <w:p w14:paraId="6B58A857" w14:textId="6C74A100" w:rsidR="00534B14" w:rsidRPr="00534B14" w:rsidRDefault="00534B14" w:rsidP="00534B14">
            <w:pPr>
              <w:jc w:val="center"/>
              <w:rPr>
                <w:color w:val="000000"/>
                <w:sz w:val="20"/>
                <w:szCs w:val="20"/>
              </w:rPr>
            </w:pPr>
            <w:r>
              <w:rPr>
                <w:color w:val="000000"/>
                <w:sz w:val="20"/>
                <w:szCs w:val="20"/>
              </w:rPr>
              <w:t xml:space="preserve">$1,822,285.72 </w:t>
            </w:r>
          </w:p>
        </w:tc>
        <w:tc>
          <w:tcPr>
            <w:tcW w:w="1948" w:type="dxa"/>
            <w:tcBorders>
              <w:top w:val="nil"/>
              <w:left w:val="nil"/>
              <w:bottom w:val="single" w:sz="4" w:space="0" w:color="auto"/>
              <w:right w:val="single" w:sz="4" w:space="0" w:color="auto"/>
            </w:tcBorders>
            <w:shd w:val="clear" w:color="000000" w:fill="D9D9D9"/>
            <w:noWrap/>
            <w:vAlign w:val="center"/>
            <w:hideMark/>
          </w:tcPr>
          <w:p w14:paraId="433F0119" w14:textId="3CB8F706" w:rsidR="00534B14" w:rsidRPr="00534B14" w:rsidRDefault="00534B14" w:rsidP="00534B14">
            <w:pPr>
              <w:jc w:val="center"/>
              <w:rPr>
                <w:i/>
                <w:iCs/>
                <w:color w:val="000000"/>
                <w:sz w:val="20"/>
                <w:szCs w:val="20"/>
              </w:rPr>
            </w:pPr>
            <w:r>
              <w:rPr>
                <w:i/>
                <w:iCs/>
                <w:color w:val="000000"/>
                <w:sz w:val="20"/>
                <w:szCs w:val="20"/>
              </w:rPr>
              <w:t>$105.37</w:t>
            </w:r>
          </w:p>
        </w:tc>
        <w:tc>
          <w:tcPr>
            <w:tcW w:w="2175" w:type="dxa"/>
            <w:tcBorders>
              <w:top w:val="nil"/>
              <w:left w:val="nil"/>
              <w:bottom w:val="single" w:sz="4" w:space="0" w:color="auto"/>
              <w:right w:val="single" w:sz="4" w:space="0" w:color="auto"/>
            </w:tcBorders>
            <w:shd w:val="clear" w:color="000000" w:fill="D9D9D9"/>
            <w:noWrap/>
            <w:vAlign w:val="center"/>
            <w:hideMark/>
          </w:tcPr>
          <w:p w14:paraId="631A00B5" w14:textId="7B33023D" w:rsidR="00534B14" w:rsidRPr="00534B14" w:rsidRDefault="00534B14" w:rsidP="00534B14">
            <w:pPr>
              <w:jc w:val="center"/>
              <w:rPr>
                <w:b/>
                <w:bCs/>
                <w:color w:val="000000"/>
                <w:sz w:val="20"/>
                <w:szCs w:val="20"/>
              </w:rPr>
            </w:pPr>
            <w:r>
              <w:rPr>
                <w:b/>
                <w:bCs/>
                <w:color w:val="000000"/>
                <w:sz w:val="20"/>
                <w:szCs w:val="20"/>
              </w:rPr>
              <w:t xml:space="preserve">$190,192,824.27 </w:t>
            </w:r>
          </w:p>
        </w:tc>
        <w:tc>
          <w:tcPr>
            <w:tcW w:w="1819" w:type="dxa"/>
            <w:tcBorders>
              <w:top w:val="nil"/>
              <w:left w:val="nil"/>
              <w:bottom w:val="single" w:sz="4" w:space="0" w:color="auto"/>
              <w:right w:val="single" w:sz="4" w:space="0" w:color="auto"/>
            </w:tcBorders>
            <w:shd w:val="clear" w:color="000000" w:fill="D9D9D9"/>
            <w:noWrap/>
            <w:vAlign w:val="center"/>
            <w:hideMark/>
          </w:tcPr>
          <w:p w14:paraId="779A1DC8" w14:textId="1D29C5C7" w:rsidR="00534B14" w:rsidRPr="00534B14" w:rsidRDefault="00534B14" w:rsidP="00534B14">
            <w:pPr>
              <w:jc w:val="center"/>
              <w:rPr>
                <w:b/>
                <w:bCs/>
                <w:color w:val="000000"/>
                <w:sz w:val="20"/>
                <w:szCs w:val="20"/>
              </w:rPr>
            </w:pPr>
            <w:r>
              <w:rPr>
                <w:b/>
                <w:bCs/>
                <w:color w:val="000000"/>
                <w:sz w:val="20"/>
                <w:szCs w:val="20"/>
              </w:rPr>
              <w:t>$4,940,655,681.40</w:t>
            </w:r>
          </w:p>
        </w:tc>
      </w:tr>
    </w:tbl>
    <w:p w14:paraId="7586BB92" w14:textId="77777777" w:rsidR="000A6F85" w:rsidRPr="00C868F2" w:rsidRDefault="000A6F85" w:rsidP="00EB355A">
      <w:pPr>
        <w:spacing w:line="480" w:lineRule="auto"/>
        <w:rPr>
          <w:color w:val="000000" w:themeColor="text1"/>
        </w:rPr>
      </w:pPr>
    </w:p>
    <w:p w14:paraId="4675DD6E" w14:textId="4502A96B" w:rsidR="00EB355A" w:rsidRPr="00C868F2" w:rsidRDefault="00EB355A" w:rsidP="00EB355A">
      <w:pPr>
        <w:spacing w:line="480" w:lineRule="auto"/>
        <w:ind w:firstLine="720"/>
        <w:rPr>
          <w:color w:val="000000" w:themeColor="text1"/>
        </w:rPr>
      </w:pPr>
      <w:r w:rsidRPr="00C868F2">
        <w:rPr>
          <w:color w:val="000000" w:themeColor="text1"/>
        </w:rPr>
        <w:t>For the upper bound cost and benefit estimates using the VSL, the yearly benefits add up to $</w:t>
      </w:r>
      <w:r w:rsidR="00031141">
        <w:rPr>
          <w:color w:val="000000" w:themeColor="text1"/>
        </w:rPr>
        <w:t>289,250,721</w:t>
      </w:r>
      <w:r w:rsidRPr="00C868F2">
        <w:rPr>
          <w:color w:val="000000" w:themeColor="text1"/>
        </w:rPr>
        <w:t xml:space="preserve"> compared to the same facility costs. This makes the net present value for the </w:t>
      </w:r>
      <w:r w:rsidRPr="00C868F2">
        <w:rPr>
          <w:color w:val="000000" w:themeColor="text1"/>
        </w:rPr>
        <w:lastRenderedPageBreak/>
        <w:t>upper bound $</w:t>
      </w:r>
      <w:r w:rsidR="00031141">
        <w:rPr>
          <w:color w:val="000000" w:themeColor="text1"/>
        </w:rPr>
        <w:t xml:space="preserve">7,516,160,985 </w:t>
      </w:r>
      <w:r w:rsidRPr="00C868F2">
        <w:rPr>
          <w:color w:val="000000" w:themeColor="text1"/>
        </w:rPr>
        <w:t>in total benefits. This calculation estimates that for every $1 spent, the SCS yields $1</w:t>
      </w:r>
      <w:r w:rsidR="00031141">
        <w:rPr>
          <w:color w:val="000000" w:themeColor="text1"/>
        </w:rPr>
        <w:t>59</w:t>
      </w:r>
      <w:r w:rsidRPr="00C868F2">
        <w:rPr>
          <w:color w:val="000000" w:themeColor="text1"/>
        </w:rPr>
        <w:t>.</w:t>
      </w:r>
      <w:r w:rsidR="00031141">
        <w:rPr>
          <w:color w:val="000000" w:themeColor="text1"/>
        </w:rPr>
        <w:t>73</w:t>
      </w:r>
      <w:r w:rsidRPr="00C868F2">
        <w:rPr>
          <w:color w:val="000000" w:themeColor="text1"/>
        </w:rPr>
        <w:t xml:space="preserve"> in benefits. </w:t>
      </w:r>
      <w:r w:rsidR="00E9370E">
        <w:rPr>
          <w:color w:val="000000" w:themeColor="text1"/>
        </w:rPr>
        <w:t xml:space="preserve">See table 9. </w:t>
      </w:r>
    </w:p>
    <w:tbl>
      <w:tblPr>
        <w:tblW w:w="9173" w:type="dxa"/>
        <w:tblLook w:val="04A0" w:firstRow="1" w:lastRow="0" w:firstColumn="1" w:lastColumn="0" w:noHBand="0" w:noVBand="1"/>
      </w:tblPr>
      <w:tblGrid>
        <w:gridCol w:w="1566"/>
        <w:gridCol w:w="1366"/>
        <w:gridCol w:w="2205"/>
        <w:gridCol w:w="2200"/>
        <w:gridCol w:w="1836"/>
      </w:tblGrid>
      <w:tr w:rsidR="000A6F85" w:rsidRPr="00534B14" w14:paraId="61E47B3B" w14:textId="77777777" w:rsidTr="00534B14">
        <w:trPr>
          <w:trHeight w:val="321"/>
        </w:trPr>
        <w:tc>
          <w:tcPr>
            <w:tcW w:w="9173" w:type="dxa"/>
            <w:gridSpan w:val="5"/>
            <w:tcBorders>
              <w:top w:val="nil"/>
              <w:left w:val="nil"/>
              <w:bottom w:val="nil"/>
              <w:right w:val="nil"/>
            </w:tcBorders>
            <w:shd w:val="clear" w:color="auto" w:fill="auto"/>
            <w:noWrap/>
            <w:vAlign w:val="center"/>
            <w:hideMark/>
          </w:tcPr>
          <w:p w14:paraId="750BD482" w14:textId="77777777" w:rsidR="000A6F85" w:rsidRPr="00534B14" w:rsidRDefault="000A6F85">
            <w:pPr>
              <w:rPr>
                <w:b/>
                <w:bCs/>
                <w:i/>
                <w:iCs/>
                <w:color w:val="000000"/>
                <w:sz w:val="20"/>
                <w:szCs w:val="20"/>
              </w:rPr>
            </w:pPr>
            <w:r w:rsidRPr="00534B14">
              <w:rPr>
                <w:b/>
                <w:bCs/>
                <w:i/>
                <w:iCs/>
                <w:color w:val="000000"/>
                <w:sz w:val="20"/>
                <w:szCs w:val="20"/>
              </w:rPr>
              <w:t>Table 9. Estimated Results using the Upper Value of a Statistical Life</w:t>
            </w:r>
          </w:p>
        </w:tc>
      </w:tr>
      <w:tr w:rsidR="00534B14" w:rsidRPr="00534B14" w14:paraId="08F57E24" w14:textId="77777777" w:rsidTr="00534B14">
        <w:trPr>
          <w:trHeight w:val="321"/>
        </w:trPr>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77F4" w14:textId="22BEAB7B" w:rsidR="00534B14" w:rsidRPr="00534B14" w:rsidRDefault="00534B14" w:rsidP="00534B14">
            <w:pPr>
              <w:jc w:val="center"/>
              <w:rPr>
                <w:b/>
                <w:bCs/>
                <w:color w:val="000000"/>
                <w:sz w:val="20"/>
                <w:szCs w:val="20"/>
              </w:rPr>
            </w:pPr>
            <w:r>
              <w:rPr>
                <w:b/>
                <w:bCs/>
                <w:color w:val="000000"/>
                <w:sz w:val="20"/>
                <w:szCs w:val="20"/>
              </w:rPr>
              <w:t>Savings</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7DFE863B" w14:textId="3689A63F" w:rsidR="00534B14" w:rsidRPr="00534B14" w:rsidRDefault="00534B14" w:rsidP="00534B14">
            <w:pPr>
              <w:jc w:val="center"/>
              <w:rPr>
                <w:b/>
                <w:bCs/>
                <w:color w:val="000000"/>
                <w:sz w:val="20"/>
                <w:szCs w:val="20"/>
              </w:rPr>
            </w:pPr>
            <w:r>
              <w:rPr>
                <w:b/>
                <w:bCs/>
                <w:color w:val="000000"/>
                <w:sz w:val="20"/>
                <w:szCs w:val="20"/>
              </w:rPr>
              <w:t xml:space="preserve">Costs </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14:paraId="28708749" w14:textId="0C6ECE4A" w:rsidR="00534B14" w:rsidRPr="00534B14" w:rsidRDefault="00534B14" w:rsidP="00534B14">
            <w:pPr>
              <w:jc w:val="center"/>
              <w:rPr>
                <w:b/>
                <w:bCs/>
                <w:color w:val="000000"/>
                <w:sz w:val="20"/>
                <w:szCs w:val="20"/>
              </w:rPr>
            </w:pPr>
            <w:r>
              <w:rPr>
                <w:b/>
                <w:bCs/>
                <w:color w:val="000000"/>
                <w:sz w:val="20"/>
                <w:szCs w:val="20"/>
              </w:rPr>
              <w:t>Benefit to Cost Ratio</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0002CD1F" w14:textId="3ED64F53" w:rsidR="00534B14" w:rsidRPr="00534B14" w:rsidRDefault="00534B14" w:rsidP="00534B14">
            <w:pPr>
              <w:jc w:val="center"/>
              <w:rPr>
                <w:b/>
                <w:bCs/>
                <w:color w:val="000000"/>
                <w:sz w:val="20"/>
                <w:szCs w:val="20"/>
              </w:rPr>
            </w:pPr>
            <w:r>
              <w:rPr>
                <w:b/>
                <w:bCs/>
                <w:color w:val="000000"/>
                <w:sz w:val="20"/>
                <w:szCs w:val="20"/>
              </w:rPr>
              <w:t>Net Benefits - Annually</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14:paraId="0683CA53" w14:textId="3508BFDA" w:rsidR="00534B14" w:rsidRPr="00534B14" w:rsidRDefault="00534B14" w:rsidP="00534B14">
            <w:pPr>
              <w:jc w:val="center"/>
              <w:rPr>
                <w:b/>
                <w:bCs/>
                <w:color w:val="000000"/>
                <w:sz w:val="20"/>
                <w:szCs w:val="20"/>
              </w:rPr>
            </w:pPr>
            <w:r>
              <w:rPr>
                <w:b/>
                <w:bCs/>
                <w:color w:val="000000"/>
                <w:sz w:val="20"/>
                <w:szCs w:val="20"/>
              </w:rPr>
              <w:t>Net Benefits - Total</w:t>
            </w:r>
          </w:p>
        </w:tc>
      </w:tr>
      <w:tr w:rsidR="00534B14" w:rsidRPr="00534B14" w14:paraId="74E67432" w14:textId="77777777" w:rsidTr="00534B14">
        <w:trPr>
          <w:trHeight w:val="321"/>
        </w:trPr>
        <w:tc>
          <w:tcPr>
            <w:tcW w:w="1566" w:type="dxa"/>
            <w:tcBorders>
              <w:top w:val="nil"/>
              <w:left w:val="single" w:sz="4" w:space="0" w:color="auto"/>
              <w:bottom w:val="single" w:sz="4" w:space="0" w:color="auto"/>
              <w:right w:val="single" w:sz="4" w:space="0" w:color="auto"/>
            </w:tcBorders>
            <w:shd w:val="clear" w:color="000000" w:fill="D9D9D9"/>
            <w:noWrap/>
            <w:vAlign w:val="center"/>
            <w:hideMark/>
          </w:tcPr>
          <w:p w14:paraId="4CF4DDED" w14:textId="5211C2A9" w:rsidR="00534B14" w:rsidRPr="00534B14" w:rsidRDefault="00534B14" w:rsidP="00534B14">
            <w:pPr>
              <w:jc w:val="center"/>
              <w:rPr>
                <w:color w:val="000000"/>
                <w:sz w:val="20"/>
                <w:szCs w:val="20"/>
              </w:rPr>
            </w:pPr>
            <w:r>
              <w:rPr>
                <w:color w:val="000000"/>
                <w:sz w:val="20"/>
                <w:szCs w:val="20"/>
              </w:rPr>
              <w:t xml:space="preserve">$291,073,006.29 </w:t>
            </w:r>
          </w:p>
        </w:tc>
        <w:tc>
          <w:tcPr>
            <w:tcW w:w="1366" w:type="dxa"/>
            <w:tcBorders>
              <w:top w:val="nil"/>
              <w:left w:val="nil"/>
              <w:bottom w:val="single" w:sz="4" w:space="0" w:color="auto"/>
              <w:right w:val="single" w:sz="4" w:space="0" w:color="auto"/>
            </w:tcBorders>
            <w:shd w:val="clear" w:color="000000" w:fill="D9D9D9"/>
            <w:noWrap/>
            <w:vAlign w:val="center"/>
            <w:hideMark/>
          </w:tcPr>
          <w:p w14:paraId="68F2AC57" w14:textId="706830F4" w:rsidR="00534B14" w:rsidRPr="00534B14" w:rsidRDefault="00534B14" w:rsidP="00534B14">
            <w:pPr>
              <w:jc w:val="center"/>
              <w:rPr>
                <w:color w:val="000000"/>
                <w:sz w:val="20"/>
                <w:szCs w:val="20"/>
              </w:rPr>
            </w:pPr>
            <w:r>
              <w:rPr>
                <w:color w:val="000000"/>
                <w:sz w:val="20"/>
                <w:szCs w:val="20"/>
              </w:rPr>
              <w:t xml:space="preserve">$1,822,285.72 </w:t>
            </w:r>
          </w:p>
        </w:tc>
        <w:tc>
          <w:tcPr>
            <w:tcW w:w="2205" w:type="dxa"/>
            <w:tcBorders>
              <w:top w:val="nil"/>
              <w:left w:val="nil"/>
              <w:bottom w:val="single" w:sz="4" w:space="0" w:color="auto"/>
              <w:right w:val="single" w:sz="4" w:space="0" w:color="auto"/>
            </w:tcBorders>
            <w:shd w:val="clear" w:color="000000" w:fill="D9D9D9"/>
            <w:noWrap/>
            <w:vAlign w:val="center"/>
            <w:hideMark/>
          </w:tcPr>
          <w:p w14:paraId="40CA698F" w14:textId="51F4F102" w:rsidR="00534B14" w:rsidRPr="00534B14" w:rsidRDefault="00534B14" w:rsidP="00534B14">
            <w:pPr>
              <w:jc w:val="center"/>
              <w:rPr>
                <w:color w:val="000000"/>
                <w:sz w:val="20"/>
                <w:szCs w:val="20"/>
              </w:rPr>
            </w:pPr>
            <w:r>
              <w:rPr>
                <w:color w:val="000000"/>
                <w:sz w:val="20"/>
                <w:szCs w:val="20"/>
              </w:rPr>
              <w:t>$159.73</w:t>
            </w:r>
          </w:p>
        </w:tc>
        <w:tc>
          <w:tcPr>
            <w:tcW w:w="2200" w:type="dxa"/>
            <w:tcBorders>
              <w:top w:val="nil"/>
              <w:left w:val="nil"/>
              <w:bottom w:val="single" w:sz="4" w:space="0" w:color="auto"/>
              <w:right w:val="single" w:sz="4" w:space="0" w:color="auto"/>
            </w:tcBorders>
            <w:shd w:val="clear" w:color="000000" w:fill="D9D9D9"/>
            <w:noWrap/>
            <w:vAlign w:val="center"/>
            <w:hideMark/>
          </w:tcPr>
          <w:p w14:paraId="304078A1" w14:textId="63D6904C" w:rsidR="00534B14" w:rsidRPr="00534B14" w:rsidRDefault="00534B14" w:rsidP="00534B14">
            <w:pPr>
              <w:jc w:val="center"/>
              <w:rPr>
                <w:b/>
                <w:bCs/>
                <w:color w:val="000000"/>
                <w:sz w:val="20"/>
                <w:szCs w:val="20"/>
              </w:rPr>
            </w:pPr>
            <w:r>
              <w:rPr>
                <w:b/>
                <w:bCs/>
                <w:color w:val="000000"/>
                <w:sz w:val="20"/>
                <w:szCs w:val="20"/>
              </w:rPr>
              <w:t xml:space="preserve">$289,250,720.57 </w:t>
            </w:r>
          </w:p>
        </w:tc>
        <w:tc>
          <w:tcPr>
            <w:tcW w:w="1836" w:type="dxa"/>
            <w:tcBorders>
              <w:top w:val="nil"/>
              <w:left w:val="nil"/>
              <w:bottom w:val="single" w:sz="4" w:space="0" w:color="auto"/>
              <w:right w:val="single" w:sz="4" w:space="0" w:color="auto"/>
            </w:tcBorders>
            <w:shd w:val="clear" w:color="000000" w:fill="D9D9D9"/>
            <w:noWrap/>
            <w:vAlign w:val="center"/>
            <w:hideMark/>
          </w:tcPr>
          <w:p w14:paraId="34607E9F" w14:textId="4CCBEC62" w:rsidR="00534B14" w:rsidRPr="00534B14" w:rsidRDefault="00534B14" w:rsidP="00534B14">
            <w:pPr>
              <w:jc w:val="center"/>
              <w:rPr>
                <w:b/>
                <w:bCs/>
                <w:color w:val="000000"/>
                <w:sz w:val="20"/>
                <w:szCs w:val="20"/>
              </w:rPr>
            </w:pPr>
            <w:r>
              <w:rPr>
                <w:b/>
                <w:bCs/>
                <w:color w:val="000000"/>
                <w:sz w:val="20"/>
                <w:szCs w:val="20"/>
              </w:rPr>
              <w:t>$7,516,160,985.21</w:t>
            </w:r>
          </w:p>
        </w:tc>
      </w:tr>
    </w:tbl>
    <w:p w14:paraId="20B390F1" w14:textId="77777777" w:rsidR="00695DAE" w:rsidRDefault="00695DAE" w:rsidP="006A42AA">
      <w:pPr>
        <w:spacing w:line="480" w:lineRule="auto"/>
        <w:rPr>
          <w:color w:val="000000" w:themeColor="text1"/>
        </w:rPr>
      </w:pPr>
    </w:p>
    <w:p w14:paraId="54F4ECC2" w14:textId="6A24CC03" w:rsidR="000D3CD6" w:rsidRPr="00C868F2" w:rsidRDefault="00EB355A" w:rsidP="00EB355A">
      <w:pPr>
        <w:spacing w:line="480" w:lineRule="auto"/>
        <w:ind w:firstLine="720"/>
        <w:rPr>
          <w:color w:val="000000" w:themeColor="text1"/>
        </w:rPr>
      </w:pPr>
      <w:r w:rsidRPr="00C868F2">
        <w:rPr>
          <w:color w:val="000000" w:themeColor="text1"/>
        </w:rPr>
        <w:t>For the lower bound cost and benefit estimates using the VSL, the yearly benefits add up to $</w:t>
      </w:r>
      <w:r w:rsidR="000B1F2D">
        <w:rPr>
          <w:color w:val="000000" w:themeColor="text1"/>
        </w:rPr>
        <w:t>89,027,313</w:t>
      </w:r>
      <w:r w:rsidRPr="00C868F2">
        <w:rPr>
          <w:color w:val="000000" w:themeColor="text1"/>
        </w:rPr>
        <w:t xml:space="preserve"> compared to the same facility costs. This makes the net present value for the lower bound $</w:t>
      </w:r>
      <w:r w:rsidR="000B1F2D">
        <w:rPr>
          <w:color w:val="000000" w:themeColor="text1"/>
        </w:rPr>
        <w:t>2,310,352,392</w:t>
      </w:r>
      <w:r w:rsidRPr="00C868F2">
        <w:rPr>
          <w:color w:val="000000" w:themeColor="text1"/>
        </w:rPr>
        <w:t xml:space="preserve"> in total benefits. This calculation estimates that for every $1 spent, the SCS will yield $4</w:t>
      </w:r>
      <w:r w:rsidR="000B1F2D">
        <w:rPr>
          <w:color w:val="000000" w:themeColor="text1"/>
        </w:rPr>
        <w:t>9.85</w:t>
      </w:r>
      <w:r w:rsidRPr="00C868F2">
        <w:rPr>
          <w:color w:val="000000" w:themeColor="text1"/>
        </w:rPr>
        <w:t xml:space="preserve"> in benefits.</w:t>
      </w:r>
      <w:r w:rsidR="00E9370E">
        <w:rPr>
          <w:color w:val="000000" w:themeColor="text1"/>
        </w:rPr>
        <w:t xml:space="preserve"> See table 10.</w:t>
      </w:r>
    </w:p>
    <w:tbl>
      <w:tblPr>
        <w:tblW w:w="9027" w:type="dxa"/>
        <w:jc w:val="center"/>
        <w:tblLook w:val="04A0" w:firstRow="1" w:lastRow="0" w:firstColumn="1" w:lastColumn="0" w:noHBand="0" w:noVBand="1"/>
      </w:tblPr>
      <w:tblGrid>
        <w:gridCol w:w="1528"/>
        <w:gridCol w:w="1424"/>
        <w:gridCol w:w="1992"/>
        <w:gridCol w:w="2224"/>
        <w:gridCol w:w="1859"/>
      </w:tblGrid>
      <w:tr w:rsidR="000A6F85" w:rsidRPr="00534B14" w14:paraId="0498EA88" w14:textId="77777777" w:rsidTr="000A6F85">
        <w:trPr>
          <w:trHeight w:val="319"/>
          <w:jc w:val="center"/>
        </w:trPr>
        <w:tc>
          <w:tcPr>
            <w:tcW w:w="9027" w:type="dxa"/>
            <w:gridSpan w:val="5"/>
            <w:tcBorders>
              <w:top w:val="nil"/>
              <w:left w:val="nil"/>
              <w:bottom w:val="nil"/>
              <w:right w:val="nil"/>
            </w:tcBorders>
            <w:shd w:val="clear" w:color="auto" w:fill="auto"/>
            <w:noWrap/>
            <w:vAlign w:val="center"/>
            <w:hideMark/>
          </w:tcPr>
          <w:p w14:paraId="4F76333F" w14:textId="77777777" w:rsidR="000A6F85" w:rsidRPr="00534B14" w:rsidRDefault="000A6F85">
            <w:pPr>
              <w:rPr>
                <w:b/>
                <w:bCs/>
                <w:i/>
                <w:iCs/>
                <w:color w:val="000000"/>
                <w:sz w:val="20"/>
                <w:szCs w:val="20"/>
              </w:rPr>
            </w:pPr>
            <w:r w:rsidRPr="00534B14">
              <w:rPr>
                <w:b/>
                <w:bCs/>
                <w:i/>
                <w:iCs/>
                <w:color w:val="000000"/>
                <w:sz w:val="20"/>
                <w:szCs w:val="20"/>
              </w:rPr>
              <w:t>Table 10. Estimated Results using the Lower Value of a Statistical Life</w:t>
            </w:r>
          </w:p>
        </w:tc>
      </w:tr>
      <w:tr w:rsidR="00534B14" w:rsidRPr="00534B14" w14:paraId="08E38094" w14:textId="77777777" w:rsidTr="00534B14">
        <w:trPr>
          <w:trHeight w:val="359"/>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136F" w14:textId="622D5232" w:rsidR="00534B14" w:rsidRPr="00534B14" w:rsidRDefault="00534B14" w:rsidP="00534B14">
            <w:pPr>
              <w:jc w:val="center"/>
              <w:rPr>
                <w:b/>
                <w:bCs/>
                <w:color w:val="000000"/>
                <w:sz w:val="20"/>
                <w:szCs w:val="20"/>
              </w:rPr>
            </w:pPr>
            <w:r>
              <w:rPr>
                <w:b/>
                <w:bCs/>
                <w:color w:val="000000"/>
                <w:sz w:val="20"/>
                <w:szCs w:val="20"/>
              </w:rPr>
              <w:t>Savings</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14:paraId="757873B8" w14:textId="3315AA34" w:rsidR="00534B14" w:rsidRPr="00534B14" w:rsidRDefault="00534B14" w:rsidP="00534B14">
            <w:pPr>
              <w:jc w:val="center"/>
              <w:rPr>
                <w:b/>
                <w:bCs/>
                <w:color w:val="000000"/>
                <w:sz w:val="20"/>
                <w:szCs w:val="20"/>
              </w:rPr>
            </w:pPr>
            <w:r>
              <w:rPr>
                <w:b/>
                <w:bCs/>
                <w:color w:val="000000"/>
                <w:sz w:val="20"/>
                <w:szCs w:val="20"/>
              </w:rPr>
              <w:t xml:space="preserve">Costs </w:t>
            </w:r>
          </w:p>
        </w:tc>
        <w:tc>
          <w:tcPr>
            <w:tcW w:w="1992" w:type="dxa"/>
            <w:tcBorders>
              <w:top w:val="single" w:sz="4" w:space="0" w:color="auto"/>
              <w:left w:val="nil"/>
              <w:bottom w:val="single" w:sz="4" w:space="0" w:color="auto"/>
              <w:right w:val="single" w:sz="4" w:space="0" w:color="auto"/>
            </w:tcBorders>
            <w:shd w:val="clear" w:color="auto" w:fill="auto"/>
            <w:noWrap/>
            <w:vAlign w:val="center"/>
            <w:hideMark/>
          </w:tcPr>
          <w:p w14:paraId="28FC575A" w14:textId="71FAEBCF" w:rsidR="00534B14" w:rsidRPr="00534B14" w:rsidRDefault="00534B14" w:rsidP="00534B14">
            <w:pPr>
              <w:jc w:val="center"/>
              <w:rPr>
                <w:b/>
                <w:bCs/>
                <w:color w:val="000000"/>
                <w:sz w:val="20"/>
                <w:szCs w:val="20"/>
              </w:rPr>
            </w:pPr>
            <w:r>
              <w:rPr>
                <w:b/>
                <w:bCs/>
                <w:color w:val="000000"/>
                <w:sz w:val="20"/>
                <w:szCs w:val="20"/>
              </w:rPr>
              <w:t>Benefit to Cost Ratio</w:t>
            </w:r>
          </w:p>
        </w:tc>
        <w:tc>
          <w:tcPr>
            <w:tcW w:w="2224" w:type="dxa"/>
            <w:tcBorders>
              <w:top w:val="single" w:sz="4" w:space="0" w:color="auto"/>
              <w:left w:val="nil"/>
              <w:bottom w:val="single" w:sz="4" w:space="0" w:color="auto"/>
              <w:right w:val="single" w:sz="4" w:space="0" w:color="auto"/>
            </w:tcBorders>
            <w:shd w:val="clear" w:color="auto" w:fill="auto"/>
            <w:noWrap/>
            <w:vAlign w:val="center"/>
            <w:hideMark/>
          </w:tcPr>
          <w:p w14:paraId="73AFD4C2" w14:textId="162E4B99" w:rsidR="00534B14" w:rsidRPr="00534B14" w:rsidRDefault="00534B14" w:rsidP="00534B14">
            <w:pPr>
              <w:jc w:val="center"/>
              <w:rPr>
                <w:b/>
                <w:bCs/>
                <w:color w:val="000000"/>
                <w:sz w:val="20"/>
                <w:szCs w:val="20"/>
              </w:rPr>
            </w:pPr>
            <w:r>
              <w:rPr>
                <w:b/>
                <w:bCs/>
                <w:color w:val="000000"/>
                <w:sz w:val="20"/>
                <w:szCs w:val="20"/>
              </w:rPr>
              <w:t>Net Benefits - Annually</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3B82181A" w14:textId="4EE34282" w:rsidR="00534B14" w:rsidRPr="00534B14" w:rsidRDefault="00534B14" w:rsidP="00534B14">
            <w:pPr>
              <w:jc w:val="center"/>
              <w:rPr>
                <w:b/>
                <w:bCs/>
                <w:color w:val="000000"/>
                <w:sz w:val="20"/>
                <w:szCs w:val="20"/>
              </w:rPr>
            </w:pPr>
            <w:r>
              <w:rPr>
                <w:b/>
                <w:bCs/>
                <w:color w:val="000000"/>
                <w:sz w:val="20"/>
                <w:szCs w:val="20"/>
              </w:rPr>
              <w:t>Net Benefits - Total</w:t>
            </w:r>
          </w:p>
        </w:tc>
      </w:tr>
      <w:tr w:rsidR="00534B14" w:rsidRPr="00534B14" w14:paraId="1DEF1188" w14:textId="77777777" w:rsidTr="00534B14">
        <w:trPr>
          <w:trHeight w:val="319"/>
          <w:jc w:val="center"/>
        </w:trPr>
        <w:tc>
          <w:tcPr>
            <w:tcW w:w="1528" w:type="dxa"/>
            <w:tcBorders>
              <w:top w:val="nil"/>
              <w:left w:val="single" w:sz="4" w:space="0" w:color="auto"/>
              <w:bottom w:val="single" w:sz="4" w:space="0" w:color="auto"/>
              <w:right w:val="single" w:sz="4" w:space="0" w:color="auto"/>
            </w:tcBorders>
            <w:shd w:val="clear" w:color="000000" w:fill="D9D9D9"/>
            <w:noWrap/>
            <w:vAlign w:val="center"/>
            <w:hideMark/>
          </w:tcPr>
          <w:p w14:paraId="1AC86D28" w14:textId="37B7BACE" w:rsidR="00534B14" w:rsidRPr="00534B14" w:rsidRDefault="00534B14" w:rsidP="00534B14">
            <w:pPr>
              <w:jc w:val="center"/>
              <w:rPr>
                <w:color w:val="000000"/>
                <w:sz w:val="20"/>
                <w:szCs w:val="20"/>
              </w:rPr>
            </w:pPr>
            <w:r>
              <w:rPr>
                <w:color w:val="000000"/>
                <w:sz w:val="20"/>
                <w:szCs w:val="20"/>
              </w:rPr>
              <w:t xml:space="preserve">$90,849,598.88 </w:t>
            </w:r>
          </w:p>
        </w:tc>
        <w:tc>
          <w:tcPr>
            <w:tcW w:w="1424" w:type="dxa"/>
            <w:tcBorders>
              <w:top w:val="nil"/>
              <w:left w:val="nil"/>
              <w:bottom w:val="single" w:sz="4" w:space="0" w:color="auto"/>
              <w:right w:val="single" w:sz="4" w:space="0" w:color="auto"/>
            </w:tcBorders>
            <w:shd w:val="clear" w:color="000000" w:fill="D9D9D9"/>
            <w:noWrap/>
            <w:vAlign w:val="center"/>
            <w:hideMark/>
          </w:tcPr>
          <w:p w14:paraId="161064A3" w14:textId="226CCF31" w:rsidR="00534B14" w:rsidRPr="00534B14" w:rsidRDefault="00534B14" w:rsidP="00534B14">
            <w:pPr>
              <w:jc w:val="center"/>
              <w:rPr>
                <w:color w:val="000000"/>
                <w:sz w:val="20"/>
                <w:szCs w:val="20"/>
              </w:rPr>
            </w:pPr>
            <w:r>
              <w:rPr>
                <w:color w:val="000000"/>
                <w:sz w:val="20"/>
                <w:szCs w:val="20"/>
              </w:rPr>
              <w:t xml:space="preserve">$1,822,285.72 </w:t>
            </w:r>
          </w:p>
        </w:tc>
        <w:tc>
          <w:tcPr>
            <w:tcW w:w="1992" w:type="dxa"/>
            <w:tcBorders>
              <w:top w:val="nil"/>
              <w:left w:val="nil"/>
              <w:bottom w:val="single" w:sz="4" w:space="0" w:color="auto"/>
              <w:right w:val="single" w:sz="4" w:space="0" w:color="auto"/>
            </w:tcBorders>
            <w:shd w:val="clear" w:color="000000" w:fill="D9D9D9"/>
            <w:noWrap/>
            <w:vAlign w:val="center"/>
            <w:hideMark/>
          </w:tcPr>
          <w:p w14:paraId="0DF1712C" w14:textId="3BACD426" w:rsidR="00534B14" w:rsidRPr="00534B14" w:rsidRDefault="00534B14" w:rsidP="00534B14">
            <w:pPr>
              <w:jc w:val="center"/>
              <w:rPr>
                <w:color w:val="000000"/>
                <w:sz w:val="20"/>
                <w:szCs w:val="20"/>
              </w:rPr>
            </w:pPr>
            <w:r>
              <w:rPr>
                <w:color w:val="000000"/>
                <w:sz w:val="20"/>
                <w:szCs w:val="20"/>
              </w:rPr>
              <w:t>$49.85</w:t>
            </w:r>
          </w:p>
        </w:tc>
        <w:tc>
          <w:tcPr>
            <w:tcW w:w="2224" w:type="dxa"/>
            <w:tcBorders>
              <w:top w:val="nil"/>
              <w:left w:val="nil"/>
              <w:bottom w:val="single" w:sz="4" w:space="0" w:color="auto"/>
              <w:right w:val="single" w:sz="4" w:space="0" w:color="auto"/>
            </w:tcBorders>
            <w:shd w:val="clear" w:color="000000" w:fill="D9D9D9"/>
            <w:noWrap/>
            <w:vAlign w:val="center"/>
            <w:hideMark/>
          </w:tcPr>
          <w:p w14:paraId="028F620E" w14:textId="52A328A1" w:rsidR="00534B14" w:rsidRPr="00534B14" w:rsidRDefault="00534B14" w:rsidP="00534B14">
            <w:pPr>
              <w:jc w:val="center"/>
              <w:rPr>
                <w:color w:val="000000"/>
                <w:sz w:val="20"/>
                <w:szCs w:val="20"/>
              </w:rPr>
            </w:pPr>
            <w:r>
              <w:rPr>
                <w:b/>
                <w:bCs/>
                <w:color w:val="000000"/>
                <w:sz w:val="20"/>
                <w:szCs w:val="20"/>
              </w:rPr>
              <w:t xml:space="preserve">$89,027,313.15 </w:t>
            </w:r>
          </w:p>
        </w:tc>
        <w:tc>
          <w:tcPr>
            <w:tcW w:w="1859" w:type="dxa"/>
            <w:tcBorders>
              <w:top w:val="nil"/>
              <w:left w:val="nil"/>
              <w:bottom w:val="single" w:sz="4" w:space="0" w:color="auto"/>
              <w:right w:val="single" w:sz="4" w:space="0" w:color="auto"/>
            </w:tcBorders>
            <w:shd w:val="clear" w:color="000000" w:fill="D9D9D9"/>
            <w:noWrap/>
            <w:vAlign w:val="center"/>
            <w:hideMark/>
          </w:tcPr>
          <w:p w14:paraId="51B167FC" w14:textId="21B4344C" w:rsidR="00534B14" w:rsidRPr="00534B14" w:rsidRDefault="00534B14" w:rsidP="00534B14">
            <w:pPr>
              <w:jc w:val="center"/>
              <w:rPr>
                <w:color w:val="000000"/>
                <w:sz w:val="20"/>
                <w:szCs w:val="20"/>
              </w:rPr>
            </w:pPr>
            <w:r>
              <w:rPr>
                <w:b/>
                <w:bCs/>
                <w:color w:val="000000"/>
                <w:sz w:val="20"/>
                <w:szCs w:val="20"/>
              </w:rPr>
              <w:t>$2,310,352,392.41</w:t>
            </w:r>
          </w:p>
        </w:tc>
      </w:tr>
    </w:tbl>
    <w:p w14:paraId="7F7949EE" w14:textId="77777777" w:rsidR="000A6F85" w:rsidRPr="00C868F2" w:rsidRDefault="000A6F85" w:rsidP="000A6F85">
      <w:pPr>
        <w:spacing w:line="480" w:lineRule="auto"/>
        <w:rPr>
          <w:color w:val="000000" w:themeColor="text1"/>
        </w:rPr>
      </w:pPr>
    </w:p>
    <w:p w14:paraId="32561453" w14:textId="429A956D" w:rsidR="0040594C" w:rsidRPr="00C868F2" w:rsidRDefault="0040594C" w:rsidP="00975418">
      <w:pPr>
        <w:pStyle w:val="Heading1"/>
        <w:spacing w:line="480" w:lineRule="auto"/>
        <w:rPr>
          <w:rFonts w:ascii="Times New Roman" w:hAnsi="Times New Roman" w:cs="Times New Roman"/>
          <w:b/>
          <w:bCs/>
          <w:color w:val="000000" w:themeColor="text1"/>
          <w:sz w:val="24"/>
          <w:szCs w:val="24"/>
        </w:rPr>
      </w:pPr>
      <w:bookmarkStart w:id="31" w:name="_Toc103539051"/>
      <w:r w:rsidRPr="00C868F2">
        <w:rPr>
          <w:rFonts w:ascii="Times New Roman" w:hAnsi="Times New Roman" w:cs="Times New Roman"/>
          <w:b/>
          <w:bCs/>
          <w:color w:val="000000" w:themeColor="text1"/>
          <w:sz w:val="24"/>
          <w:szCs w:val="24"/>
        </w:rPr>
        <w:t>VI. Discussion</w:t>
      </w:r>
      <w:bookmarkEnd w:id="31"/>
    </w:p>
    <w:p w14:paraId="098EFDDD" w14:textId="16613D9F" w:rsidR="003B1D8F" w:rsidRDefault="0040594C" w:rsidP="0040594C">
      <w:pPr>
        <w:spacing w:line="480" w:lineRule="auto"/>
        <w:ind w:firstLine="720"/>
      </w:pPr>
      <w:r w:rsidRPr="00C868F2">
        <w:t xml:space="preserve">Compared to Irwin et al.’s CBA conducted in 2017 for Baltimore City, this analysis finds the overall </w:t>
      </w:r>
      <w:r w:rsidR="00BA5550" w:rsidRPr="00C868F2">
        <w:t xml:space="preserve">benefits </w:t>
      </w:r>
      <w:r w:rsidRPr="00C868F2">
        <w:t>to be 36% higher than their estimate</w:t>
      </w:r>
      <w:r w:rsidR="009D12DF" w:rsidRPr="00C868F2">
        <w:t xml:space="preserve"> when using the same cost method estimates</w:t>
      </w:r>
      <w:r w:rsidRPr="00C868F2">
        <w:t>.</w:t>
      </w:r>
      <w:r w:rsidR="00BA5550" w:rsidRPr="00C868F2">
        <w:t xml:space="preserve"> Using the VSL, this analysis finds the overall benefits to be</w:t>
      </w:r>
      <w:r w:rsidR="00C35E3C" w:rsidRPr="00C868F2">
        <w:t xml:space="preserve"> 2</w:t>
      </w:r>
      <w:r w:rsidR="00E9370E">
        <w:t>322</w:t>
      </w:r>
      <w:r w:rsidR="00C35E3C" w:rsidRPr="00C868F2">
        <w:t>% higher.</w:t>
      </w:r>
      <w:r w:rsidRPr="00C868F2">
        <w:t xml:space="preserve"> It is important to note that while the 2017 CBA had six benefit estimate categories compared to the four this analysis uses, Irwin et al. (2017), only conducted their estimates with respect to heroin use in Baltimore City, not all opioid use.</w:t>
      </w:r>
      <w:r w:rsidR="009D12DF" w:rsidRPr="00C868F2">
        <w:t xml:space="preserve"> </w:t>
      </w:r>
      <w:r w:rsidR="003B1D8F" w:rsidRPr="00C868F2">
        <w:t xml:space="preserve">They also only used the present value of a life which can be seen as </w:t>
      </w:r>
      <w:r w:rsidR="005C050F">
        <w:t>an outdated</w:t>
      </w:r>
      <w:r w:rsidR="003B1D8F" w:rsidRPr="00C868F2">
        <w:t xml:space="preserve"> practice due to the fact that this estimate values people of lower socioeconomic status as worth less than the average person. This is why it was important to include the VSL calculation even though it inflates the results. </w:t>
      </w:r>
      <w:r w:rsidR="00A21470" w:rsidRPr="00C868F2">
        <w:t>Alongside</w:t>
      </w:r>
      <w:r w:rsidR="00C37976" w:rsidRPr="00C868F2">
        <w:t xml:space="preserve"> of including the VSL, I also account for income fluctuations in the present value of a life to give readers a </w:t>
      </w:r>
      <w:r w:rsidR="00C37976" w:rsidRPr="00C868F2">
        <w:lastRenderedPageBreak/>
        <w:t xml:space="preserve">comprehensive view of how valuable an SCS can be no matter how you calculate the value of a life saved. </w:t>
      </w:r>
    </w:p>
    <w:p w14:paraId="2B85B9C1" w14:textId="76925EDA" w:rsidR="00592185" w:rsidRPr="00C868F2" w:rsidRDefault="00592185" w:rsidP="0040594C">
      <w:pPr>
        <w:spacing w:line="480" w:lineRule="auto"/>
        <w:ind w:firstLine="720"/>
      </w:pPr>
      <w:r>
        <w:t xml:space="preserve">The number of people that are projected to enter into, and complete, medication-assisted treatment in the Irwin et al. study is much higher than what I have estimated. However, this is due to the fact that I used a much more conservative estimate in the percent of PWUD who will complete treatment. </w:t>
      </w:r>
    </w:p>
    <w:p w14:paraId="72AE24AD" w14:textId="7A048062" w:rsidR="002C404B" w:rsidRPr="00C868F2" w:rsidRDefault="009D12DF" w:rsidP="0040594C">
      <w:pPr>
        <w:spacing w:line="480" w:lineRule="auto"/>
        <w:ind w:firstLine="720"/>
      </w:pPr>
      <w:r w:rsidRPr="00C868F2">
        <w:t>Due to the social programs already put in place in Baltimore City, I found that it may be redundant to estimate the benefits of a reduction in needle sharing related infections and SSTI</w:t>
      </w:r>
      <w:r w:rsidR="003B1D8F" w:rsidRPr="00C868F2">
        <w:t xml:space="preserve"> like Irwin et al. did (2017)</w:t>
      </w:r>
      <w:r w:rsidRPr="00C868F2">
        <w:t xml:space="preserve">. Including those categories in my CBA would have possibly produced an over estimation in net benefits. While a SCS in Baltimore City would </w:t>
      </w:r>
      <w:r w:rsidR="00BA5550" w:rsidRPr="00C868F2">
        <w:t>aid</w:t>
      </w:r>
      <w:r w:rsidRPr="00C868F2">
        <w:t xml:space="preserve"> the current</w:t>
      </w:r>
      <w:r w:rsidR="00BA5550" w:rsidRPr="00C868F2">
        <w:t xml:space="preserve"> social programs put in place (like needle disposal and distribution programs)</w:t>
      </w:r>
      <w:r w:rsidR="002C404B" w:rsidRPr="00C868F2">
        <w:t xml:space="preserve">, the estimated benefits may not accurately reflect the impact of the SCS </w:t>
      </w:r>
      <w:r w:rsidR="00582C48" w:rsidRPr="00C868F2">
        <w:t>alone</w:t>
      </w:r>
      <w:r w:rsidR="002C404B" w:rsidRPr="00C868F2">
        <w:t>.</w:t>
      </w:r>
      <w:r w:rsidRPr="00C868F2">
        <w:t xml:space="preserve"> </w:t>
      </w:r>
    </w:p>
    <w:p w14:paraId="0A799C2A" w14:textId="04356485" w:rsidR="00592185" w:rsidRDefault="002C404B" w:rsidP="00592185">
      <w:pPr>
        <w:spacing w:line="480" w:lineRule="auto"/>
        <w:ind w:firstLine="720"/>
      </w:pPr>
      <w:r w:rsidRPr="00C868F2">
        <w:t>As for the differences in the number of averted instances for each category</w:t>
      </w:r>
      <w:r w:rsidR="00301198">
        <w:t xml:space="preserve"> in the overdose morbidity section</w:t>
      </w:r>
      <w:r w:rsidRPr="00C868F2">
        <w:t xml:space="preserve">, </w:t>
      </w:r>
      <w:r w:rsidRPr="00C868F2">
        <w:rPr>
          <w:color w:val="000000" w:themeColor="text1"/>
        </w:rPr>
        <w:t>the numbers used in the 2017 study had roughly the same number of users served, but 2017 had a much lower overdose rate (</w:t>
      </w:r>
      <w:r w:rsidR="00B512DB">
        <w:rPr>
          <w:color w:val="000000" w:themeColor="text1"/>
        </w:rPr>
        <w:t>Insite</w:t>
      </w:r>
      <w:r w:rsidRPr="00C868F2">
        <w:rPr>
          <w:color w:val="000000" w:themeColor="text1"/>
        </w:rPr>
        <w:t xml:space="preserve">, 2019). </w:t>
      </w:r>
      <w:r w:rsidR="00496A8F" w:rsidRPr="00C868F2">
        <w:rPr>
          <w:color w:val="000000" w:themeColor="text1"/>
        </w:rPr>
        <w:t xml:space="preserve">The </w:t>
      </w:r>
      <w:r w:rsidRPr="00C868F2">
        <w:rPr>
          <w:color w:val="000000" w:themeColor="text1"/>
        </w:rPr>
        <w:t>overdose rate</w:t>
      </w:r>
      <w:r w:rsidR="00496A8F" w:rsidRPr="00C868F2">
        <w:rPr>
          <w:color w:val="000000" w:themeColor="text1"/>
        </w:rPr>
        <w:t xml:space="preserve"> at </w:t>
      </w:r>
      <w:r w:rsidR="00B512DB">
        <w:rPr>
          <w:color w:val="000000" w:themeColor="text1"/>
        </w:rPr>
        <w:t>Insite</w:t>
      </w:r>
      <w:r w:rsidRPr="00C868F2">
        <w:rPr>
          <w:color w:val="000000" w:themeColor="text1"/>
        </w:rPr>
        <w:t xml:space="preserve"> has increased by 0.65 percentage points from 0.113% in 2017 to 0.77% in 2019.</w:t>
      </w:r>
      <w:r w:rsidR="00496A8F" w:rsidRPr="00C868F2">
        <w:rPr>
          <w:color w:val="000000" w:themeColor="text1"/>
        </w:rPr>
        <w:t xml:space="preserve"> This steep increase in the overdose rate at </w:t>
      </w:r>
      <w:r w:rsidR="00B512DB">
        <w:rPr>
          <w:color w:val="000000" w:themeColor="text1"/>
        </w:rPr>
        <w:t>Insite</w:t>
      </w:r>
      <w:r w:rsidR="00496A8F" w:rsidRPr="00C868F2">
        <w:rPr>
          <w:color w:val="000000" w:themeColor="text1"/>
        </w:rPr>
        <w:t xml:space="preserve"> caused the number of estimated ambulance deployments, emergency department visits, and inpatient hospital stay days averted to increase by approximately three times. </w:t>
      </w:r>
      <w:r w:rsidR="0040594C" w:rsidRPr="00C868F2">
        <w:t xml:space="preserve">The 2017 analysis estimated that the SCS would save 5.9 lives while I estimated 13.2 lives being saved, however this difference is expected since overdose rates in Baltimore City have increase since 2017 and this study accounts for overdoses related to all opioid use in 2020. </w:t>
      </w:r>
    </w:p>
    <w:p w14:paraId="037764C3" w14:textId="131DD3C2" w:rsidR="00592185" w:rsidRPr="00C868F2" w:rsidRDefault="00182B93" w:rsidP="00840823">
      <w:pPr>
        <w:spacing w:line="480" w:lineRule="auto"/>
        <w:ind w:firstLine="720"/>
      </w:pPr>
      <w:r>
        <w:lastRenderedPageBreak/>
        <w:t xml:space="preserve">There are a number of limitations when it comes to this CBA. </w:t>
      </w:r>
      <w:r w:rsidR="00592185">
        <w:t xml:space="preserve">Due </w:t>
      </w:r>
      <w:r w:rsidR="004B4E0E">
        <w:t xml:space="preserve">to </w:t>
      </w:r>
      <w:r w:rsidR="00592185">
        <w:t xml:space="preserve">the HIPAA laws, the overdose mortality and morbidity results are to be seen as estimates rather than fact. As previously explained, it is impossible to know exactly where each fatal and non-fatal overdose occurred in the city of Baltimore which is why I had to assume they were evenly spread across their respective zip codes. This is why the sensitivity analysis is an important part of the CBA. </w:t>
      </w:r>
      <w:r>
        <w:t xml:space="preserve">Additionally the associated costs for overdose morbidity are </w:t>
      </w:r>
      <w:r w:rsidR="004B4E0E">
        <w:t>conservative estimates.</w:t>
      </w:r>
      <w:r>
        <w:t xml:space="preserve"> This analysis would benefit from exact cost estimate reports for ambulance deployments, emergency room visits, and inpatient hospital stays due to an overdose</w:t>
      </w:r>
      <w:r w:rsidR="004B4E0E">
        <w:t xml:space="preserve"> in order to get a more accurate idea of the overall benefits</w:t>
      </w:r>
      <w:r>
        <w:t>.</w:t>
      </w:r>
      <w:r w:rsidR="004B4E0E">
        <w:t xml:space="preserve"> </w:t>
      </w:r>
      <w:r w:rsidR="004F2B54">
        <w:t xml:space="preserve"> </w:t>
      </w:r>
    </w:p>
    <w:p w14:paraId="318DF58E" w14:textId="1EBA1D20" w:rsidR="00975418" w:rsidRPr="00C868F2" w:rsidRDefault="00C537C5" w:rsidP="00975418">
      <w:pPr>
        <w:pStyle w:val="Heading1"/>
        <w:spacing w:line="480" w:lineRule="auto"/>
        <w:rPr>
          <w:rFonts w:ascii="Times New Roman" w:hAnsi="Times New Roman" w:cs="Times New Roman"/>
          <w:b/>
          <w:bCs/>
          <w:color w:val="000000" w:themeColor="text1"/>
          <w:sz w:val="24"/>
          <w:szCs w:val="24"/>
        </w:rPr>
      </w:pPr>
      <w:bookmarkStart w:id="32" w:name="_Toc103539052"/>
      <w:r w:rsidRPr="00C868F2">
        <w:rPr>
          <w:rFonts w:ascii="Times New Roman" w:hAnsi="Times New Roman" w:cs="Times New Roman"/>
          <w:b/>
          <w:bCs/>
          <w:color w:val="000000" w:themeColor="text1"/>
          <w:sz w:val="24"/>
          <w:szCs w:val="24"/>
        </w:rPr>
        <w:t>VI</w:t>
      </w:r>
      <w:r w:rsidR="0040594C" w:rsidRPr="00C868F2">
        <w:rPr>
          <w:rFonts w:ascii="Times New Roman" w:hAnsi="Times New Roman" w:cs="Times New Roman"/>
          <w:b/>
          <w:bCs/>
          <w:color w:val="000000" w:themeColor="text1"/>
          <w:sz w:val="24"/>
          <w:szCs w:val="24"/>
        </w:rPr>
        <w:t>I</w:t>
      </w:r>
      <w:r w:rsidRPr="00C868F2">
        <w:rPr>
          <w:rFonts w:ascii="Times New Roman" w:hAnsi="Times New Roman" w:cs="Times New Roman"/>
          <w:b/>
          <w:bCs/>
          <w:color w:val="000000" w:themeColor="text1"/>
          <w:sz w:val="24"/>
          <w:szCs w:val="24"/>
        </w:rPr>
        <w:t xml:space="preserve">. </w:t>
      </w:r>
      <w:r w:rsidR="00263A0B" w:rsidRPr="00C868F2">
        <w:rPr>
          <w:rFonts w:ascii="Times New Roman" w:hAnsi="Times New Roman" w:cs="Times New Roman"/>
          <w:b/>
          <w:bCs/>
          <w:color w:val="000000" w:themeColor="text1"/>
          <w:sz w:val="24"/>
          <w:szCs w:val="24"/>
        </w:rPr>
        <w:t>Conclusion</w:t>
      </w:r>
      <w:bookmarkEnd w:id="32"/>
    </w:p>
    <w:p w14:paraId="2E121BFC" w14:textId="0F3AE381" w:rsidR="0002529F" w:rsidRPr="00C868F2" w:rsidRDefault="003D7D8B" w:rsidP="00B804B9">
      <w:pPr>
        <w:spacing w:line="480" w:lineRule="auto"/>
        <w:ind w:firstLine="720"/>
      </w:pPr>
      <w:r w:rsidRPr="00C868F2">
        <w:t xml:space="preserve">Since the beginning of the </w:t>
      </w:r>
      <w:r w:rsidR="005F7307" w:rsidRPr="00C868F2">
        <w:t>Covid</w:t>
      </w:r>
      <w:r w:rsidRPr="00C868F2">
        <w:t xml:space="preserve"> </w:t>
      </w:r>
      <w:r w:rsidR="00376B24" w:rsidRPr="00C868F2">
        <w:t>-</w:t>
      </w:r>
      <w:r w:rsidRPr="00C868F2">
        <w:t xml:space="preserve">19 pandemic, there has not been an updated CBA for a hypothetical </w:t>
      </w:r>
      <w:r w:rsidR="000A0033" w:rsidRPr="00C868F2">
        <w:t>safe consumption site</w:t>
      </w:r>
      <w:r w:rsidRPr="00C868F2">
        <w:t xml:space="preserve"> in Baltimore City. Additionally, there has not been a cost analysis conducted that takes into account all forms of </w:t>
      </w:r>
      <w:r w:rsidR="00F16675" w:rsidRPr="00C868F2">
        <w:t>opioid</w:t>
      </w:r>
      <w:r w:rsidRPr="00C868F2">
        <w:t xml:space="preserve"> use in Baltimore City</w:t>
      </w:r>
      <w:r w:rsidR="002B0176" w:rsidRPr="00C868F2">
        <w:t>, and uses VSL to estimate benefit.</w:t>
      </w:r>
      <w:r w:rsidRPr="00C868F2">
        <w:t xml:space="preserve"> </w:t>
      </w:r>
      <w:r w:rsidR="00F16675" w:rsidRPr="00C868F2">
        <w:t>This CBA finds that for every $1 spent on the SCS, it will generate $</w:t>
      </w:r>
      <w:r w:rsidR="008D0FF9" w:rsidRPr="00C868F2">
        <w:t>5.91</w:t>
      </w:r>
      <w:r w:rsidR="00F16675" w:rsidRPr="00C868F2">
        <w:t xml:space="preserve"> in savings</w:t>
      </w:r>
      <w:r w:rsidR="002B0176" w:rsidRPr="00C868F2">
        <w:t xml:space="preserve"> when using the present value of a life, however, when using VSL, this analysis finds that for every $1 spent, the SCS will generate $</w:t>
      </w:r>
      <w:r w:rsidR="00E9370E">
        <w:t>105.37</w:t>
      </w:r>
      <w:r w:rsidR="002B0176" w:rsidRPr="00C868F2">
        <w:t xml:space="preserve"> in benefits</w:t>
      </w:r>
      <w:r w:rsidR="00F16675" w:rsidRPr="00C868F2">
        <w:t>. All of the scenarios analyzed for this hypothetical SCS show positive net benefits ranging from roughly $1</w:t>
      </w:r>
      <w:r w:rsidR="00E45264" w:rsidRPr="00C868F2">
        <w:t>30</w:t>
      </w:r>
      <w:r w:rsidR="00F16675" w:rsidRPr="00C868F2">
        <w:t xml:space="preserve"> million annually to $</w:t>
      </w:r>
      <w:r w:rsidR="00E45264" w:rsidRPr="00C868F2">
        <w:t>2</w:t>
      </w:r>
      <w:r w:rsidR="00EE6309">
        <w:t xml:space="preserve">89 </w:t>
      </w:r>
      <w:r w:rsidR="00F16675" w:rsidRPr="00C868F2">
        <w:t xml:space="preserve">million annually. </w:t>
      </w:r>
      <w:r w:rsidR="00C35491" w:rsidRPr="00C868F2">
        <w:t>This analysis also shows that the SCS would prevent 13.2 fatal overdoses, 593 ambulance deployments, 423.4 emergency room visits, and 143.4 days of inpatient hospital stays related to opioid use. Additionally, 44.9 PWUD would successfully enroll into</w:t>
      </w:r>
      <w:r w:rsidR="00E45264" w:rsidRPr="00C868F2">
        <w:t xml:space="preserve"> medication-assisted treatment</w:t>
      </w:r>
      <w:r w:rsidR="00C35491" w:rsidRPr="00C868F2">
        <w:t xml:space="preserve">. </w:t>
      </w:r>
      <w:r w:rsidR="0040594C" w:rsidRPr="00C868F2">
        <w:t>Overall, according to this analysis a SCS in Baltimore City has the potential to save lives and save costs.</w:t>
      </w:r>
    </w:p>
    <w:p w14:paraId="75948E1C" w14:textId="7C36390C" w:rsidR="000B4100" w:rsidRPr="00C868F2" w:rsidRDefault="000B4100" w:rsidP="006A42AA">
      <w:pPr>
        <w:pStyle w:val="Heading1"/>
        <w:jc w:val="center"/>
        <w:rPr>
          <w:rFonts w:ascii="Times New Roman" w:hAnsi="Times New Roman" w:cs="Times New Roman"/>
          <w:b/>
          <w:bCs/>
          <w:color w:val="000000" w:themeColor="text1"/>
          <w:sz w:val="24"/>
          <w:szCs w:val="24"/>
        </w:rPr>
      </w:pPr>
      <w:bookmarkStart w:id="33" w:name="_Toc98619878"/>
      <w:bookmarkStart w:id="34" w:name="_Toc103539053"/>
      <w:r w:rsidRPr="00C868F2">
        <w:rPr>
          <w:rFonts w:ascii="Times New Roman" w:hAnsi="Times New Roman" w:cs="Times New Roman"/>
          <w:b/>
          <w:bCs/>
          <w:color w:val="000000" w:themeColor="text1"/>
          <w:sz w:val="24"/>
          <w:szCs w:val="24"/>
        </w:rPr>
        <w:lastRenderedPageBreak/>
        <w:t>References</w:t>
      </w:r>
      <w:bookmarkEnd w:id="33"/>
      <w:bookmarkEnd w:id="34"/>
    </w:p>
    <w:p w14:paraId="5F1CC440" w14:textId="5ACDF042" w:rsidR="000B4100" w:rsidRPr="00C868F2" w:rsidRDefault="000B4100" w:rsidP="000B4100">
      <w:pPr>
        <w:pStyle w:val="NormalWeb"/>
        <w:ind w:left="567" w:hanging="567"/>
      </w:pPr>
      <w:r w:rsidRPr="00C868F2">
        <w:t xml:space="preserve">Agency for Healthcare Research and Quality. (2019). </w:t>
      </w:r>
      <w:r w:rsidRPr="00C868F2">
        <w:rPr>
          <w:i/>
          <w:iCs/>
        </w:rPr>
        <w:t>National Healthcare Quality and Disparities Reports</w:t>
      </w:r>
      <w:r w:rsidRPr="00C868F2">
        <w:t xml:space="preserve">. NHQDR Web Site </w:t>
      </w:r>
      <w:r w:rsidR="00376B24" w:rsidRPr="00C868F2">
        <w:t>-</w:t>
      </w:r>
      <w:r w:rsidRPr="00C868F2">
        <w:t xml:space="preserve">Opioids Page. Retrieved February 4, 2022, from https://nhqrnet.ahrq.gov/inhqrdr/opioids/opioids#measureData </w:t>
      </w:r>
    </w:p>
    <w:p w14:paraId="6DA1C3A8" w14:textId="77777777" w:rsidR="000B4100" w:rsidRPr="00C868F2" w:rsidRDefault="000B4100" w:rsidP="000B4100">
      <w:pPr>
        <w:pStyle w:val="NormalWeb"/>
        <w:ind w:left="567" w:hanging="567"/>
        <w:rPr>
          <w:color w:val="000000" w:themeColor="text1"/>
        </w:rPr>
      </w:pPr>
      <w:r w:rsidRPr="00C868F2">
        <w:rPr>
          <w:color w:val="000000" w:themeColor="text1"/>
        </w:rPr>
        <w:t xml:space="preserve">Associated Press. (2021, July 1). </w:t>
      </w:r>
      <w:r w:rsidRPr="00C868F2">
        <w:rPr>
          <w:i/>
          <w:iCs/>
          <w:color w:val="000000" w:themeColor="text1"/>
        </w:rPr>
        <w:t>State poised to become first to pilot drug injection sites</w:t>
      </w:r>
      <w:r w:rsidRPr="00C868F2">
        <w:rPr>
          <w:color w:val="000000" w:themeColor="text1"/>
        </w:rPr>
        <w:t xml:space="preserve">. Retrieved February 4, 2022, from https://www.usnews.com/news/best-states/rhode-island/articles/2021-07-01/state-poised-to-become-first-to-pilot-drug-injection-sites </w:t>
      </w:r>
    </w:p>
    <w:p w14:paraId="71DC0042" w14:textId="39ECED1E" w:rsidR="000B4100" w:rsidRPr="00C868F2" w:rsidRDefault="000B4100" w:rsidP="000B4100">
      <w:pPr>
        <w:pStyle w:val="NormalWeb"/>
        <w:ind w:left="567" w:hanging="567"/>
        <w:rPr>
          <w:color w:val="000000" w:themeColor="text1"/>
        </w:rPr>
      </w:pPr>
      <w:r w:rsidRPr="00C868F2">
        <w:rPr>
          <w:color w:val="000000" w:themeColor="text1"/>
        </w:rPr>
        <w:t xml:space="preserve">Belackova, V., Salmon, A. M., Schatz, E., &amp; Jauncey, M. (2018). Drug Consumption Rooms (dcrs) as a setting to address HCV </w:t>
      </w:r>
      <w:r w:rsidR="00376B24" w:rsidRPr="00C868F2">
        <w:rPr>
          <w:color w:val="000000" w:themeColor="text1"/>
        </w:rPr>
        <w:t>-</w:t>
      </w:r>
      <w:r w:rsidRPr="00C868F2">
        <w:rPr>
          <w:color w:val="000000" w:themeColor="text1"/>
        </w:rPr>
        <w:t xml:space="preserve">findings from an international online survey. </w:t>
      </w:r>
      <w:r w:rsidRPr="00C868F2">
        <w:rPr>
          <w:i/>
          <w:iCs/>
          <w:color w:val="000000" w:themeColor="text1"/>
        </w:rPr>
        <w:t>Hepatology, Medicine and Policy</w:t>
      </w:r>
      <w:r w:rsidRPr="00C868F2">
        <w:rPr>
          <w:color w:val="000000" w:themeColor="text1"/>
        </w:rPr>
        <w:t xml:space="preserve">, </w:t>
      </w:r>
      <w:r w:rsidRPr="00C868F2">
        <w:rPr>
          <w:i/>
          <w:iCs/>
          <w:color w:val="000000" w:themeColor="text1"/>
        </w:rPr>
        <w:t>3</w:t>
      </w:r>
      <w:r w:rsidRPr="00C868F2">
        <w:rPr>
          <w:color w:val="000000" w:themeColor="text1"/>
        </w:rPr>
        <w:t xml:space="preserve">(1). https://doi.org/10.1186/s41124-018-0035-6 </w:t>
      </w:r>
    </w:p>
    <w:p w14:paraId="657F3816" w14:textId="0D32CBF2" w:rsidR="001F615A" w:rsidRPr="00C868F2" w:rsidRDefault="001F615A" w:rsidP="001F615A">
      <w:pPr>
        <w:spacing w:before="100" w:beforeAutospacing="1" w:after="100" w:afterAutospacing="1"/>
        <w:ind w:left="567" w:hanging="567"/>
        <w:rPr>
          <w:color w:val="000000"/>
        </w:rPr>
      </w:pPr>
      <w:r w:rsidRPr="00C868F2">
        <w:rPr>
          <w:color w:val="000000"/>
        </w:rPr>
        <w:t xml:space="preserve">Centers for Disease Control and </w:t>
      </w:r>
      <w:r w:rsidR="003C09E0" w:rsidRPr="00C868F2">
        <w:rPr>
          <w:color w:val="000000"/>
        </w:rPr>
        <w:t>Prevention</w:t>
      </w:r>
      <w:r w:rsidRPr="00C868F2">
        <w:rPr>
          <w:color w:val="000000"/>
        </w:rPr>
        <w:t>. (2022, January 16). </w:t>
      </w:r>
      <w:r w:rsidRPr="00C868F2">
        <w:rPr>
          <w:i/>
          <w:iCs/>
          <w:color w:val="000000"/>
        </w:rPr>
        <w:t>Opioid overdose crisis</w:t>
      </w:r>
      <w:r w:rsidRPr="00C868F2">
        <w:rPr>
          <w:color w:val="000000"/>
        </w:rPr>
        <w:t>. CDC. Retrieved April 27, 2022, from https://nida.nih.gov/drug-topics/opioids/opioid-overdose-crisis </w:t>
      </w:r>
    </w:p>
    <w:p w14:paraId="2002EA7A" w14:textId="77777777" w:rsidR="000B4100" w:rsidRPr="00C868F2" w:rsidRDefault="000B4100" w:rsidP="000B4100">
      <w:pPr>
        <w:pStyle w:val="NormalWeb"/>
        <w:ind w:left="567" w:hanging="567"/>
        <w:rPr>
          <w:color w:val="000000" w:themeColor="text1"/>
        </w:rPr>
      </w:pPr>
      <w:r w:rsidRPr="00C868F2">
        <w:rPr>
          <w:color w:val="000000" w:themeColor="text1"/>
        </w:rPr>
        <w:t xml:space="preserve">Centers for Disease Control and Prevention. (2021, November 17). </w:t>
      </w:r>
      <w:r w:rsidRPr="00C868F2">
        <w:rPr>
          <w:i/>
          <w:iCs/>
          <w:color w:val="000000" w:themeColor="text1"/>
        </w:rPr>
        <w:t>Drug overdose deaths in the U.S. top 100,000 annually</w:t>
      </w:r>
      <w:r w:rsidRPr="00C868F2">
        <w:rPr>
          <w:color w:val="000000" w:themeColor="text1"/>
        </w:rPr>
        <w:t xml:space="preserve">. Centers for Disease Control and Prevention. Retrieved February 4, 2022, from https://www.cdc.gov/nchs/pressroom/nchs_press_releases/2021/20211117.htm </w:t>
      </w:r>
    </w:p>
    <w:p w14:paraId="2AE9FF99" w14:textId="77777777" w:rsidR="000B4100" w:rsidRPr="00C868F2" w:rsidRDefault="000B4100" w:rsidP="000B4100">
      <w:pPr>
        <w:pStyle w:val="NormalWeb"/>
        <w:ind w:left="567" w:hanging="567"/>
        <w:rPr>
          <w:color w:val="000000" w:themeColor="text1"/>
        </w:rPr>
      </w:pPr>
      <w:r w:rsidRPr="00C868F2">
        <w:rPr>
          <w:color w:val="000000" w:themeColor="text1"/>
        </w:rPr>
        <w:t xml:space="preserve">Centers for Medicare &amp; Medicaid Services. (2021). </w:t>
      </w:r>
      <w:r w:rsidRPr="00C868F2">
        <w:rPr>
          <w:i/>
          <w:iCs/>
          <w:color w:val="000000" w:themeColor="text1"/>
        </w:rPr>
        <w:t>Emergency medical treatment &amp; labor act (EMTALA)</w:t>
      </w:r>
      <w:r w:rsidRPr="00C868F2">
        <w:rPr>
          <w:color w:val="000000" w:themeColor="text1"/>
        </w:rPr>
        <w:t xml:space="preserve">. CMS. Retrieved February 4, 2022, from https://www.cms.gov/Regulations-and-Guidance/Legislation/EMTALA </w:t>
      </w:r>
    </w:p>
    <w:p w14:paraId="6DFF49AD" w14:textId="77777777" w:rsidR="000B4100" w:rsidRPr="00C868F2" w:rsidRDefault="000B4100" w:rsidP="000B4100">
      <w:pPr>
        <w:spacing w:before="100" w:beforeAutospacing="1" w:after="100" w:afterAutospacing="1"/>
        <w:ind w:left="567" w:hanging="567"/>
        <w:rPr>
          <w:color w:val="000000"/>
        </w:rPr>
      </w:pPr>
      <w:r w:rsidRPr="00C868F2">
        <w:rPr>
          <w:color w:val="000000"/>
        </w:rPr>
        <w:t>Cusick, J., Montecinos Director, C., Hananel Director, S., Oduyeru, L., Gordon Director, P., Parshall, J., . . . Chatterji, R. (2021, October 28). Ending the war on drugs: By the numbers. Retrieved February 10, 2022, from https://www.americanprogress.org/article/ending-war-drugs-numbers/</w:t>
      </w:r>
    </w:p>
    <w:p w14:paraId="1923E7B1" w14:textId="16BCFD06" w:rsidR="003216B4" w:rsidRPr="00C868F2" w:rsidRDefault="003216B4" w:rsidP="000B4100">
      <w:pPr>
        <w:pStyle w:val="NormalWeb"/>
        <w:ind w:left="567" w:hanging="567"/>
        <w:rPr>
          <w:color w:val="000000" w:themeColor="text1"/>
        </w:rPr>
      </w:pPr>
      <w:r w:rsidRPr="00C868F2">
        <w:rPr>
          <w:color w:val="000000" w:themeColor="text1"/>
        </w:rPr>
        <w:t>DeCuir, J., Lovasi, G. S., El-Sayed, A., &amp; Lewis, C. F. (2018). The association between neighborhood socioeconomic disadvantage and high-risk injection behavior among people who inject drugs. Drug and alcohol dependence, 183, 184–191. https://doi.org/10.1016/j.drugalcdep.2017.10.025</w:t>
      </w:r>
    </w:p>
    <w:p w14:paraId="75BA5B6B" w14:textId="3E428638" w:rsidR="000B4100" w:rsidRPr="00C868F2" w:rsidRDefault="000B4100" w:rsidP="000B4100">
      <w:pPr>
        <w:pStyle w:val="NormalWeb"/>
        <w:ind w:left="567" w:hanging="567"/>
        <w:rPr>
          <w:color w:val="000000" w:themeColor="text1"/>
        </w:rPr>
      </w:pPr>
      <w:r w:rsidRPr="00C868F2">
        <w:rPr>
          <w:color w:val="000000" w:themeColor="text1"/>
        </w:rPr>
        <w:t xml:space="preserve">DelVillano, S., de Groh, M., Morrison, H., &amp; Do, M. T. (2019). At-a-glance </w:t>
      </w:r>
      <w:r w:rsidR="00376B24" w:rsidRPr="00C868F2">
        <w:rPr>
          <w:color w:val="000000" w:themeColor="text1"/>
        </w:rPr>
        <w:t>-</w:t>
      </w:r>
      <w:r w:rsidRPr="00C868F2">
        <w:rPr>
          <w:color w:val="000000" w:themeColor="text1"/>
        </w:rPr>
        <w:t xml:space="preserve">supervised injection services: A community-based response to the opioid crisis in the City of Ottawa, Canada. </w:t>
      </w:r>
      <w:r w:rsidRPr="00C868F2">
        <w:rPr>
          <w:i/>
          <w:iCs/>
          <w:color w:val="000000" w:themeColor="text1"/>
        </w:rPr>
        <w:t>Health Promotion and Chronic Disease Prevention in Canada</w:t>
      </w:r>
      <w:r w:rsidRPr="00C868F2">
        <w:rPr>
          <w:color w:val="000000" w:themeColor="text1"/>
        </w:rPr>
        <w:t xml:space="preserve">, </w:t>
      </w:r>
      <w:r w:rsidRPr="00C868F2">
        <w:rPr>
          <w:i/>
          <w:iCs/>
          <w:color w:val="000000" w:themeColor="text1"/>
        </w:rPr>
        <w:t>39</w:t>
      </w:r>
      <w:r w:rsidRPr="00C868F2">
        <w:rPr>
          <w:color w:val="000000" w:themeColor="text1"/>
        </w:rPr>
        <w:t xml:space="preserve">(3), 112–115. https://doi.org/10.24095/hpcdp.39.3.03 </w:t>
      </w:r>
    </w:p>
    <w:p w14:paraId="6701D071" w14:textId="77777777" w:rsidR="006C002E" w:rsidRPr="00C868F2" w:rsidRDefault="006C002E" w:rsidP="006C002E">
      <w:pPr>
        <w:spacing w:before="100" w:beforeAutospacing="1" w:after="100" w:afterAutospacing="1"/>
        <w:ind w:left="567" w:hanging="567"/>
      </w:pPr>
      <w:r w:rsidRPr="00C868F2">
        <w:t xml:space="preserve">Department of Justice. (2021, January 13). </w:t>
      </w:r>
      <w:r w:rsidRPr="00C868F2">
        <w:rPr>
          <w:i/>
          <w:iCs/>
        </w:rPr>
        <w:t>Appellate Court agrees with government that supervised injection sites are illegal under federal law; reverses District Court ruling</w:t>
      </w:r>
      <w:r w:rsidRPr="00C868F2">
        <w:t xml:space="preserve">. The United States Department of Justice. Retrieved May 13, 2022, from </w:t>
      </w:r>
      <w:r w:rsidRPr="00C868F2">
        <w:lastRenderedPageBreak/>
        <w:t xml:space="preserve">https://www.justice.gov/opa/pr/appellate-court-agrees-government-supervised-injection-sites-are-illegal-under-federal-law </w:t>
      </w:r>
    </w:p>
    <w:p w14:paraId="09521588" w14:textId="77777777" w:rsidR="00FA109A" w:rsidRPr="00C868F2" w:rsidRDefault="00FA109A" w:rsidP="00FA109A">
      <w:pPr>
        <w:pStyle w:val="NormalWeb"/>
        <w:ind w:left="567" w:hanging="567"/>
        <w:rPr>
          <w:color w:val="000000"/>
        </w:rPr>
      </w:pPr>
      <w:r w:rsidRPr="00C868F2">
        <w:rPr>
          <w:color w:val="000000"/>
        </w:rPr>
        <w:t>Ellison, A. (n.d.).</w:t>
      </w:r>
      <w:r w:rsidRPr="00C868F2">
        <w:rPr>
          <w:rStyle w:val="apple-converted-space"/>
          <w:color w:val="000000"/>
        </w:rPr>
        <w:t> </w:t>
      </w:r>
      <w:r w:rsidRPr="00C868F2">
        <w:rPr>
          <w:i/>
          <w:iCs/>
          <w:color w:val="000000"/>
        </w:rPr>
        <w:t>Average hospital expenses per inpatient day across 50 states</w:t>
      </w:r>
      <w:r w:rsidRPr="00C868F2">
        <w:rPr>
          <w:color w:val="000000"/>
        </w:rPr>
        <w:t>. Becker's Hospital Review. Retrieved April 14, 2022, from https://www.beckershospitalreview.com/finance/average-hospital-expenses-per-inpatient-day-across-50-states.html</w:t>
      </w:r>
      <w:r w:rsidRPr="00C868F2">
        <w:rPr>
          <w:rStyle w:val="apple-converted-space"/>
          <w:color w:val="000000"/>
        </w:rPr>
        <w:t> </w:t>
      </w:r>
    </w:p>
    <w:p w14:paraId="2D10A70C" w14:textId="2A192571" w:rsidR="00FA109A" w:rsidRPr="00C868F2" w:rsidRDefault="00FA109A" w:rsidP="00FA109A">
      <w:pPr>
        <w:pStyle w:val="NormalWeb"/>
        <w:ind w:left="567" w:hanging="567"/>
        <w:rPr>
          <w:color w:val="000000"/>
        </w:rPr>
      </w:pPr>
      <w:r w:rsidRPr="00C868F2">
        <w:rPr>
          <w:i/>
          <w:iCs/>
          <w:color w:val="000000"/>
        </w:rPr>
        <w:t xml:space="preserve">Emergency medical services </w:t>
      </w:r>
      <w:r w:rsidR="00376B24" w:rsidRPr="00C868F2">
        <w:rPr>
          <w:i/>
          <w:iCs/>
          <w:color w:val="000000"/>
        </w:rPr>
        <w:t>-</w:t>
      </w:r>
      <w:r w:rsidRPr="00C868F2">
        <w:rPr>
          <w:i/>
          <w:iCs/>
          <w:color w:val="000000"/>
        </w:rPr>
        <w:t>baltimore county</w:t>
      </w:r>
      <w:r w:rsidRPr="00C868F2">
        <w:rPr>
          <w:color w:val="000000"/>
        </w:rPr>
        <w:t>. Baltimore County Government. (2022, March 17). Retrieved April 14, 2022, from https://www.baltimorecountymd.gov/departments/fire/ems/#:~:text=The%20fees%20are%20%24700%20or,%2410%20per%20mile%20of%20transport.</w:t>
      </w:r>
      <w:r w:rsidRPr="00C868F2">
        <w:rPr>
          <w:rStyle w:val="apple-converted-space"/>
          <w:color w:val="000000"/>
        </w:rPr>
        <w:t> </w:t>
      </w:r>
    </w:p>
    <w:p w14:paraId="72E54A61" w14:textId="77777777" w:rsidR="000B4100" w:rsidRPr="00C868F2" w:rsidRDefault="000B4100" w:rsidP="000B4100">
      <w:pPr>
        <w:pStyle w:val="NormalWeb"/>
        <w:ind w:left="567" w:hanging="567"/>
      </w:pPr>
      <w:r w:rsidRPr="00C868F2">
        <w:t xml:space="preserve">Hood, J. E., Behrends, C. N., Irwin, A., Schackman, B. R., Chan, D., Hartfield, K., Hess, J., Banta-Green, C., Whiteside, L., Finegood, B., &amp; Duchin, J. (2019). The projected costs and benefits of a supervised injection facility in Seattle, WA, USA. </w:t>
      </w:r>
      <w:r w:rsidRPr="00C868F2">
        <w:rPr>
          <w:i/>
          <w:iCs/>
        </w:rPr>
        <w:t>International Journal of Drug Policy</w:t>
      </w:r>
      <w:r w:rsidRPr="00C868F2">
        <w:t xml:space="preserve">, </w:t>
      </w:r>
      <w:r w:rsidRPr="00C868F2">
        <w:rPr>
          <w:i/>
          <w:iCs/>
        </w:rPr>
        <w:t>67</w:t>
      </w:r>
      <w:r w:rsidRPr="00C868F2">
        <w:t xml:space="preserve">, 9–18. https://doi.org/10.1016/j.drugpo.2018.12.015 </w:t>
      </w:r>
    </w:p>
    <w:p w14:paraId="61634EF7" w14:textId="2DFF215C" w:rsidR="000B4100" w:rsidRPr="00C868F2" w:rsidRDefault="00B512DB" w:rsidP="000B4100">
      <w:pPr>
        <w:pStyle w:val="NormalWeb"/>
        <w:ind w:left="567" w:hanging="567"/>
        <w:rPr>
          <w:color w:val="000000"/>
        </w:rPr>
      </w:pPr>
      <w:r>
        <w:rPr>
          <w:color w:val="000000"/>
        </w:rPr>
        <w:t>Insite</w:t>
      </w:r>
      <w:r w:rsidR="000B4100" w:rsidRPr="00C868F2">
        <w:rPr>
          <w:color w:val="000000"/>
        </w:rPr>
        <w:t xml:space="preserve"> user statistics. (2019). Retrieved March 19, 2022, from http://www.vch.ca/public-health/harm-reduction/supervised-consumption-sites/</w:t>
      </w:r>
      <w:r>
        <w:rPr>
          <w:color w:val="000000"/>
        </w:rPr>
        <w:t>Insite</w:t>
      </w:r>
      <w:r w:rsidR="000B4100" w:rsidRPr="00C868F2">
        <w:rPr>
          <w:color w:val="000000"/>
        </w:rPr>
        <w:t>-user-statistics</w:t>
      </w:r>
      <w:r w:rsidR="000B4100" w:rsidRPr="00C868F2">
        <w:rPr>
          <w:rStyle w:val="apple-converted-space"/>
          <w:color w:val="000000"/>
        </w:rPr>
        <w:t> </w:t>
      </w:r>
    </w:p>
    <w:p w14:paraId="39D950F1" w14:textId="77777777" w:rsidR="000B4100" w:rsidRPr="00C868F2" w:rsidRDefault="000B4100" w:rsidP="000B4100">
      <w:pPr>
        <w:pStyle w:val="NormalWeb"/>
        <w:ind w:left="567" w:hanging="567"/>
        <w:rPr>
          <w:color w:val="000000" w:themeColor="text1"/>
        </w:rPr>
      </w:pPr>
      <w:r w:rsidRPr="00C868F2">
        <w:rPr>
          <w:color w:val="000000" w:themeColor="text1"/>
        </w:rPr>
        <w:t xml:space="preserve">Irwin, A., Jozaghi, E., Bluthenthal, R. N., &amp; Kral, A. H. (2016). A cost-benefit analysis of a potential supervised injection facility in San Francisco, California, USA. </w:t>
      </w:r>
      <w:r w:rsidRPr="00C868F2">
        <w:rPr>
          <w:i/>
          <w:iCs/>
          <w:color w:val="000000" w:themeColor="text1"/>
        </w:rPr>
        <w:t>Journal of Drug Issues</w:t>
      </w:r>
      <w:r w:rsidRPr="00C868F2">
        <w:rPr>
          <w:color w:val="000000" w:themeColor="text1"/>
        </w:rPr>
        <w:t xml:space="preserve">, </w:t>
      </w:r>
      <w:r w:rsidRPr="00C868F2">
        <w:rPr>
          <w:i/>
          <w:iCs/>
          <w:color w:val="000000" w:themeColor="text1"/>
        </w:rPr>
        <w:t>47</w:t>
      </w:r>
      <w:r w:rsidRPr="00C868F2">
        <w:rPr>
          <w:color w:val="000000" w:themeColor="text1"/>
        </w:rPr>
        <w:t xml:space="preserve">(2), 164–184. https://doi.org/10.1177/0022042616679829 </w:t>
      </w:r>
    </w:p>
    <w:p w14:paraId="61030703" w14:textId="77777777" w:rsidR="000B4100" w:rsidRPr="00C868F2" w:rsidRDefault="000B4100" w:rsidP="000B4100">
      <w:pPr>
        <w:pStyle w:val="NormalWeb"/>
        <w:ind w:left="567" w:hanging="567"/>
      </w:pPr>
      <w:r w:rsidRPr="00C868F2">
        <w:t xml:space="preserve">Irwin, A., Jozaghi, E., Weir, B. W., Allen, S. T., Lindsay, A., &amp; Sherman, S. G. (2017). Mitigating the heroin crisis in Baltimore, MD, USA: A cost-benefit analysis of a hypothetical supervised injection facility. </w:t>
      </w:r>
      <w:r w:rsidRPr="00C868F2">
        <w:rPr>
          <w:i/>
          <w:iCs/>
        </w:rPr>
        <w:t>Harm Reduction Journal</w:t>
      </w:r>
      <w:r w:rsidRPr="00C868F2">
        <w:t xml:space="preserve">, </w:t>
      </w:r>
      <w:r w:rsidRPr="00C868F2">
        <w:rPr>
          <w:i/>
          <w:iCs/>
        </w:rPr>
        <w:t>14</w:t>
      </w:r>
      <w:r w:rsidRPr="00C868F2">
        <w:t xml:space="preserve">(1). https://doi.org/10.1186/s12954-017-0153-2 </w:t>
      </w:r>
    </w:p>
    <w:p w14:paraId="4C30F9A5" w14:textId="77777777" w:rsidR="000B4100" w:rsidRPr="00C868F2" w:rsidRDefault="000B4100" w:rsidP="000B4100">
      <w:pPr>
        <w:pStyle w:val="NormalWeb"/>
        <w:ind w:left="567" w:hanging="567"/>
        <w:rPr>
          <w:color w:val="000000" w:themeColor="text1"/>
        </w:rPr>
      </w:pPr>
      <w:r w:rsidRPr="00C868F2">
        <w:rPr>
          <w:color w:val="000000" w:themeColor="text1"/>
        </w:rPr>
        <w:t xml:space="preserve">Keisler-Starkey, K., &amp; Bunch, L. (2021, October 18). </w:t>
      </w:r>
      <w:r w:rsidRPr="00C868F2">
        <w:rPr>
          <w:i/>
          <w:iCs/>
          <w:color w:val="000000" w:themeColor="text1"/>
        </w:rPr>
        <w:t>Health insurance coverage in the United States: 2020</w:t>
      </w:r>
      <w:r w:rsidRPr="00C868F2">
        <w:rPr>
          <w:color w:val="000000" w:themeColor="text1"/>
        </w:rPr>
        <w:t xml:space="preserve">. Census.gov. Retrieved February 4, 2022, from https://www.census.gov/library/publications/2021/demo/p60-274.html </w:t>
      </w:r>
    </w:p>
    <w:p w14:paraId="0DE61CF1" w14:textId="77777777" w:rsidR="000B4100" w:rsidRPr="00C868F2" w:rsidRDefault="000B4100" w:rsidP="000B4100">
      <w:pPr>
        <w:pStyle w:val="NormalWeb"/>
        <w:ind w:left="567" w:hanging="567"/>
        <w:rPr>
          <w:color w:val="000000" w:themeColor="text1"/>
        </w:rPr>
      </w:pPr>
      <w:r w:rsidRPr="00C868F2">
        <w:rPr>
          <w:color w:val="000000" w:themeColor="text1"/>
        </w:rPr>
        <w:t xml:space="preserve">Kennedy, M. C., Hayashi, K., Milloy, M.-J., Wood, E., &amp; Kerr, T. (2019). Supervised injection facility use and all-cause mortality among people who inject drugs in Vancouver, Canada: A cohort study. </w:t>
      </w:r>
      <w:r w:rsidRPr="00C868F2">
        <w:rPr>
          <w:i/>
          <w:iCs/>
          <w:color w:val="000000" w:themeColor="text1"/>
        </w:rPr>
        <w:t>PLOS Medicine</w:t>
      </w:r>
      <w:r w:rsidRPr="00C868F2">
        <w:rPr>
          <w:color w:val="000000" w:themeColor="text1"/>
        </w:rPr>
        <w:t xml:space="preserve">, </w:t>
      </w:r>
      <w:r w:rsidRPr="00C868F2">
        <w:rPr>
          <w:i/>
          <w:iCs/>
          <w:color w:val="000000" w:themeColor="text1"/>
        </w:rPr>
        <w:t>16</w:t>
      </w:r>
      <w:r w:rsidRPr="00C868F2">
        <w:rPr>
          <w:color w:val="000000" w:themeColor="text1"/>
        </w:rPr>
        <w:t xml:space="preserve">(11). https://doi.org/10.1371/journal.pmed.1002964 </w:t>
      </w:r>
    </w:p>
    <w:p w14:paraId="4FF0EF8A" w14:textId="77777777" w:rsidR="000B4100" w:rsidRPr="00C868F2" w:rsidRDefault="000B4100" w:rsidP="000B4100">
      <w:pPr>
        <w:pStyle w:val="NormalWeb"/>
        <w:ind w:left="567" w:hanging="567"/>
        <w:rPr>
          <w:color w:val="000000" w:themeColor="text1"/>
        </w:rPr>
      </w:pPr>
      <w:r w:rsidRPr="00C868F2">
        <w:rPr>
          <w:color w:val="000000" w:themeColor="text1"/>
        </w:rPr>
        <w:t xml:space="preserve">Kral, A. H., &amp; Davidson, P. J. (2017). Addressing the nation’s opioid epidemic: Lessons from an unsanctioned supervised injection site in the U.S. </w:t>
      </w:r>
      <w:r w:rsidRPr="00C868F2">
        <w:rPr>
          <w:i/>
          <w:iCs/>
          <w:color w:val="000000" w:themeColor="text1"/>
        </w:rPr>
        <w:t>American Journal of Preventive Medicine</w:t>
      </w:r>
      <w:r w:rsidRPr="00C868F2">
        <w:rPr>
          <w:color w:val="000000" w:themeColor="text1"/>
        </w:rPr>
        <w:t xml:space="preserve">, </w:t>
      </w:r>
      <w:r w:rsidRPr="00C868F2">
        <w:rPr>
          <w:i/>
          <w:iCs/>
          <w:color w:val="000000" w:themeColor="text1"/>
        </w:rPr>
        <w:t>53</w:t>
      </w:r>
      <w:r w:rsidRPr="00C868F2">
        <w:rPr>
          <w:color w:val="000000" w:themeColor="text1"/>
        </w:rPr>
        <w:t xml:space="preserve">(6), 919–922. https://doi.org/10.1016/j.amepre.2017.06.010 </w:t>
      </w:r>
    </w:p>
    <w:p w14:paraId="365D36D9" w14:textId="77777777" w:rsidR="005C499C" w:rsidRPr="005C499C" w:rsidRDefault="005C499C" w:rsidP="005C499C">
      <w:pPr>
        <w:spacing w:before="100" w:beforeAutospacing="1" w:after="100" w:afterAutospacing="1"/>
        <w:ind w:left="567" w:hanging="567"/>
        <w:rPr>
          <w:color w:val="000000"/>
        </w:rPr>
      </w:pPr>
      <w:r w:rsidRPr="005C499C">
        <w:rPr>
          <w:color w:val="000000"/>
        </w:rPr>
        <w:t>Maryland. (2021, December 15). Baltimore City Fire Department Clinician-Administered Naloxone. Baltimore City. </w:t>
      </w:r>
    </w:p>
    <w:p w14:paraId="69225E7E" w14:textId="14956CFE" w:rsidR="000B4100" w:rsidRPr="00C868F2" w:rsidRDefault="000B4100" w:rsidP="000B4100">
      <w:pPr>
        <w:pStyle w:val="NormalWeb"/>
        <w:ind w:left="567" w:hanging="567"/>
        <w:rPr>
          <w:color w:val="000000"/>
        </w:rPr>
      </w:pPr>
      <w:r w:rsidRPr="00C868F2">
        <w:rPr>
          <w:color w:val="000000"/>
        </w:rPr>
        <w:lastRenderedPageBreak/>
        <w:t>Maryland Department of Health. (2021).</w:t>
      </w:r>
      <w:r w:rsidRPr="00C868F2">
        <w:rPr>
          <w:rStyle w:val="apple-converted-space"/>
          <w:color w:val="000000"/>
        </w:rPr>
        <w:t> </w:t>
      </w:r>
      <w:r w:rsidRPr="00C868F2">
        <w:rPr>
          <w:i/>
          <w:iCs/>
          <w:color w:val="000000"/>
        </w:rPr>
        <w:t>Maryland Department of Health VSA: Unintentional Drug</w:t>
      </w:r>
      <w:r w:rsidR="00376B24" w:rsidRPr="00C868F2">
        <w:rPr>
          <w:i/>
          <w:iCs/>
          <w:color w:val="000000"/>
        </w:rPr>
        <w:t>-</w:t>
      </w:r>
      <w:r w:rsidRPr="00C868F2">
        <w:rPr>
          <w:i/>
          <w:iCs/>
          <w:color w:val="000000"/>
        </w:rPr>
        <w:t>and Alcohol-Related Intoxication Deaths in Maryland, 2020</w:t>
      </w:r>
      <w:r w:rsidRPr="00C868F2">
        <w:rPr>
          <w:color w:val="000000"/>
        </w:rPr>
        <w:t>. Maryland.gov Enterprise Agency Template. Retrieved March 19, 2022, from https://health.maryland.gov/vsa/Pages/overdose.aspx</w:t>
      </w:r>
      <w:r w:rsidRPr="00C868F2">
        <w:rPr>
          <w:rStyle w:val="apple-converted-space"/>
          <w:color w:val="000000"/>
        </w:rPr>
        <w:t> </w:t>
      </w:r>
    </w:p>
    <w:p w14:paraId="668FEE0C" w14:textId="77777777" w:rsidR="000B4100" w:rsidRPr="00C868F2" w:rsidRDefault="000B4100" w:rsidP="000B4100">
      <w:pPr>
        <w:pStyle w:val="NormalWeb"/>
        <w:ind w:left="567" w:hanging="567"/>
        <w:rPr>
          <w:color w:val="000000" w:themeColor="text1"/>
        </w:rPr>
      </w:pPr>
      <w:r w:rsidRPr="00C868F2">
        <w:rPr>
          <w:color w:val="000000" w:themeColor="text1"/>
        </w:rPr>
        <w:t xml:space="preserve">Mays, J. C., &amp; Newman, A. (2021, November 30). </w:t>
      </w:r>
      <w:r w:rsidRPr="00C868F2">
        <w:rPr>
          <w:i/>
          <w:iCs/>
          <w:color w:val="000000" w:themeColor="text1"/>
        </w:rPr>
        <w:t>Nation's first supervised drug-injection sites open in New York</w:t>
      </w:r>
      <w:r w:rsidRPr="00C868F2">
        <w:rPr>
          <w:color w:val="000000" w:themeColor="text1"/>
        </w:rPr>
        <w:t xml:space="preserve">. The New York Times. Retrieved February 4, 2022, from https://www.nytimes.com/2021/11/30/nyregion/supervised-injection-sites-nyc.html </w:t>
      </w:r>
    </w:p>
    <w:p w14:paraId="3AAC403D" w14:textId="77777777" w:rsidR="000B4100" w:rsidRPr="00C868F2" w:rsidRDefault="000B4100" w:rsidP="000B4100">
      <w:pPr>
        <w:pStyle w:val="NormalWeb"/>
        <w:ind w:left="567" w:hanging="567"/>
        <w:rPr>
          <w:color w:val="000000" w:themeColor="text1"/>
        </w:rPr>
      </w:pPr>
      <w:r w:rsidRPr="00C868F2">
        <w:rPr>
          <w:color w:val="000000" w:themeColor="text1"/>
        </w:rPr>
        <w:t xml:space="preserve">McCarren W. Personal Correspondence of Mr. William McCarren, Baltimore City Fire Department, March 9, 2022.  </w:t>
      </w:r>
    </w:p>
    <w:p w14:paraId="7D2943FD" w14:textId="77777777" w:rsidR="000B4100" w:rsidRPr="00C868F2" w:rsidRDefault="000B4100" w:rsidP="000B4100">
      <w:pPr>
        <w:pStyle w:val="NormalWeb"/>
        <w:ind w:left="567" w:hanging="567"/>
      </w:pPr>
      <w:r w:rsidRPr="00C868F2">
        <w:t>Mrazovac, A., O’Boyle, J., Watts, C., Sharma, T., Ciccarelli, M., Leshuk, T., ... &amp; Manwell, L. (2020). Public knowledge of and support for supervised injection sites in a metropolitan Canadian region. International Journal of Mental Health and Addiction, 18(1), 236-256.</w:t>
      </w:r>
    </w:p>
    <w:p w14:paraId="33224D54" w14:textId="77777777" w:rsidR="000B4100" w:rsidRPr="00C868F2" w:rsidRDefault="000B4100" w:rsidP="000B4100">
      <w:pPr>
        <w:pStyle w:val="NormalWeb"/>
        <w:ind w:left="567" w:hanging="567"/>
      </w:pPr>
      <w:r w:rsidRPr="00C868F2">
        <w:t xml:space="preserve">Myer, A. J., &amp; Belisle, L. (2017). Highs and lows: An interrupted time-series evaluation of the impact of North America’s only supervised injection facility on crime. </w:t>
      </w:r>
      <w:r w:rsidRPr="00C868F2">
        <w:rPr>
          <w:i/>
          <w:iCs/>
        </w:rPr>
        <w:t>Journal of Drug Issues</w:t>
      </w:r>
      <w:r w:rsidRPr="00C868F2">
        <w:t xml:space="preserve">, </w:t>
      </w:r>
      <w:r w:rsidRPr="00C868F2">
        <w:rPr>
          <w:i/>
          <w:iCs/>
        </w:rPr>
        <w:t>48</w:t>
      </w:r>
      <w:r w:rsidRPr="00C868F2">
        <w:t xml:space="preserve">(1), 36–49. https://doi.org/10.1177/0022042617727513 </w:t>
      </w:r>
    </w:p>
    <w:p w14:paraId="45FD5247" w14:textId="77777777" w:rsidR="000B4100" w:rsidRPr="00C868F2" w:rsidRDefault="000B4100" w:rsidP="000B4100">
      <w:pPr>
        <w:pStyle w:val="NormalWeb"/>
        <w:ind w:left="567" w:hanging="567"/>
        <w:rPr>
          <w:color w:val="000000"/>
        </w:rPr>
      </w:pPr>
      <w:r w:rsidRPr="00C868F2">
        <w:rPr>
          <w:color w:val="000000"/>
        </w:rPr>
        <w:t>National Centre in HIV Epidemiology and Clinical Research. (2007).</w:t>
      </w:r>
      <w:r w:rsidRPr="00C868F2">
        <w:rPr>
          <w:rStyle w:val="apple-converted-space"/>
          <w:color w:val="000000"/>
        </w:rPr>
        <w:t> </w:t>
      </w:r>
      <w:r w:rsidRPr="00C868F2">
        <w:rPr>
          <w:i/>
          <w:iCs/>
          <w:color w:val="000000"/>
        </w:rPr>
        <w:t>Sydney Medically Supervised Injecting Centre Evaluation Report No. 4: Evaluation of service operation and overdose-related events</w:t>
      </w:r>
      <w:r w:rsidRPr="00C868F2">
        <w:rPr>
          <w:color w:val="000000"/>
        </w:rPr>
        <w:t>. Retrieved March 2022, from https://kirby.unsw.edu.au/sites/default/files/kirby/report/EvalRep4SMSIC.pdf</w:t>
      </w:r>
      <w:r w:rsidRPr="00C868F2">
        <w:rPr>
          <w:rStyle w:val="apple-converted-space"/>
          <w:color w:val="000000"/>
        </w:rPr>
        <w:t> </w:t>
      </w:r>
    </w:p>
    <w:p w14:paraId="224A4191" w14:textId="77777777" w:rsidR="000B4100" w:rsidRPr="00C868F2" w:rsidRDefault="000B4100" w:rsidP="000B4100">
      <w:pPr>
        <w:rPr>
          <w:color w:val="000000" w:themeColor="text1"/>
        </w:rPr>
      </w:pPr>
      <w:r w:rsidRPr="00C868F2">
        <w:rPr>
          <w:color w:val="000000" w:themeColor="text1"/>
        </w:rPr>
        <w:t xml:space="preserve">Ng, J., Sutherland, C., &amp; Kolber, M. R. (2017). Does evidence support supervised injection </w:t>
      </w:r>
    </w:p>
    <w:p w14:paraId="15C20E00" w14:textId="2DCEE6D9" w:rsidR="000B4100" w:rsidRPr="00C868F2" w:rsidRDefault="00F04F2F" w:rsidP="000B4100">
      <w:pPr>
        <w:ind w:firstLine="567"/>
        <w:rPr>
          <w:color w:val="000000" w:themeColor="text1"/>
        </w:rPr>
      </w:pPr>
      <w:r w:rsidRPr="00C868F2">
        <w:rPr>
          <w:color w:val="000000" w:themeColor="text1"/>
        </w:rPr>
        <w:t>sites?</w:t>
      </w:r>
      <w:r w:rsidR="000B4100" w:rsidRPr="00C868F2">
        <w:rPr>
          <w:color w:val="000000" w:themeColor="text1"/>
        </w:rPr>
        <w:t xml:space="preserve"> Canadian family physician Medecin de famille canadien, 63(11), 866.</w:t>
      </w:r>
    </w:p>
    <w:p w14:paraId="509FE3ED" w14:textId="15EA5FC9" w:rsidR="000B4100" w:rsidRPr="00C868F2" w:rsidRDefault="000B4100" w:rsidP="000B4100">
      <w:pPr>
        <w:pStyle w:val="NormalWeb"/>
        <w:ind w:left="567" w:hanging="567"/>
        <w:rPr>
          <w:color w:val="000000" w:themeColor="text1"/>
        </w:rPr>
      </w:pPr>
      <w:r w:rsidRPr="00C868F2">
        <w:rPr>
          <w:color w:val="000000" w:themeColor="text1"/>
        </w:rPr>
        <w:t xml:space="preserve">NYC Department of Health and Mental Hygiene. (2021, December 21). </w:t>
      </w:r>
      <w:r w:rsidRPr="00C868F2">
        <w:rPr>
          <w:i/>
          <w:iCs/>
          <w:color w:val="000000" w:themeColor="text1"/>
        </w:rPr>
        <w:t>Overdose prevention centers averted 59 overdoses in first three weeks of operation</w:t>
      </w:r>
      <w:r w:rsidRPr="00C868F2">
        <w:rPr>
          <w:color w:val="000000" w:themeColor="text1"/>
        </w:rPr>
        <w:t xml:space="preserve">. Overdose Prevention Centers Averted 59 Overdoses in First Three Weeks of Operation </w:t>
      </w:r>
      <w:r w:rsidR="00376B24" w:rsidRPr="00C868F2">
        <w:rPr>
          <w:color w:val="000000" w:themeColor="text1"/>
        </w:rPr>
        <w:t>-</w:t>
      </w:r>
      <w:r w:rsidRPr="00C868F2">
        <w:rPr>
          <w:color w:val="000000" w:themeColor="text1"/>
        </w:rPr>
        <w:t xml:space="preserve">NYC Health. Retrieved February 4, 2022, from https://www1.nyc.gov/site/doh/about/press/pr2021/overdose-prevention-centers-prevent-59-deaths.page </w:t>
      </w:r>
    </w:p>
    <w:p w14:paraId="20F7D158" w14:textId="77777777" w:rsidR="000B4100" w:rsidRPr="00C868F2" w:rsidRDefault="000B4100" w:rsidP="000B4100">
      <w:pPr>
        <w:spacing w:before="100" w:beforeAutospacing="1" w:after="100" w:afterAutospacing="1"/>
        <w:ind w:left="567" w:hanging="567"/>
        <w:rPr>
          <w:color w:val="000000"/>
        </w:rPr>
      </w:pPr>
      <w:r w:rsidRPr="00C868F2">
        <w:rPr>
          <w:color w:val="000000"/>
        </w:rPr>
        <w:t>Osler, M. (2020, August 26). What we got wrong in the War on Drugs. Retrieved February 10, 2022, from https://papers.ssrn.com/sol3/papers.cfm?abstract_id=3681043</w:t>
      </w:r>
    </w:p>
    <w:p w14:paraId="3F90308A" w14:textId="77777777" w:rsidR="006C002E" w:rsidRPr="00C868F2" w:rsidRDefault="006C002E" w:rsidP="006C002E">
      <w:pPr>
        <w:spacing w:before="100" w:beforeAutospacing="1" w:after="100" w:afterAutospacing="1"/>
        <w:ind w:left="567" w:hanging="567"/>
      </w:pPr>
      <w:r w:rsidRPr="00C868F2">
        <w:t xml:space="preserve">Peltz, J., &amp; Balsamo, M. (2022, February 8). </w:t>
      </w:r>
      <w:r w:rsidRPr="00C868F2">
        <w:rPr>
          <w:i/>
          <w:iCs/>
        </w:rPr>
        <w:t>Justice Dept. signals it may allow safe injection sites</w:t>
      </w:r>
      <w:r w:rsidRPr="00C868F2">
        <w:t xml:space="preserve">. AP NEWS. Retrieved May 13, 2022, from https://apnews.com/article/business-health-new-york-c4e6d999583d7b7abce2189fba095011 </w:t>
      </w:r>
    </w:p>
    <w:p w14:paraId="5E26D311" w14:textId="77777777" w:rsidR="000B4100" w:rsidRPr="00C868F2" w:rsidRDefault="000B4100" w:rsidP="000B4100">
      <w:pPr>
        <w:pStyle w:val="NormalWeb"/>
        <w:ind w:left="567" w:hanging="567"/>
        <w:rPr>
          <w:color w:val="000000"/>
        </w:rPr>
      </w:pPr>
      <w:r w:rsidRPr="00C868F2">
        <w:rPr>
          <w:color w:val="000000"/>
        </w:rPr>
        <w:t>Pollini, R. A., McCall, L., Mehta, S. H., Vlahov, D., &amp; Strathdee, S. A. (2006). Non-fatal overdose and subsequent drug treatment among injection drug users.</w:t>
      </w:r>
      <w:r w:rsidRPr="00C868F2">
        <w:rPr>
          <w:rStyle w:val="apple-converted-space"/>
          <w:color w:val="000000"/>
        </w:rPr>
        <w:t> </w:t>
      </w:r>
      <w:r w:rsidRPr="00C868F2">
        <w:rPr>
          <w:i/>
          <w:iCs/>
          <w:color w:val="000000"/>
        </w:rPr>
        <w:t>Drug and Alcohol Dependence</w:t>
      </w:r>
      <w:r w:rsidRPr="00C868F2">
        <w:rPr>
          <w:color w:val="000000"/>
        </w:rPr>
        <w:t>,</w:t>
      </w:r>
      <w:r w:rsidRPr="00C868F2">
        <w:rPr>
          <w:rStyle w:val="apple-converted-space"/>
          <w:color w:val="000000"/>
        </w:rPr>
        <w:t> </w:t>
      </w:r>
      <w:r w:rsidRPr="00C868F2">
        <w:rPr>
          <w:i/>
          <w:iCs/>
          <w:color w:val="000000"/>
        </w:rPr>
        <w:t>83</w:t>
      </w:r>
      <w:r w:rsidRPr="00C868F2">
        <w:rPr>
          <w:color w:val="000000"/>
        </w:rPr>
        <w:t>(2), 104–110. https://doi.org/10.1016/j.drugalcdep.2005.10.015</w:t>
      </w:r>
      <w:r w:rsidRPr="00C868F2">
        <w:rPr>
          <w:rStyle w:val="apple-converted-space"/>
          <w:color w:val="000000"/>
        </w:rPr>
        <w:t> </w:t>
      </w:r>
    </w:p>
    <w:p w14:paraId="127C1290" w14:textId="77777777" w:rsidR="000B4100" w:rsidRPr="00C868F2" w:rsidRDefault="000B4100" w:rsidP="000B4100">
      <w:pPr>
        <w:pStyle w:val="NormalWeb"/>
        <w:ind w:left="567" w:hanging="567"/>
        <w:rPr>
          <w:color w:val="000000" w:themeColor="text1"/>
        </w:rPr>
      </w:pPr>
      <w:r w:rsidRPr="00C868F2">
        <w:rPr>
          <w:color w:val="000000" w:themeColor="text1"/>
        </w:rPr>
        <w:lastRenderedPageBreak/>
        <w:t xml:space="preserve">Potier, C., Laprévote, V., Dubois-Arber, F., Cottencin, O., &amp; Rolland, B. (2014). Supervised injection services: What has been demonstrated? A systematic literature review. </w:t>
      </w:r>
      <w:r w:rsidRPr="00C868F2">
        <w:rPr>
          <w:i/>
          <w:iCs/>
          <w:color w:val="000000" w:themeColor="text1"/>
        </w:rPr>
        <w:t>Drug and Alcohol Dependence</w:t>
      </w:r>
      <w:r w:rsidRPr="00C868F2">
        <w:rPr>
          <w:color w:val="000000" w:themeColor="text1"/>
        </w:rPr>
        <w:t xml:space="preserve">, </w:t>
      </w:r>
      <w:r w:rsidRPr="00C868F2">
        <w:rPr>
          <w:i/>
          <w:iCs/>
          <w:color w:val="000000" w:themeColor="text1"/>
        </w:rPr>
        <w:t>145</w:t>
      </w:r>
      <w:r w:rsidRPr="00C868F2">
        <w:rPr>
          <w:color w:val="000000" w:themeColor="text1"/>
        </w:rPr>
        <w:t xml:space="preserve">, 48–68. https://doi.org/10.1016/j.drugalcdep.2014.10.012 </w:t>
      </w:r>
    </w:p>
    <w:p w14:paraId="3CE0DA8E" w14:textId="77777777" w:rsidR="00FA109A" w:rsidRPr="00C868F2" w:rsidRDefault="00FA109A" w:rsidP="00FA109A">
      <w:pPr>
        <w:pStyle w:val="NormalWeb"/>
        <w:ind w:left="567" w:hanging="567"/>
        <w:rPr>
          <w:color w:val="000000"/>
        </w:rPr>
      </w:pPr>
      <w:r w:rsidRPr="00C868F2">
        <w:rPr>
          <w:color w:val="000000"/>
        </w:rPr>
        <w:t>Rienzi, G. (2014, September 2).</w:t>
      </w:r>
      <w:r w:rsidRPr="00C868F2">
        <w:rPr>
          <w:rStyle w:val="apple-converted-space"/>
          <w:color w:val="000000"/>
        </w:rPr>
        <w:t> </w:t>
      </w:r>
      <w:r w:rsidRPr="00C868F2">
        <w:rPr>
          <w:i/>
          <w:iCs/>
          <w:color w:val="000000"/>
        </w:rPr>
        <w:t>Johns Hopkins pilots study on EMS treatment of substance abusers</w:t>
      </w:r>
      <w:r w:rsidRPr="00C868F2">
        <w:rPr>
          <w:color w:val="000000"/>
        </w:rPr>
        <w:t>. The Hub. Retrieved April 14, 2022, from https://hub.jhu.edu/gazette/2014/september-october/focus-baltimore-city-ems/</w:t>
      </w:r>
      <w:r w:rsidRPr="00C868F2">
        <w:rPr>
          <w:rStyle w:val="apple-converted-space"/>
          <w:color w:val="000000"/>
        </w:rPr>
        <w:t> </w:t>
      </w:r>
    </w:p>
    <w:p w14:paraId="192D54ED" w14:textId="77777777" w:rsidR="000B4100" w:rsidRPr="00C868F2" w:rsidRDefault="000B4100" w:rsidP="000B4100">
      <w:pPr>
        <w:pStyle w:val="NormalWeb"/>
        <w:ind w:left="567" w:hanging="567"/>
        <w:rPr>
          <w:color w:val="000000" w:themeColor="text1"/>
        </w:rPr>
      </w:pPr>
      <w:r w:rsidRPr="00C868F2">
        <w:rPr>
          <w:color w:val="000000" w:themeColor="text1"/>
        </w:rPr>
        <w:t xml:space="preserve">Salmon, A. M., Van Beek, I., Amin, J., Kaldor, J., &amp; Maher, L. (2010). The impact of a supervised injecting facility on ambulance call-outs in Sydney, Australia. </w:t>
      </w:r>
      <w:r w:rsidRPr="00C868F2">
        <w:rPr>
          <w:i/>
          <w:iCs/>
          <w:color w:val="000000" w:themeColor="text1"/>
        </w:rPr>
        <w:t>Addiction</w:t>
      </w:r>
      <w:r w:rsidRPr="00C868F2">
        <w:rPr>
          <w:color w:val="000000" w:themeColor="text1"/>
        </w:rPr>
        <w:t xml:space="preserve">, </w:t>
      </w:r>
      <w:r w:rsidRPr="00C868F2">
        <w:rPr>
          <w:i/>
          <w:iCs/>
          <w:color w:val="000000" w:themeColor="text1"/>
        </w:rPr>
        <w:t>105</w:t>
      </w:r>
      <w:r w:rsidRPr="00C868F2">
        <w:rPr>
          <w:color w:val="000000" w:themeColor="text1"/>
        </w:rPr>
        <w:t xml:space="preserve">(4), 676–683. https://doi.org/10.1111/j.1360-0443.2009.02837.x </w:t>
      </w:r>
    </w:p>
    <w:p w14:paraId="7B1FCBAE" w14:textId="77777777" w:rsidR="000B4100" w:rsidRPr="00C868F2" w:rsidRDefault="000B4100" w:rsidP="000B4100">
      <w:pPr>
        <w:pStyle w:val="NormalWeb"/>
        <w:ind w:left="567" w:hanging="567"/>
        <w:rPr>
          <w:color w:val="000000"/>
        </w:rPr>
      </w:pPr>
      <w:r w:rsidRPr="00C868F2">
        <w:rPr>
          <w:color w:val="000000"/>
        </w:rPr>
        <w:t>Socia, K. M., Stone, R., Palacios, W. R., &amp; Cluverius, J. (2021). Focus on prevention: The public is more supportive of “overdose prevention sites” than they are of “safe injection facilities”. Criminology &amp; Public Policy, 20(4), 729-754.</w:t>
      </w:r>
    </w:p>
    <w:p w14:paraId="0DD5CC46" w14:textId="77777777" w:rsidR="00713E36" w:rsidRPr="00C868F2" w:rsidRDefault="00713E36" w:rsidP="00713E36">
      <w:pPr>
        <w:pStyle w:val="NormalWeb"/>
        <w:ind w:left="567" w:hanging="567"/>
        <w:rPr>
          <w:color w:val="000000"/>
        </w:rPr>
      </w:pPr>
      <w:r w:rsidRPr="00C868F2">
        <w:rPr>
          <w:color w:val="000000"/>
        </w:rPr>
        <w:t>Thomas, S. (Ed.). (2022, January 5).</w:t>
      </w:r>
      <w:r w:rsidRPr="00C868F2">
        <w:rPr>
          <w:rStyle w:val="apple-converted-space"/>
          <w:color w:val="000000"/>
        </w:rPr>
        <w:t> </w:t>
      </w:r>
      <w:r w:rsidRPr="00C868F2">
        <w:rPr>
          <w:i/>
          <w:iCs/>
          <w:color w:val="000000"/>
        </w:rPr>
        <w:t>Medication-assisted treatment (MAT) for opioid dependence</w:t>
      </w:r>
      <w:r w:rsidRPr="00C868F2">
        <w:rPr>
          <w:color w:val="000000"/>
        </w:rPr>
        <w:t>. Recovery.org. Retrieved April 14, 2022, from https://recovery.org/treatment-medication/opioid/</w:t>
      </w:r>
      <w:r w:rsidRPr="00C868F2">
        <w:rPr>
          <w:rStyle w:val="apple-converted-space"/>
          <w:color w:val="000000"/>
        </w:rPr>
        <w:t> </w:t>
      </w:r>
    </w:p>
    <w:p w14:paraId="5E0A48DC" w14:textId="77777777" w:rsidR="000B4100" w:rsidRPr="00C868F2" w:rsidRDefault="000B4100" w:rsidP="000B4100">
      <w:pPr>
        <w:pStyle w:val="NormalWeb"/>
        <w:ind w:left="567" w:hanging="567"/>
        <w:rPr>
          <w:color w:val="000000"/>
        </w:rPr>
      </w:pPr>
      <w:r w:rsidRPr="00C868F2">
        <w:rPr>
          <w:color w:val="000000"/>
        </w:rPr>
        <w:t>Timko, C., Schultz, N. R., Cucciare, M. A., Vittorio, L., &amp; Garrison-Diehn, C. (2015). Retention in medication-assisted treatment for opiate dependence: A systematic review.</w:t>
      </w:r>
      <w:r w:rsidRPr="00C868F2">
        <w:rPr>
          <w:rStyle w:val="apple-converted-space"/>
          <w:color w:val="000000"/>
        </w:rPr>
        <w:t> </w:t>
      </w:r>
      <w:r w:rsidRPr="00C868F2">
        <w:rPr>
          <w:i/>
          <w:iCs/>
          <w:color w:val="000000"/>
        </w:rPr>
        <w:t>Journal of Addictive Diseases</w:t>
      </w:r>
      <w:r w:rsidRPr="00C868F2">
        <w:rPr>
          <w:color w:val="000000"/>
        </w:rPr>
        <w:t>,</w:t>
      </w:r>
      <w:r w:rsidRPr="00C868F2">
        <w:rPr>
          <w:rStyle w:val="apple-converted-space"/>
          <w:color w:val="000000"/>
        </w:rPr>
        <w:t> </w:t>
      </w:r>
      <w:r w:rsidRPr="00C868F2">
        <w:rPr>
          <w:i/>
          <w:iCs/>
          <w:color w:val="000000"/>
        </w:rPr>
        <w:t>35</w:t>
      </w:r>
      <w:r w:rsidRPr="00C868F2">
        <w:rPr>
          <w:color w:val="000000"/>
        </w:rPr>
        <w:t>(1), 22–35. https://doi.org/10.1080/10550887.2016.1100960</w:t>
      </w:r>
      <w:r w:rsidRPr="00C868F2">
        <w:rPr>
          <w:rStyle w:val="apple-converted-space"/>
          <w:color w:val="000000"/>
        </w:rPr>
        <w:t> </w:t>
      </w:r>
    </w:p>
    <w:p w14:paraId="4C0B5351" w14:textId="395CF320" w:rsidR="001E0791" w:rsidRPr="00C868F2" w:rsidRDefault="001E0791" w:rsidP="001E0791">
      <w:pPr>
        <w:ind w:left="720" w:hanging="720"/>
        <w:rPr>
          <w:color w:val="000000" w:themeColor="text1"/>
        </w:rPr>
      </w:pPr>
      <w:r w:rsidRPr="00C868F2">
        <w:rPr>
          <w:color w:val="000000" w:themeColor="text1"/>
        </w:rPr>
        <w:t xml:space="preserve">U.S. Department of Health and Human Services (2017) </w:t>
      </w:r>
      <w:r w:rsidRPr="00C868F2">
        <w:rPr>
          <w:i/>
          <w:iCs/>
          <w:color w:val="000000" w:themeColor="text1"/>
        </w:rPr>
        <w:t>Guidelines for Regulatory Impact</w:t>
      </w:r>
      <w:r w:rsidRPr="00C868F2">
        <w:rPr>
          <w:color w:val="000000" w:themeColor="text1"/>
        </w:rPr>
        <w:t xml:space="preserve"> Analysis </w:t>
      </w:r>
      <w:r w:rsidRPr="005B18F3">
        <w:t>https://aspe.hhs.gov/reports/guidelines-regulatory-impact-analysis</w:t>
      </w:r>
      <w:r w:rsidRPr="00C868F2">
        <w:rPr>
          <w:color w:val="000000" w:themeColor="text1"/>
        </w:rPr>
        <w:t xml:space="preserve"> </w:t>
      </w:r>
    </w:p>
    <w:p w14:paraId="4B99F8F0" w14:textId="77777777" w:rsidR="000B4100" w:rsidRPr="00C868F2" w:rsidRDefault="000B4100" w:rsidP="000B4100">
      <w:pPr>
        <w:pStyle w:val="NormalWeb"/>
        <w:ind w:left="567" w:hanging="567"/>
        <w:rPr>
          <w:color w:val="000000" w:themeColor="text1"/>
        </w:rPr>
      </w:pPr>
      <w:r w:rsidRPr="00C868F2">
        <w:rPr>
          <w:color w:val="000000" w:themeColor="text1"/>
        </w:rPr>
        <w:t xml:space="preserve">Vearrier, L. (2019). The value of harm reduction for injection drug use: A clinical and public health ethics analysis. </w:t>
      </w:r>
      <w:r w:rsidRPr="00C868F2">
        <w:rPr>
          <w:i/>
          <w:iCs/>
          <w:color w:val="000000" w:themeColor="text1"/>
        </w:rPr>
        <w:t>Disease-a-Month</w:t>
      </w:r>
      <w:r w:rsidRPr="00C868F2">
        <w:rPr>
          <w:color w:val="000000" w:themeColor="text1"/>
        </w:rPr>
        <w:t xml:space="preserve">, </w:t>
      </w:r>
      <w:r w:rsidRPr="00C868F2">
        <w:rPr>
          <w:i/>
          <w:iCs/>
          <w:color w:val="000000" w:themeColor="text1"/>
        </w:rPr>
        <w:t>65</w:t>
      </w:r>
      <w:r w:rsidRPr="00C868F2">
        <w:rPr>
          <w:color w:val="000000" w:themeColor="text1"/>
        </w:rPr>
        <w:t xml:space="preserve">(5), 119–141. https://doi.org/10.1016/j.disamonth.2018.12.002 </w:t>
      </w:r>
    </w:p>
    <w:p w14:paraId="6CEFE0EF" w14:textId="77777777" w:rsidR="000B4100" w:rsidRPr="00C868F2" w:rsidRDefault="000B4100" w:rsidP="000B4100">
      <w:pPr>
        <w:pStyle w:val="NormalWeb"/>
        <w:ind w:left="567" w:hanging="567"/>
        <w:rPr>
          <w:color w:val="000000" w:themeColor="text1"/>
        </w:rPr>
      </w:pPr>
      <w:r w:rsidRPr="00C868F2">
        <w:rPr>
          <w:color w:val="000000" w:themeColor="text1"/>
        </w:rPr>
        <w:t xml:space="preserve">Wood, E., Tyndall, M. W., Zhang, R., Montaner, J. S., &amp; Kerr, T. (2007). Rate of detoxification service use and its impact among a cohort of supervised injecting facility users. </w:t>
      </w:r>
      <w:r w:rsidRPr="00C868F2">
        <w:rPr>
          <w:i/>
          <w:iCs/>
          <w:color w:val="000000" w:themeColor="text1"/>
        </w:rPr>
        <w:t>Addiction</w:t>
      </w:r>
      <w:r w:rsidRPr="00C868F2">
        <w:rPr>
          <w:color w:val="000000" w:themeColor="text1"/>
        </w:rPr>
        <w:t xml:space="preserve">, </w:t>
      </w:r>
      <w:r w:rsidRPr="00C868F2">
        <w:rPr>
          <w:i/>
          <w:iCs/>
          <w:color w:val="000000" w:themeColor="text1"/>
        </w:rPr>
        <w:t>102</w:t>
      </w:r>
      <w:r w:rsidRPr="00C868F2">
        <w:rPr>
          <w:color w:val="000000" w:themeColor="text1"/>
        </w:rPr>
        <w:t xml:space="preserve">(6), 916–919. https://doi.org/10.1111/j.1360-0443.2007.01818.x </w:t>
      </w:r>
    </w:p>
    <w:p w14:paraId="4995112F" w14:textId="77777777" w:rsidR="000B4100" w:rsidRPr="00C868F2" w:rsidRDefault="000B4100" w:rsidP="000B4100">
      <w:pPr>
        <w:pStyle w:val="NormalWeb"/>
        <w:ind w:left="567" w:hanging="567"/>
        <w:rPr>
          <w:color w:val="000000" w:themeColor="text1"/>
        </w:rPr>
      </w:pPr>
    </w:p>
    <w:p w14:paraId="76C10253" w14:textId="77777777" w:rsidR="00344D96" w:rsidRPr="00C868F2" w:rsidRDefault="00344D96" w:rsidP="00C823A2">
      <w:pPr>
        <w:pStyle w:val="NormalWeb"/>
        <w:ind w:left="567" w:hanging="567"/>
        <w:rPr>
          <w:color w:val="000000" w:themeColor="text1"/>
        </w:rPr>
      </w:pPr>
    </w:p>
    <w:p w14:paraId="65832A94" w14:textId="77777777" w:rsidR="00344D96" w:rsidRPr="00C868F2" w:rsidRDefault="00344D96" w:rsidP="00C823A2">
      <w:pPr>
        <w:pStyle w:val="NormalWeb"/>
        <w:ind w:left="567" w:hanging="567"/>
        <w:rPr>
          <w:color w:val="000000" w:themeColor="text1"/>
        </w:rPr>
      </w:pPr>
    </w:p>
    <w:p w14:paraId="7405567D" w14:textId="77777777" w:rsidR="00477794" w:rsidRPr="00C868F2" w:rsidRDefault="00477794" w:rsidP="00C823A2">
      <w:pPr>
        <w:pStyle w:val="NormalWeb"/>
        <w:ind w:left="567" w:hanging="567"/>
        <w:rPr>
          <w:color w:val="000000" w:themeColor="text1"/>
        </w:rPr>
      </w:pPr>
    </w:p>
    <w:p w14:paraId="0BD3FABD" w14:textId="5D7A8C36" w:rsidR="00C47CE0" w:rsidRDefault="00C47CE0" w:rsidP="00A97EAE">
      <w:pPr>
        <w:pStyle w:val="NormalWeb"/>
        <w:rPr>
          <w:color w:val="000000" w:themeColor="text1"/>
        </w:rPr>
      </w:pPr>
    </w:p>
    <w:p w14:paraId="5CCF61EE" w14:textId="77777777" w:rsidR="008D3AF4" w:rsidRPr="00C868F2" w:rsidRDefault="008D3AF4" w:rsidP="00A97EAE">
      <w:pPr>
        <w:pStyle w:val="NormalWeb"/>
        <w:rPr>
          <w:color w:val="000000" w:themeColor="text1"/>
        </w:rPr>
      </w:pPr>
    </w:p>
    <w:p w14:paraId="509C9804" w14:textId="77777777" w:rsidR="00344D96" w:rsidRPr="00C868F2" w:rsidRDefault="00344D96" w:rsidP="009D1B1A">
      <w:pPr>
        <w:pStyle w:val="Heading1"/>
        <w:jc w:val="center"/>
        <w:rPr>
          <w:rFonts w:ascii="Times New Roman" w:hAnsi="Times New Roman" w:cs="Times New Roman"/>
          <w:b/>
          <w:bCs/>
          <w:color w:val="000000" w:themeColor="text1"/>
          <w:sz w:val="24"/>
          <w:szCs w:val="24"/>
        </w:rPr>
      </w:pPr>
      <w:bookmarkStart w:id="35" w:name="_Toc103539054"/>
      <w:r w:rsidRPr="00C868F2">
        <w:rPr>
          <w:rFonts w:ascii="Times New Roman" w:hAnsi="Times New Roman" w:cs="Times New Roman"/>
          <w:b/>
          <w:bCs/>
          <w:color w:val="000000" w:themeColor="text1"/>
          <w:sz w:val="24"/>
          <w:szCs w:val="24"/>
        </w:rPr>
        <w:lastRenderedPageBreak/>
        <w:t>Appendix</w:t>
      </w:r>
      <w:bookmarkEnd w:id="35"/>
    </w:p>
    <w:p w14:paraId="2280BEED" w14:textId="77777777" w:rsidR="00C823A2" w:rsidRPr="00C868F2" w:rsidRDefault="00C823A2" w:rsidP="009D1B1A">
      <w:pPr>
        <w:jc w:val="center"/>
        <w:rPr>
          <w:color w:val="000000" w:themeColor="text1"/>
        </w:rPr>
      </w:pPr>
    </w:p>
    <w:p w14:paraId="40294C09" w14:textId="77777777" w:rsidR="00CD1DDF" w:rsidRPr="00C868F2" w:rsidRDefault="00870330" w:rsidP="009D1B1A">
      <w:pPr>
        <w:spacing w:line="480" w:lineRule="auto"/>
        <w:rPr>
          <w:b/>
          <w:bCs/>
          <w:color w:val="000000" w:themeColor="text1"/>
        </w:rPr>
      </w:pPr>
      <w:r w:rsidRPr="00C868F2">
        <w:rPr>
          <w:b/>
          <w:bCs/>
          <w:color w:val="000000" w:themeColor="text1"/>
        </w:rPr>
        <w:t>Appendix A</w:t>
      </w:r>
    </w:p>
    <w:tbl>
      <w:tblPr>
        <w:tblW w:w="10376" w:type="dxa"/>
        <w:jc w:val="center"/>
        <w:tblLook w:val="04A0" w:firstRow="1" w:lastRow="0" w:firstColumn="1" w:lastColumn="0" w:noHBand="0" w:noVBand="1"/>
      </w:tblPr>
      <w:tblGrid>
        <w:gridCol w:w="1525"/>
        <w:gridCol w:w="3927"/>
        <w:gridCol w:w="2103"/>
        <w:gridCol w:w="2821"/>
      </w:tblGrid>
      <w:tr w:rsidR="00DF7421" w:rsidRPr="00C868F2" w14:paraId="01438DE1" w14:textId="77777777" w:rsidTr="009D1B1A">
        <w:trPr>
          <w:trHeight w:val="242"/>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46C53" w14:textId="77777777" w:rsidR="00DF7421" w:rsidRPr="00C868F2" w:rsidRDefault="00DF7421" w:rsidP="009D1B1A">
            <w:pPr>
              <w:jc w:val="center"/>
              <w:rPr>
                <w:b/>
                <w:bCs/>
                <w:color w:val="000000"/>
              </w:rPr>
            </w:pPr>
            <w:r w:rsidRPr="00C868F2">
              <w:rPr>
                <w:b/>
                <w:bCs/>
                <w:color w:val="000000"/>
              </w:rPr>
              <w:t>Variable</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5B22" w14:textId="77777777" w:rsidR="00DF7421" w:rsidRPr="00C868F2" w:rsidRDefault="00DF7421" w:rsidP="009D1B1A">
            <w:pPr>
              <w:jc w:val="center"/>
              <w:rPr>
                <w:b/>
                <w:bCs/>
                <w:color w:val="000000"/>
              </w:rPr>
            </w:pPr>
            <w:r w:rsidRPr="00C868F2">
              <w:rPr>
                <w:b/>
                <w:bCs/>
                <w:color w:val="000000"/>
              </w:rPr>
              <w:t>Description</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FCED" w14:textId="77777777" w:rsidR="00DF7421" w:rsidRPr="00C868F2" w:rsidRDefault="00DF7421" w:rsidP="009D1B1A">
            <w:pPr>
              <w:jc w:val="center"/>
              <w:rPr>
                <w:b/>
                <w:bCs/>
                <w:color w:val="000000"/>
              </w:rPr>
            </w:pPr>
            <w:r w:rsidRPr="00C868F2">
              <w:rPr>
                <w:b/>
                <w:bCs/>
                <w:color w:val="000000"/>
              </w:rPr>
              <w:t>Value</w:t>
            </w:r>
          </w:p>
        </w:tc>
        <w:tc>
          <w:tcPr>
            <w:tcW w:w="2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C4DA" w14:textId="77777777" w:rsidR="00DF7421" w:rsidRPr="00C868F2" w:rsidRDefault="00DF7421" w:rsidP="009D1B1A">
            <w:pPr>
              <w:jc w:val="center"/>
              <w:rPr>
                <w:b/>
                <w:bCs/>
                <w:color w:val="000000"/>
              </w:rPr>
            </w:pPr>
            <w:r w:rsidRPr="00C868F2">
              <w:rPr>
                <w:b/>
                <w:bCs/>
                <w:color w:val="000000"/>
              </w:rPr>
              <w:t>Source</w:t>
            </w:r>
          </w:p>
        </w:tc>
      </w:tr>
      <w:tr w:rsidR="00DF7421" w:rsidRPr="00C868F2" w14:paraId="0B324262" w14:textId="77777777" w:rsidTr="009D1B1A">
        <w:trPr>
          <w:trHeight w:val="242"/>
          <w:jc w:val="center"/>
        </w:trPr>
        <w:tc>
          <w:tcPr>
            <w:tcW w:w="152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A6AA70" w14:textId="77777777" w:rsidR="00DF7421" w:rsidRPr="00C868F2" w:rsidRDefault="00DF7421" w:rsidP="009D1B1A">
            <w:pPr>
              <w:jc w:val="center"/>
              <w:rPr>
                <w:i/>
                <w:iCs/>
                <w:color w:val="000000"/>
              </w:rPr>
            </w:pPr>
            <w:r w:rsidRPr="00C868F2">
              <w:rPr>
                <w:i/>
                <w:iCs/>
                <w:color w:val="000000"/>
              </w:rPr>
              <w:t>C</w:t>
            </w:r>
          </w:p>
        </w:tc>
        <w:tc>
          <w:tcPr>
            <w:tcW w:w="392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E538EB" w14:textId="77777777" w:rsidR="00DF7421" w:rsidRPr="00C868F2" w:rsidRDefault="00DF7421" w:rsidP="009D1B1A">
            <w:pPr>
              <w:jc w:val="center"/>
              <w:rPr>
                <w:color w:val="000000"/>
              </w:rPr>
            </w:pPr>
            <w:r w:rsidRPr="00C868F2">
              <w:rPr>
                <w:color w:val="000000"/>
              </w:rPr>
              <w:t>annual levelized payment</w:t>
            </w:r>
          </w:p>
        </w:tc>
        <w:tc>
          <w:tcPr>
            <w:tcW w:w="210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C5777C" w14:textId="2B26A418" w:rsidR="00DF7421" w:rsidRPr="00C868F2" w:rsidRDefault="00DF7421" w:rsidP="009D1B1A">
            <w:pPr>
              <w:jc w:val="center"/>
              <w:rPr>
                <w:b/>
                <w:bCs/>
                <w:color w:val="000000"/>
              </w:rPr>
            </w:pPr>
            <w:r w:rsidRPr="00C868F2">
              <w:rPr>
                <w:b/>
                <w:bCs/>
                <w:color w:val="000000"/>
              </w:rPr>
              <w:t>$     187,285.72</w:t>
            </w:r>
          </w:p>
        </w:tc>
        <w:tc>
          <w:tcPr>
            <w:tcW w:w="28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85A5B0" w14:textId="77777777" w:rsidR="00DF7421" w:rsidRPr="00C868F2" w:rsidRDefault="00DF7421" w:rsidP="009D1B1A">
            <w:pPr>
              <w:jc w:val="center"/>
              <w:rPr>
                <w:color w:val="000000"/>
              </w:rPr>
            </w:pPr>
            <w:r w:rsidRPr="00C868F2">
              <w:rPr>
                <w:color w:val="000000"/>
              </w:rPr>
              <w:t>(Irwin et al., 2017) &amp; calculations by author</w:t>
            </w:r>
          </w:p>
        </w:tc>
      </w:tr>
      <w:tr w:rsidR="00DF7421" w:rsidRPr="00C868F2" w14:paraId="4F8FB580" w14:textId="77777777" w:rsidTr="009D1B1A">
        <w:trPr>
          <w:trHeight w:val="242"/>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5D61" w14:textId="77777777" w:rsidR="00DF7421" w:rsidRPr="00C868F2" w:rsidRDefault="00DF7421" w:rsidP="009D1B1A">
            <w:pPr>
              <w:jc w:val="center"/>
              <w:rPr>
                <w:i/>
                <w:iCs/>
                <w:color w:val="000000"/>
              </w:rPr>
            </w:pPr>
            <w:r w:rsidRPr="00C868F2">
              <w:rPr>
                <w:i/>
                <w:iCs/>
                <w:color w:val="000000"/>
              </w:rPr>
              <w:t>i</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196C" w14:textId="77777777" w:rsidR="00DF7421" w:rsidRPr="00C868F2" w:rsidRDefault="00DF7421" w:rsidP="009D1B1A">
            <w:pPr>
              <w:jc w:val="center"/>
              <w:rPr>
                <w:color w:val="000000"/>
              </w:rPr>
            </w:pPr>
            <w:r w:rsidRPr="00C868F2">
              <w:rPr>
                <w:color w:val="000000"/>
              </w:rPr>
              <w:t>standard interest rate</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C0D24" w14:textId="77777777" w:rsidR="00DF7421" w:rsidRPr="00C868F2" w:rsidRDefault="00DF7421" w:rsidP="009D1B1A">
            <w:pPr>
              <w:jc w:val="center"/>
              <w:rPr>
                <w:color w:val="000000"/>
              </w:rPr>
            </w:pPr>
            <w:r w:rsidRPr="00C868F2">
              <w:rPr>
                <w:color w:val="000000"/>
              </w:rPr>
              <w:t>10%</w:t>
            </w:r>
          </w:p>
        </w:tc>
        <w:tc>
          <w:tcPr>
            <w:tcW w:w="2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EDCE" w14:textId="77777777" w:rsidR="00DF7421" w:rsidRPr="00C868F2" w:rsidRDefault="00DF7421" w:rsidP="009D1B1A">
            <w:pPr>
              <w:jc w:val="center"/>
              <w:rPr>
                <w:color w:val="000000"/>
              </w:rPr>
            </w:pPr>
            <w:r w:rsidRPr="00C868F2">
              <w:rPr>
                <w:color w:val="000000"/>
              </w:rPr>
              <w:t>(Irwin et al., 2017)</w:t>
            </w:r>
          </w:p>
        </w:tc>
      </w:tr>
      <w:tr w:rsidR="00DF7421" w:rsidRPr="00C868F2" w14:paraId="3DDFD958" w14:textId="77777777" w:rsidTr="009D1B1A">
        <w:trPr>
          <w:trHeight w:val="214"/>
          <w:jc w:val="center"/>
        </w:trPr>
        <w:tc>
          <w:tcPr>
            <w:tcW w:w="152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32DC25" w14:textId="77777777" w:rsidR="00DF7421" w:rsidRPr="00C868F2" w:rsidRDefault="00DF7421" w:rsidP="009D1B1A">
            <w:pPr>
              <w:jc w:val="center"/>
              <w:rPr>
                <w:i/>
                <w:iCs/>
                <w:color w:val="000000"/>
              </w:rPr>
            </w:pPr>
            <w:r w:rsidRPr="00C868F2">
              <w:rPr>
                <w:i/>
                <w:iCs/>
                <w:color w:val="000000"/>
              </w:rPr>
              <w:t>P</w:t>
            </w:r>
          </w:p>
        </w:tc>
        <w:tc>
          <w:tcPr>
            <w:tcW w:w="392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345FD1" w14:textId="7232C41E" w:rsidR="00DF7421" w:rsidRPr="00C868F2" w:rsidRDefault="00DF7421" w:rsidP="009D1B1A">
            <w:pPr>
              <w:jc w:val="center"/>
              <w:rPr>
                <w:color w:val="000000"/>
              </w:rPr>
            </w:pPr>
            <w:r w:rsidRPr="00C868F2">
              <w:rPr>
                <w:color w:val="000000"/>
              </w:rPr>
              <w:t xml:space="preserve">total upfront cost adjusted for inflation </w:t>
            </w:r>
            <w:r w:rsidR="00376B24" w:rsidRPr="00C868F2">
              <w:rPr>
                <w:color w:val="000000"/>
              </w:rPr>
              <w:t>-</w:t>
            </w:r>
            <w:r w:rsidRPr="00C868F2">
              <w:rPr>
                <w:color w:val="000000"/>
              </w:rPr>
              <w:t>in $</w:t>
            </w:r>
          </w:p>
        </w:tc>
        <w:tc>
          <w:tcPr>
            <w:tcW w:w="210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4CAFBD" w14:textId="77777777" w:rsidR="00DF7421" w:rsidRPr="00C868F2" w:rsidRDefault="00DF7421" w:rsidP="009D1B1A">
            <w:pPr>
              <w:jc w:val="center"/>
              <w:rPr>
                <w:color w:val="000000"/>
              </w:rPr>
            </w:pPr>
            <w:r w:rsidRPr="00C868F2">
              <w:rPr>
                <w:color w:val="000000"/>
              </w:rPr>
              <w:t>$1,700,000</w:t>
            </w:r>
          </w:p>
        </w:tc>
        <w:tc>
          <w:tcPr>
            <w:tcW w:w="28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FEC531" w14:textId="77777777" w:rsidR="00DF7421" w:rsidRPr="00C868F2" w:rsidRDefault="00DF7421" w:rsidP="009D1B1A">
            <w:pPr>
              <w:jc w:val="center"/>
              <w:rPr>
                <w:color w:val="000000"/>
              </w:rPr>
            </w:pPr>
            <w:r w:rsidRPr="00C868F2">
              <w:rPr>
                <w:color w:val="000000"/>
              </w:rPr>
              <w:t>(Irwin et al., 2017)</w:t>
            </w:r>
          </w:p>
        </w:tc>
      </w:tr>
      <w:tr w:rsidR="00DF7421" w:rsidRPr="00C868F2" w14:paraId="26367639" w14:textId="77777777" w:rsidTr="009D1B1A">
        <w:trPr>
          <w:trHeight w:val="214"/>
          <w:jc w:val="center"/>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1D837" w14:textId="77777777" w:rsidR="00DF7421" w:rsidRPr="00C868F2" w:rsidRDefault="00DF7421" w:rsidP="009D1B1A">
            <w:pPr>
              <w:jc w:val="center"/>
              <w:rPr>
                <w:i/>
                <w:iCs/>
                <w:color w:val="000000"/>
              </w:rPr>
            </w:pPr>
            <w:r w:rsidRPr="00C868F2">
              <w:rPr>
                <w:i/>
                <w:iCs/>
                <w:color w:val="000000"/>
              </w:rPr>
              <w:t>N</w:t>
            </w:r>
          </w:p>
        </w:tc>
        <w:tc>
          <w:tcPr>
            <w:tcW w:w="3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8841" w14:textId="683D908E" w:rsidR="00DF7421" w:rsidRPr="00C868F2" w:rsidRDefault="00DF7421" w:rsidP="009D1B1A">
            <w:pPr>
              <w:jc w:val="center"/>
              <w:rPr>
                <w:color w:val="000000"/>
              </w:rPr>
            </w:pPr>
            <w:r w:rsidRPr="00C868F2">
              <w:rPr>
                <w:color w:val="000000"/>
              </w:rPr>
              <w:t xml:space="preserve">lifetime of the facility </w:t>
            </w:r>
            <w:r w:rsidR="00376B24" w:rsidRPr="00C868F2">
              <w:rPr>
                <w:color w:val="000000"/>
              </w:rPr>
              <w:t>-</w:t>
            </w:r>
            <w:r w:rsidRPr="00C868F2">
              <w:rPr>
                <w:color w:val="000000"/>
              </w:rPr>
              <w:t>in years</w:t>
            </w:r>
          </w:p>
        </w:tc>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EA06" w14:textId="77777777" w:rsidR="00DF7421" w:rsidRPr="00C868F2" w:rsidRDefault="00DF7421" w:rsidP="009D1B1A">
            <w:pPr>
              <w:jc w:val="center"/>
              <w:rPr>
                <w:color w:val="000000"/>
              </w:rPr>
            </w:pPr>
            <w:r w:rsidRPr="00C868F2">
              <w:rPr>
                <w:color w:val="000000"/>
              </w:rPr>
              <w:t>25</w:t>
            </w:r>
          </w:p>
        </w:tc>
        <w:tc>
          <w:tcPr>
            <w:tcW w:w="2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BBCE" w14:textId="77777777" w:rsidR="00DF7421" w:rsidRPr="00C868F2" w:rsidRDefault="00DF7421" w:rsidP="009D1B1A">
            <w:pPr>
              <w:jc w:val="center"/>
              <w:rPr>
                <w:color w:val="000000"/>
              </w:rPr>
            </w:pPr>
            <w:r w:rsidRPr="00C868F2">
              <w:rPr>
                <w:color w:val="000000"/>
              </w:rPr>
              <w:t>(Irwin et al., 2017)</w:t>
            </w:r>
          </w:p>
        </w:tc>
      </w:tr>
    </w:tbl>
    <w:p w14:paraId="16FAE12D" w14:textId="77777777" w:rsidR="008B1BD4" w:rsidRPr="00C868F2" w:rsidRDefault="008B1BD4" w:rsidP="009D1B1A">
      <w:pPr>
        <w:spacing w:line="480" w:lineRule="auto"/>
        <w:jc w:val="center"/>
        <w:rPr>
          <w:b/>
          <w:bCs/>
          <w:color w:val="000000" w:themeColor="text1"/>
        </w:rPr>
      </w:pPr>
    </w:p>
    <w:p w14:paraId="319D3425" w14:textId="0471F7E0" w:rsidR="00870330" w:rsidRPr="00C868F2" w:rsidRDefault="00870330" w:rsidP="009D1B1A">
      <w:pPr>
        <w:spacing w:line="480" w:lineRule="auto"/>
        <w:rPr>
          <w:b/>
          <w:bCs/>
          <w:color w:val="000000" w:themeColor="text1"/>
        </w:rPr>
      </w:pPr>
      <w:r w:rsidRPr="00C868F2">
        <w:rPr>
          <w:b/>
          <w:bCs/>
          <w:color w:val="000000" w:themeColor="text1"/>
        </w:rPr>
        <w:t>Appendix B</w:t>
      </w:r>
    </w:p>
    <w:tbl>
      <w:tblPr>
        <w:tblW w:w="9388" w:type="dxa"/>
        <w:jc w:val="center"/>
        <w:tblLook w:val="04A0" w:firstRow="1" w:lastRow="0" w:firstColumn="1" w:lastColumn="0" w:noHBand="0" w:noVBand="1"/>
      </w:tblPr>
      <w:tblGrid>
        <w:gridCol w:w="1110"/>
        <w:gridCol w:w="5256"/>
        <w:gridCol w:w="1596"/>
        <w:gridCol w:w="2463"/>
      </w:tblGrid>
      <w:tr w:rsidR="00DF7421" w:rsidRPr="00C868F2" w14:paraId="2BEF1302" w14:textId="77777777" w:rsidTr="009D1B1A">
        <w:trPr>
          <w:trHeight w:val="381"/>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271B" w14:textId="77777777" w:rsidR="00DF7421" w:rsidRPr="00C868F2" w:rsidRDefault="00DF7421" w:rsidP="009D1B1A">
            <w:pPr>
              <w:jc w:val="center"/>
              <w:rPr>
                <w:b/>
                <w:bCs/>
                <w:color w:val="000000"/>
              </w:rPr>
            </w:pPr>
            <w:r w:rsidRPr="00C868F2">
              <w:rPr>
                <w:b/>
                <w:bCs/>
                <w:color w:val="000000"/>
              </w:rPr>
              <w:t>Variable</w:t>
            </w:r>
          </w:p>
        </w:tc>
        <w:tc>
          <w:tcPr>
            <w:tcW w:w="5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EF4A0" w14:textId="77777777" w:rsidR="00DF7421" w:rsidRPr="00C868F2" w:rsidRDefault="00DF7421" w:rsidP="009D1B1A">
            <w:pPr>
              <w:jc w:val="center"/>
              <w:rPr>
                <w:b/>
                <w:bCs/>
                <w:color w:val="000000"/>
              </w:rPr>
            </w:pPr>
            <w:r w:rsidRPr="00C868F2">
              <w:rPr>
                <w:b/>
                <w:bCs/>
                <w:color w:val="000000"/>
              </w:rPr>
              <w:t>Description</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B7258" w14:textId="77777777" w:rsidR="00DF7421" w:rsidRPr="00C868F2" w:rsidRDefault="00DF7421" w:rsidP="009D1B1A">
            <w:pPr>
              <w:jc w:val="center"/>
              <w:rPr>
                <w:b/>
                <w:bCs/>
                <w:color w:val="000000"/>
              </w:rPr>
            </w:pPr>
            <w:r w:rsidRPr="00C868F2">
              <w:rPr>
                <w:b/>
                <w:bCs/>
                <w:color w:val="000000"/>
              </w:rPr>
              <w:t>Value</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7A1B" w14:textId="77777777" w:rsidR="00DF7421" w:rsidRPr="00C868F2" w:rsidRDefault="00DF7421" w:rsidP="009D1B1A">
            <w:pPr>
              <w:jc w:val="center"/>
              <w:rPr>
                <w:b/>
                <w:bCs/>
                <w:color w:val="000000"/>
              </w:rPr>
            </w:pPr>
            <w:r w:rsidRPr="00C868F2">
              <w:rPr>
                <w:b/>
                <w:bCs/>
                <w:color w:val="000000"/>
              </w:rPr>
              <w:t>Source</w:t>
            </w:r>
          </w:p>
        </w:tc>
      </w:tr>
      <w:tr w:rsidR="00DF7421" w:rsidRPr="00C868F2" w14:paraId="642E9495" w14:textId="77777777" w:rsidTr="009D1B1A">
        <w:trPr>
          <w:trHeight w:val="381"/>
          <w:jc w:val="center"/>
        </w:trPr>
        <w:tc>
          <w:tcPr>
            <w:tcW w:w="75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B90C38" w14:textId="77777777" w:rsidR="00DF7421" w:rsidRPr="00C868F2" w:rsidRDefault="00DF7421" w:rsidP="009D1B1A">
            <w:pPr>
              <w:jc w:val="center"/>
              <w:rPr>
                <w:i/>
                <w:iCs/>
                <w:color w:val="000000"/>
              </w:rPr>
            </w:pPr>
            <w:r w:rsidRPr="00C868F2">
              <w:rPr>
                <w:i/>
                <w:iCs/>
                <w:color w:val="000000"/>
              </w:rPr>
              <w:t>SOD</w:t>
            </w:r>
          </w:p>
        </w:tc>
        <w:tc>
          <w:tcPr>
            <w:tcW w:w="52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1687AE" w14:textId="77777777" w:rsidR="00DF7421" w:rsidRPr="00C868F2" w:rsidRDefault="00DF7421" w:rsidP="009D1B1A">
            <w:pPr>
              <w:jc w:val="center"/>
              <w:rPr>
                <w:color w:val="000000"/>
              </w:rPr>
            </w:pPr>
            <w:r w:rsidRPr="00C868F2">
              <w:rPr>
                <w:color w:val="000000"/>
              </w:rPr>
              <w:t>value of averted overdoses</w:t>
            </w:r>
          </w:p>
        </w:tc>
        <w:tc>
          <w:tcPr>
            <w:tcW w:w="9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5FCEB0" w14:textId="77777777" w:rsidR="00DF7421" w:rsidRPr="00C868F2" w:rsidRDefault="00DF7421" w:rsidP="009D1B1A">
            <w:pPr>
              <w:jc w:val="center"/>
              <w:rPr>
                <w:b/>
                <w:bCs/>
                <w:color w:val="000000"/>
              </w:rPr>
            </w:pPr>
            <w:r w:rsidRPr="00C868F2">
              <w:rPr>
                <w:b/>
                <w:bCs/>
                <w:color w:val="000000"/>
              </w:rPr>
              <w:t>$8,431,503.03</w:t>
            </w:r>
          </w:p>
        </w:tc>
        <w:tc>
          <w:tcPr>
            <w:tcW w:w="2463" w:type="dxa"/>
            <w:tcBorders>
              <w:top w:val="single" w:sz="4" w:space="0" w:color="auto"/>
              <w:left w:val="nil"/>
              <w:bottom w:val="single" w:sz="4" w:space="0" w:color="auto"/>
              <w:right w:val="single" w:sz="4" w:space="0" w:color="auto"/>
            </w:tcBorders>
            <w:shd w:val="clear" w:color="D9D9D9" w:fill="D9D9D9"/>
            <w:noWrap/>
            <w:vAlign w:val="center"/>
            <w:hideMark/>
          </w:tcPr>
          <w:p w14:paraId="6C8923C8" w14:textId="77777777" w:rsidR="00DF7421" w:rsidRPr="00C868F2" w:rsidRDefault="00DF7421" w:rsidP="009D1B1A">
            <w:pPr>
              <w:jc w:val="center"/>
              <w:rPr>
                <w:color w:val="000000"/>
              </w:rPr>
            </w:pPr>
            <w:r w:rsidRPr="00C868F2">
              <w:rPr>
                <w:color w:val="000000"/>
              </w:rPr>
              <w:t>(Irwin et al., 2017)</w:t>
            </w:r>
          </w:p>
        </w:tc>
      </w:tr>
      <w:tr w:rsidR="00DF7421" w:rsidRPr="00C868F2" w14:paraId="5E7C0919" w14:textId="77777777" w:rsidTr="009D1B1A">
        <w:trPr>
          <w:trHeight w:val="381"/>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0BBE" w14:textId="77777777" w:rsidR="00DF7421" w:rsidRPr="00C868F2" w:rsidRDefault="00DF7421" w:rsidP="009D1B1A">
            <w:pPr>
              <w:jc w:val="center"/>
              <w:rPr>
                <w:i/>
                <w:iCs/>
                <w:color w:val="000000"/>
              </w:rPr>
            </w:pPr>
            <w:r w:rsidRPr="00C868F2">
              <w:rPr>
                <w:i/>
                <w:iCs/>
                <w:color w:val="000000"/>
              </w:rPr>
              <w:t>r</w:t>
            </w:r>
          </w:p>
        </w:tc>
        <w:tc>
          <w:tcPr>
            <w:tcW w:w="5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A5C47" w14:textId="77777777" w:rsidR="00DF7421" w:rsidRPr="00C868F2" w:rsidRDefault="00DF7421" w:rsidP="009D1B1A">
            <w:pPr>
              <w:jc w:val="center"/>
              <w:rPr>
                <w:color w:val="000000"/>
              </w:rPr>
            </w:pPr>
            <w:r w:rsidRPr="00C868F2">
              <w:rPr>
                <w:color w:val="000000"/>
              </w:rPr>
              <w:t>rate of overdose death reduction expected within 500 m</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2EAFB" w14:textId="77777777" w:rsidR="00DF7421" w:rsidRPr="00C868F2" w:rsidRDefault="00DF7421" w:rsidP="009D1B1A">
            <w:pPr>
              <w:jc w:val="center"/>
              <w:rPr>
                <w:color w:val="000000"/>
              </w:rPr>
            </w:pPr>
            <w:r w:rsidRPr="00C868F2">
              <w:rPr>
                <w:color w:val="000000"/>
              </w:rPr>
              <w:t>25.70%</w:t>
            </w:r>
          </w:p>
        </w:tc>
        <w:tc>
          <w:tcPr>
            <w:tcW w:w="2463" w:type="dxa"/>
            <w:tcBorders>
              <w:top w:val="nil"/>
              <w:left w:val="nil"/>
              <w:bottom w:val="single" w:sz="4" w:space="0" w:color="auto"/>
              <w:right w:val="single" w:sz="4" w:space="0" w:color="auto"/>
            </w:tcBorders>
            <w:shd w:val="clear" w:color="auto" w:fill="auto"/>
            <w:noWrap/>
            <w:vAlign w:val="center"/>
            <w:hideMark/>
          </w:tcPr>
          <w:p w14:paraId="534D7B32" w14:textId="77777777" w:rsidR="00DF7421" w:rsidRPr="00C868F2" w:rsidRDefault="00DF7421" w:rsidP="009D1B1A">
            <w:pPr>
              <w:jc w:val="center"/>
              <w:rPr>
                <w:color w:val="000000"/>
              </w:rPr>
            </w:pPr>
            <w:r w:rsidRPr="00C868F2">
              <w:rPr>
                <w:color w:val="000000"/>
              </w:rPr>
              <w:t>(Irwin et al., 2017)</w:t>
            </w:r>
          </w:p>
        </w:tc>
      </w:tr>
      <w:tr w:rsidR="00DF7421" w:rsidRPr="00C868F2" w14:paraId="5A307E4F" w14:textId="77777777" w:rsidTr="009D1B1A">
        <w:trPr>
          <w:trHeight w:val="402"/>
          <w:jc w:val="center"/>
        </w:trPr>
        <w:tc>
          <w:tcPr>
            <w:tcW w:w="75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75FF6A" w14:textId="77777777" w:rsidR="00DF7421" w:rsidRPr="00C868F2" w:rsidRDefault="00DF7421" w:rsidP="009D1B1A">
            <w:pPr>
              <w:jc w:val="center"/>
              <w:rPr>
                <w:i/>
                <w:iCs/>
                <w:color w:val="000000"/>
              </w:rPr>
            </w:pPr>
            <w:r w:rsidRPr="00C868F2">
              <w:rPr>
                <w:i/>
                <w:iCs/>
                <w:color w:val="000000"/>
              </w:rPr>
              <w:t>n</w:t>
            </w:r>
          </w:p>
        </w:tc>
        <w:tc>
          <w:tcPr>
            <w:tcW w:w="52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D45E98" w14:textId="77777777" w:rsidR="00DF7421" w:rsidRPr="00C868F2" w:rsidRDefault="00DF7421" w:rsidP="009D1B1A">
            <w:pPr>
              <w:jc w:val="center"/>
              <w:rPr>
                <w:color w:val="000000"/>
              </w:rPr>
            </w:pPr>
            <w:r w:rsidRPr="00C868F2">
              <w:rPr>
                <w:color w:val="000000"/>
              </w:rPr>
              <w:t>share of naloxone administrations concentrated within a 500 meter radius in Baltimore</w:t>
            </w:r>
          </w:p>
        </w:tc>
        <w:tc>
          <w:tcPr>
            <w:tcW w:w="9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3DEC4C" w14:textId="77777777" w:rsidR="00DF7421" w:rsidRPr="00C868F2" w:rsidRDefault="00DF7421" w:rsidP="009D1B1A">
            <w:pPr>
              <w:jc w:val="center"/>
              <w:rPr>
                <w:color w:val="000000"/>
              </w:rPr>
            </w:pPr>
            <w:r w:rsidRPr="00C868F2">
              <w:rPr>
                <w:color w:val="000000"/>
              </w:rPr>
              <w:t>5.31%</w:t>
            </w:r>
          </w:p>
        </w:tc>
        <w:tc>
          <w:tcPr>
            <w:tcW w:w="2463" w:type="dxa"/>
            <w:tcBorders>
              <w:top w:val="single" w:sz="4" w:space="0" w:color="auto"/>
              <w:left w:val="nil"/>
              <w:bottom w:val="single" w:sz="4" w:space="0" w:color="auto"/>
              <w:right w:val="single" w:sz="4" w:space="0" w:color="auto"/>
            </w:tcBorders>
            <w:shd w:val="clear" w:color="D9D9D9" w:fill="D9D9D9"/>
            <w:noWrap/>
            <w:vAlign w:val="center"/>
            <w:hideMark/>
          </w:tcPr>
          <w:p w14:paraId="5C9EFBD8" w14:textId="77777777" w:rsidR="00DF7421" w:rsidRPr="00C868F2" w:rsidRDefault="00DF7421" w:rsidP="009D1B1A">
            <w:pPr>
              <w:jc w:val="center"/>
              <w:rPr>
                <w:color w:val="000000"/>
              </w:rPr>
            </w:pPr>
            <w:r w:rsidRPr="00C868F2">
              <w:rPr>
                <w:color w:val="000000"/>
              </w:rPr>
              <w:t>Calculated by author</w:t>
            </w:r>
          </w:p>
        </w:tc>
      </w:tr>
      <w:tr w:rsidR="00DF7421" w:rsidRPr="00C868F2" w14:paraId="015DD96C" w14:textId="77777777" w:rsidTr="009D1B1A">
        <w:trPr>
          <w:trHeight w:val="402"/>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8BAC" w14:textId="77777777" w:rsidR="00DF7421" w:rsidRPr="00C868F2" w:rsidRDefault="00DF7421" w:rsidP="009D1B1A">
            <w:pPr>
              <w:jc w:val="center"/>
              <w:rPr>
                <w:i/>
                <w:iCs/>
                <w:color w:val="000000"/>
              </w:rPr>
            </w:pPr>
            <w:r w:rsidRPr="00C868F2">
              <w:rPr>
                <w:i/>
                <w:iCs/>
                <w:color w:val="000000"/>
              </w:rPr>
              <w:t>D</w:t>
            </w:r>
          </w:p>
        </w:tc>
        <w:tc>
          <w:tcPr>
            <w:tcW w:w="5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F956" w14:textId="233F06F9" w:rsidR="00DF7421" w:rsidRPr="00C868F2" w:rsidRDefault="00DF7421" w:rsidP="009D1B1A">
            <w:pPr>
              <w:jc w:val="center"/>
              <w:rPr>
                <w:color w:val="000000"/>
              </w:rPr>
            </w:pPr>
            <w:r w:rsidRPr="00C868F2">
              <w:rPr>
                <w:color w:val="000000"/>
              </w:rPr>
              <w:t>total number of opioid related overdose deaths in Baltimore</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62665" w14:textId="77777777" w:rsidR="00DF7421" w:rsidRPr="00C868F2" w:rsidRDefault="00DF7421" w:rsidP="009D1B1A">
            <w:pPr>
              <w:jc w:val="center"/>
              <w:rPr>
                <w:color w:val="000000"/>
              </w:rPr>
            </w:pPr>
            <w:r w:rsidRPr="00C868F2">
              <w:rPr>
                <w:color w:val="000000"/>
              </w:rPr>
              <w:t>964</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27ABB57A" w14:textId="77777777" w:rsidR="00DF7421" w:rsidRPr="00C868F2" w:rsidRDefault="00DF7421" w:rsidP="009D1B1A">
            <w:pPr>
              <w:jc w:val="center"/>
              <w:rPr>
                <w:color w:val="000000"/>
              </w:rPr>
            </w:pPr>
            <w:r w:rsidRPr="00C868F2">
              <w:rPr>
                <w:color w:val="000000"/>
              </w:rPr>
              <w:t>(Maryland Department of Health, 2021)</w:t>
            </w:r>
          </w:p>
        </w:tc>
      </w:tr>
      <w:tr w:rsidR="00DF7421" w:rsidRPr="00C868F2" w14:paraId="3E41F958" w14:textId="77777777" w:rsidTr="009D1B1A">
        <w:trPr>
          <w:trHeight w:val="381"/>
          <w:jc w:val="center"/>
        </w:trPr>
        <w:tc>
          <w:tcPr>
            <w:tcW w:w="75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6ABE62" w14:textId="77777777" w:rsidR="00DF7421" w:rsidRPr="00C868F2" w:rsidRDefault="00DF7421" w:rsidP="009D1B1A">
            <w:pPr>
              <w:jc w:val="center"/>
              <w:rPr>
                <w:i/>
                <w:iCs/>
                <w:color w:val="000000"/>
              </w:rPr>
            </w:pPr>
            <w:r w:rsidRPr="00C868F2">
              <w:rPr>
                <w:i/>
                <w:iCs/>
                <w:color w:val="000000"/>
              </w:rPr>
              <w:t>V</w:t>
            </w:r>
          </w:p>
        </w:tc>
        <w:tc>
          <w:tcPr>
            <w:tcW w:w="52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166749" w14:textId="77777777" w:rsidR="00DF7421" w:rsidRPr="00C868F2" w:rsidRDefault="00DF7421" w:rsidP="009D1B1A">
            <w:pPr>
              <w:jc w:val="center"/>
              <w:rPr>
                <w:color w:val="000000"/>
              </w:rPr>
            </w:pPr>
            <w:r w:rsidRPr="00C868F2">
              <w:rPr>
                <w:color w:val="000000"/>
              </w:rPr>
              <w:t>value of a single life saved</w:t>
            </w:r>
          </w:p>
        </w:tc>
        <w:tc>
          <w:tcPr>
            <w:tcW w:w="9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85048B" w14:textId="77777777" w:rsidR="00DF7421" w:rsidRPr="00C868F2" w:rsidRDefault="00DF7421" w:rsidP="009D1B1A">
            <w:pPr>
              <w:jc w:val="center"/>
              <w:rPr>
                <w:color w:val="000000"/>
              </w:rPr>
            </w:pPr>
            <w:r w:rsidRPr="00C868F2">
              <w:rPr>
                <w:color w:val="000000"/>
              </w:rPr>
              <w:t>$640,914.83</w:t>
            </w:r>
          </w:p>
        </w:tc>
        <w:tc>
          <w:tcPr>
            <w:tcW w:w="2463" w:type="dxa"/>
            <w:tcBorders>
              <w:top w:val="single" w:sz="4" w:space="0" w:color="auto"/>
              <w:left w:val="nil"/>
              <w:bottom w:val="single" w:sz="4" w:space="0" w:color="auto"/>
              <w:right w:val="single" w:sz="4" w:space="0" w:color="auto"/>
            </w:tcBorders>
            <w:shd w:val="clear" w:color="D9D9D9" w:fill="D9D9D9"/>
            <w:noWrap/>
            <w:vAlign w:val="center"/>
            <w:hideMark/>
          </w:tcPr>
          <w:p w14:paraId="7A0C2059" w14:textId="77777777" w:rsidR="00DF7421" w:rsidRPr="00C868F2" w:rsidRDefault="00DF7421" w:rsidP="009D1B1A">
            <w:pPr>
              <w:jc w:val="center"/>
              <w:rPr>
                <w:color w:val="000000"/>
              </w:rPr>
            </w:pPr>
            <w:r w:rsidRPr="00C868F2">
              <w:rPr>
                <w:color w:val="000000"/>
              </w:rPr>
              <w:t>Calculated by author</w:t>
            </w:r>
          </w:p>
        </w:tc>
      </w:tr>
      <w:tr w:rsidR="00DF7421" w:rsidRPr="00C868F2" w14:paraId="7083DDE1" w14:textId="77777777" w:rsidTr="009D1B1A">
        <w:trPr>
          <w:trHeight w:val="402"/>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782B5" w14:textId="77777777" w:rsidR="00DF7421" w:rsidRPr="00C868F2" w:rsidRDefault="00DF7421" w:rsidP="009D1B1A">
            <w:pPr>
              <w:jc w:val="center"/>
              <w:rPr>
                <w:i/>
                <w:iCs/>
                <w:color w:val="000000"/>
              </w:rPr>
            </w:pPr>
            <w:r w:rsidRPr="00C868F2">
              <w:rPr>
                <w:i/>
                <w:iCs/>
                <w:color w:val="000000"/>
              </w:rPr>
              <w:t>N</w:t>
            </w:r>
          </w:p>
        </w:tc>
        <w:tc>
          <w:tcPr>
            <w:tcW w:w="5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E1626" w14:textId="77777777" w:rsidR="00DF7421" w:rsidRPr="00C868F2" w:rsidRDefault="00DF7421" w:rsidP="009D1B1A">
            <w:pPr>
              <w:jc w:val="center"/>
              <w:rPr>
                <w:color w:val="000000"/>
              </w:rPr>
            </w:pPr>
            <w:r w:rsidRPr="00C868F2">
              <w:rPr>
                <w:color w:val="000000"/>
              </w:rPr>
              <w:t>average number of years until retirement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472B8" w14:textId="77777777" w:rsidR="00DF7421" w:rsidRPr="00C868F2" w:rsidRDefault="00DF7421" w:rsidP="009D1B1A">
            <w:pPr>
              <w:jc w:val="center"/>
              <w:rPr>
                <w:color w:val="000000"/>
              </w:rPr>
            </w:pPr>
            <w:r w:rsidRPr="00C868F2">
              <w:rPr>
                <w:color w:val="000000"/>
              </w:rPr>
              <w:t>30</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2981B830" w14:textId="77777777" w:rsidR="00DF7421" w:rsidRPr="00C868F2" w:rsidRDefault="00DF7421" w:rsidP="009D1B1A">
            <w:pPr>
              <w:jc w:val="center"/>
              <w:rPr>
                <w:color w:val="000000"/>
              </w:rPr>
            </w:pPr>
            <w:r w:rsidRPr="00C868F2">
              <w:rPr>
                <w:color w:val="000000"/>
              </w:rPr>
              <w:t>(Irwin et al., 2017)</w:t>
            </w:r>
          </w:p>
        </w:tc>
      </w:tr>
      <w:tr w:rsidR="00DF7421" w:rsidRPr="00C868F2" w14:paraId="0D7B109F" w14:textId="77777777" w:rsidTr="009D1B1A">
        <w:trPr>
          <w:trHeight w:val="381"/>
          <w:jc w:val="center"/>
        </w:trPr>
        <w:tc>
          <w:tcPr>
            <w:tcW w:w="75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E3F5C8" w14:textId="77777777" w:rsidR="00DF7421" w:rsidRPr="00C868F2" w:rsidRDefault="00DF7421" w:rsidP="009D1B1A">
            <w:pPr>
              <w:jc w:val="center"/>
              <w:rPr>
                <w:i/>
                <w:iCs/>
                <w:color w:val="000000"/>
              </w:rPr>
            </w:pPr>
            <w:r w:rsidRPr="00C868F2">
              <w:rPr>
                <w:i/>
                <w:iCs/>
                <w:color w:val="000000"/>
              </w:rPr>
              <w:t>W</w:t>
            </w:r>
          </w:p>
        </w:tc>
        <w:tc>
          <w:tcPr>
            <w:tcW w:w="525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58A2A3" w14:textId="77777777" w:rsidR="00DF7421" w:rsidRPr="00C868F2" w:rsidRDefault="00DF7421" w:rsidP="009D1B1A">
            <w:pPr>
              <w:jc w:val="center"/>
              <w:rPr>
                <w:color w:val="000000"/>
              </w:rPr>
            </w:pPr>
            <w:r w:rsidRPr="00C868F2">
              <w:rPr>
                <w:color w:val="000000"/>
              </w:rPr>
              <w:t>median wage for Baltimore City</w:t>
            </w:r>
          </w:p>
        </w:tc>
        <w:tc>
          <w:tcPr>
            <w:tcW w:w="9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645521" w14:textId="43FB3395" w:rsidR="00DF7421" w:rsidRPr="00C868F2" w:rsidRDefault="00DF7421" w:rsidP="009D1B1A">
            <w:pPr>
              <w:jc w:val="center"/>
              <w:rPr>
                <w:color w:val="000000"/>
              </w:rPr>
            </w:pPr>
            <w:r w:rsidRPr="00C868F2">
              <w:rPr>
                <w:color w:val="000000"/>
              </w:rPr>
              <w:t>$32,699</w:t>
            </w:r>
          </w:p>
        </w:tc>
        <w:tc>
          <w:tcPr>
            <w:tcW w:w="2463" w:type="dxa"/>
            <w:tcBorders>
              <w:top w:val="single" w:sz="4" w:space="0" w:color="auto"/>
              <w:left w:val="nil"/>
              <w:bottom w:val="single" w:sz="4" w:space="0" w:color="auto"/>
              <w:right w:val="single" w:sz="4" w:space="0" w:color="auto"/>
            </w:tcBorders>
            <w:shd w:val="clear" w:color="D9D9D9" w:fill="D9D9D9"/>
            <w:noWrap/>
            <w:vAlign w:val="center"/>
            <w:hideMark/>
          </w:tcPr>
          <w:p w14:paraId="4022AE07" w14:textId="77777777" w:rsidR="00DF7421" w:rsidRPr="00C868F2" w:rsidRDefault="00DF7421" w:rsidP="009D1B1A">
            <w:pPr>
              <w:jc w:val="center"/>
              <w:rPr>
                <w:color w:val="000000"/>
              </w:rPr>
            </w:pPr>
            <w:r w:rsidRPr="00C868F2">
              <w:rPr>
                <w:color w:val="000000"/>
              </w:rPr>
              <w:t>Census Bureau</w:t>
            </w:r>
          </w:p>
        </w:tc>
      </w:tr>
      <w:tr w:rsidR="00DF7421" w:rsidRPr="00C868F2" w14:paraId="07122B6C" w14:textId="77777777" w:rsidTr="009D1B1A">
        <w:trPr>
          <w:trHeight w:val="402"/>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6194" w14:textId="77777777" w:rsidR="00DF7421" w:rsidRPr="00C868F2" w:rsidRDefault="00DF7421" w:rsidP="009D1B1A">
            <w:pPr>
              <w:jc w:val="center"/>
              <w:rPr>
                <w:i/>
                <w:iCs/>
                <w:color w:val="000000"/>
              </w:rPr>
            </w:pPr>
            <w:r w:rsidRPr="00C868F2">
              <w:rPr>
                <w:i/>
                <w:iCs/>
                <w:color w:val="000000"/>
              </w:rPr>
              <w:t>R</w:t>
            </w:r>
          </w:p>
        </w:tc>
        <w:tc>
          <w:tcPr>
            <w:tcW w:w="5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3EFC" w14:textId="16F6ACA7" w:rsidR="00DF7421" w:rsidRPr="00C868F2" w:rsidRDefault="00DF7421" w:rsidP="009D1B1A">
            <w:pPr>
              <w:jc w:val="center"/>
              <w:rPr>
                <w:color w:val="000000"/>
              </w:rPr>
            </w:pPr>
            <w:r w:rsidRPr="00C868F2">
              <w:rPr>
                <w:color w:val="000000"/>
              </w:rPr>
              <w:t>discount rate</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A29AE" w14:textId="77777777" w:rsidR="00DF7421" w:rsidRPr="00C868F2" w:rsidRDefault="00DF7421" w:rsidP="009D1B1A">
            <w:pPr>
              <w:jc w:val="center"/>
              <w:rPr>
                <w:color w:val="000000"/>
              </w:rPr>
            </w:pPr>
            <w:r w:rsidRPr="00C868F2">
              <w:rPr>
                <w:color w:val="000000"/>
              </w:rPr>
              <w:t>3%</w:t>
            </w:r>
          </w:p>
        </w:tc>
        <w:tc>
          <w:tcPr>
            <w:tcW w:w="2463" w:type="dxa"/>
            <w:tcBorders>
              <w:top w:val="single" w:sz="4" w:space="0" w:color="auto"/>
              <w:left w:val="nil"/>
              <w:bottom w:val="single" w:sz="4" w:space="0" w:color="auto"/>
              <w:right w:val="single" w:sz="4" w:space="0" w:color="auto"/>
            </w:tcBorders>
            <w:shd w:val="clear" w:color="auto" w:fill="auto"/>
            <w:noWrap/>
            <w:vAlign w:val="center"/>
            <w:hideMark/>
          </w:tcPr>
          <w:p w14:paraId="06DDD3C7" w14:textId="104A4E20" w:rsidR="00DF7421" w:rsidRPr="00C868F2" w:rsidRDefault="00DF7421" w:rsidP="009D1B1A">
            <w:pPr>
              <w:jc w:val="center"/>
              <w:rPr>
                <w:color w:val="000000"/>
              </w:rPr>
            </w:pPr>
          </w:p>
        </w:tc>
      </w:tr>
    </w:tbl>
    <w:p w14:paraId="2212F146" w14:textId="77777777" w:rsidR="00433AA4" w:rsidRDefault="00433AA4" w:rsidP="009D1B1A">
      <w:pPr>
        <w:spacing w:line="480" w:lineRule="auto"/>
        <w:rPr>
          <w:b/>
          <w:bCs/>
          <w:color w:val="000000" w:themeColor="text1"/>
        </w:rPr>
      </w:pPr>
    </w:p>
    <w:p w14:paraId="095A6090" w14:textId="77777777" w:rsidR="00711FF2" w:rsidRDefault="00711FF2" w:rsidP="009D1B1A">
      <w:pPr>
        <w:spacing w:line="480" w:lineRule="auto"/>
        <w:rPr>
          <w:b/>
          <w:bCs/>
          <w:color w:val="000000" w:themeColor="text1"/>
        </w:rPr>
      </w:pPr>
    </w:p>
    <w:p w14:paraId="410EFEC0" w14:textId="77777777" w:rsidR="00711FF2" w:rsidRDefault="00711FF2" w:rsidP="009D1B1A">
      <w:pPr>
        <w:spacing w:line="480" w:lineRule="auto"/>
        <w:rPr>
          <w:b/>
          <w:bCs/>
          <w:color w:val="000000" w:themeColor="text1"/>
        </w:rPr>
      </w:pPr>
    </w:p>
    <w:p w14:paraId="4D3939C5" w14:textId="77777777" w:rsidR="00711FF2" w:rsidRDefault="00711FF2" w:rsidP="009D1B1A">
      <w:pPr>
        <w:spacing w:line="480" w:lineRule="auto"/>
        <w:rPr>
          <w:b/>
          <w:bCs/>
          <w:color w:val="000000" w:themeColor="text1"/>
        </w:rPr>
      </w:pPr>
    </w:p>
    <w:p w14:paraId="2E4F8C6B" w14:textId="77777777" w:rsidR="00711FF2" w:rsidRDefault="00711FF2" w:rsidP="009D1B1A">
      <w:pPr>
        <w:spacing w:line="480" w:lineRule="auto"/>
        <w:rPr>
          <w:b/>
          <w:bCs/>
          <w:color w:val="000000" w:themeColor="text1"/>
        </w:rPr>
      </w:pPr>
    </w:p>
    <w:p w14:paraId="4474124C" w14:textId="77777777" w:rsidR="00711FF2" w:rsidRDefault="00711FF2" w:rsidP="009D1B1A">
      <w:pPr>
        <w:spacing w:line="480" w:lineRule="auto"/>
        <w:rPr>
          <w:b/>
          <w:bCs/>
          <w:color w:val="000000" w:themeColor="text1"/>
        </w:rPr>
      </w:pPr>
    </w:p>
    <w:p w14:paraId="681BF2D4" w14:textId="77777777" w:rsidR="00711FF2" w:rsidRDefault="00711FF2" w:rsidP="009D1B1A">
      <w:pPr>
        <w:spacing w:line="480" w:lineRule="auto"/>
        <w:rPr>
          <w:b/>
          <w:bCs/>
          <w:color w:val="000000" w:themeColor="text1"/>
        </w:rPr>
      </w:pPr>
    </w:p>
    <w:p w14:paraId="0CA20F7C" w14:textId="77777777" w:rsidR="00711FF2" w:rsidRDefault="00711FF2" w:rsidP="009D1B1A">
      <w:pPr>
        <w:spacing w:line="480" w:lineRule="auto"/>
        <w:rPr>
          <w:b/>
          <w:bCs/>
          <w:color w:val="000000" w:themeColor="text1"/>
        </w:rPr>
      </w:pPr>
    </w:p>
    <w:p w14:paraId="47CFE683" w14:textId="133FAB79" w:rsidR="00870330" w:rsidRDefault="00870330" w:rsidP="009D1B1A">
      <w:pPr>
        <w:spacing w:line="480" w:lineRule="auto"/>
        <w:rPr>
          <w:b/>
          <w:bCs/>
          <w:color w:val="000000" w:themeColor="text1"/>
        </w:rPr>
      </w:pPr>
      <w:r w:rsidRPr="00C868F2">
        <w:rPr>
          <w:b/>
          <w:bCs/>
          <w:color w:val="000000" w:themeColor="text1"/>
        </w:rPr>
        <w:lastRenderedPageBreak/>
        <w:t xml:space="preserve">Appendix </w:t>
      </w:r>
      <w:r w:rsidR="00433AA4">
        <w:rPr>
          <w:b/>
          <w:bCs/>
          <w:color w:val="000000" w:themeColor="text1"/>
        </w:rPr>
        <w:t>C</w:t>
      </w:r>
    </w:p>
    <w:tbl>
      <w:tblPr>
        <w:tblW w:w="9320" w:type="dxa"/>
        <w:tblLook w:val="04A0" w:firstRow="1" w:lastRow="0" w:firstColumn="1" w:lastColumn="0" w:noHBand="0" w:noVBand="1"/>
      </w:tblPr>
      <w:tblGrid>
        <w:gridCol w:w="1800"/>
        <w:gridCol w:w="2480"/>
        <w:gridCol w:w="2400"/>
        <w:gridCol w:w="2640"/>
      </w:tblGrid>
      <w:tr w:rsidR="00723D57" w:rsidRPr="00723D57" w14:paraId="1F3EA9A9" w14:textId="77777777" w:rsidTr="00723D57">
        <w:trPr>
          <w:trHeight w:val="5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5508A" w14:textId="77777777" w:rsidR="00723D57" w:rsidRPr="00723D57" w:rsidRDefault="00723D57" w:rsidP="00723D57">
            <w:pPr>
              <w:jc w:val="center"/>
              <w:rPr>
                <w:b/>
                <w:bCs/>
                <w:sz w:val="22"/>
                <w:szCs w:val="22"/>
              </w:rPr>
            </w:pPr>
            <w:r w:rsidRPr="00723D57">
              <w:rPr>
                <w:b/>
                <w:bCs/>
                <w:sz w:val="22"/>
                <w:szCs w:val="22"/>
              </w:rPr>
              <w:t>Year</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F9D37" w14:textId="77777777" w:rsidR="00723D57" w:rsidRPr="00723D57" w:rsidRDefault="00723D57" w:rsidP="00723D57">
            <w:pPr>
              <w:jc w:val="center"/>
              <w:rPr>
                <w:b/>
                <w:bCs/>
                <w:sz w:val="22"/>
                <w:szCs w:val="22"/>
              </w:rPr>
            </w:pPr>
            <w:r w:rsidRPr="00723D57">
              <w:rPr>
                <w:b/>
                <w:bCs/>
                <w:sz w:val="22"/>
                <w:szCs w:val="22"/>
              </w:rPr>
              <w:t>Low Estimate</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3413" w14:textId="77777777" w:rsidR="00723D57" w:rsidRPr="00723D57" w:rsidRDefault="00723D57" w:rsidP="00723D57">
            <w:pPr>
              <w:jc w:val="center"/>
              <w:rPr>
                <w:b/>
                <w:bCs/>
                <w:sz w:val="22"/>
                <w:szCs w:val="22"/>
              </w:rPr>
            </w:pPr>
            <w:r w:rsidRPr="00723D57">
              <w:rPr>
                <w:b/>
                <w:bCs/>
                <w:sz w:val="22"/>
                <w:szCs w:val="22"/>
              </w:rPr>
              <w:t>Central Estimate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A8B9" w14:textId="77777777" w:rsidR="00723D57" w:rsidRPr="00723D57" w:rsidRDefault="00723D57" w:rsidP="00723D57">
            <w:pPr>
              <w:jc w:val="center"/>
              <w:rPr>
                <w:b/>
                <w:bCs/>
                <w:sz w:val="22"/>
                <w:szCs w:val="22"/>
              </w:rPr>
            </w:pPr>
            <w:r w:rsidRPr="00723D57">
              <w:rPr>
                <w:b/>
                <w:bCs/>
                <w:sz w:val="22"/>
                <w:szCs w:val="22"/>
              </w:rPr>
              <w:t>High Estimate</w:t>
            </w:r>
          </w:p>
        </w:tc>
      </w:tr>
      <w:tr w:rsidR="00723D57" w:rsidRPr="00723D57" w14:paraId="657D0243"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FF73F6" w14:textId="77777777" w:rsidR="00723D57" w:rsidRPr="00723D57" w:rsidRDefault="00723D57" w:rsidP="00723D57">
            <w:pPr>
              <w:jc w:val="center"/>
              <w:rPr>
                <w:color w:val="000000"/>
                <w:sz w:val="22"/>
                <w:szCs w:val="22"/>
              </w:rPr>
            </w:pPr>
            <w:r w:rsidRPr="00723D57">
              <w:rPr>
                <w:color w:val="000000"/>
                <w:sz w:val="22"/>
                <w:szCs w:val="22"/>
              </w:rPr>
              <w:t>2022</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108DB8" w14:textId="77777777" w:rsidR="00723D57" w:rsidRPr="00723D57" w:rsidRDefault="00723D57" w:rsidP="00723D57">
            <w:pPr>
              <w:jc w:val="center"/>
              <w:rPr>
                <w:color w:val="000000"/>
                <w:sz w:val="22"/>
                <w:szCs w:val="22"/>
              </w:rPr>
            </w:pPr>
            <w:r w:rsidRPr="00723D57">
              <w:rPr>
                <w:color w:val="000000"/>
                <w:sz w:val="22"/>
                <w:szCs w:val="22"/>
              </w:rPr>
              <w:t>$6,059,470.93</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198E28" w14:textId="77777777" w:rsidR="00723D57" w:rsidRPr="00723D57" w:rsidRDefault="00723D57" w:rsidP="00723D57">
            <w:pPr>
              <w:jc w:val="center"/>
              <w:rPr>
                <w:color w:val="000000"/>
                <w:sz w:val="22"/>
                <w:szCs w:val="22"/>
              </w:rPr>
            </w:pPr>
            <w:r w:rsidRPr="00723D57">
              <w:rPr>
                <w:color w:val="000000"/>
                <w:sz w:val="22"/>
                <w:szCs w:val="22"/>
              </w:rPr>
              <w:t>$12,984,580.56</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6F64DA" w14:textId="77777777" w:rsidR="00723D57" w:rsidRPr="00723D57" w:rsidRDefault="00723D57" w:rsidP="00723D57">
            <w:pPr>
              <w:jc w:val="center"/>
              <w:rPr>
                <w:color w:val="000000"/>
                <w:sz w:val="22"/>
                <w:szCs w:val="22"/>
              </w:rPr>
            </w:pPr>
            <w:r w:rsidRPr="00723D57">
              <w:rPr>
                <w:color w:val="000000"/>
                <w:sz w:val="22"/>
                <w:szCs w:val="22"/>
              </w:rPr>
              <w:t>$19,765,417.08</w:t>
            </w:r>
          </w:p>
        </w:tc>
      </w:tr>
      <w:tr w:rsidR="00723D57" w:rsidRPr="00723D57" w14:paraId="77D84680"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CB0EA" w14:textId="77777777" w:rsidR="00723D57" w:rsidRPr="00723D57" w:rsidRDefault="00723D57" w:rsidP="00723D57">
            <w:pPr>
              <w:jc w:val="center"/>
              <w:rPr>
                <w:color w:val="000000"/>
                <w:sz w:val="22"/>
                <w:szCs w:val="22"/>
              </w:rPr>
            </w:pPr>
            <w:r w:rsidRPr="00723D57">
              <w:rPr>
                <w:color w:val="000000"/>
                <w:sz w:val="22"/>
                <w:szCs w:val="22"/>
              </w:rPr>
              <w:t>2023</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BC0D" w14:textId="77777777" w:rsidR="00723D57" w:rsidRPr="00723D57" w:rsidRDefault="00723D57" w:rsidP="00723D57">
            <w:pPr>
              <w:jc w:val="center"/>
              <w:rPr>
                <w:color w:val="000000"/>
                <w:sz w:val="22"/>
                <w:szCs w:val="22"/>
              </w:rPr>
            </w:pPr>
            <w:r w:rsidRPr="00723D57">
              <w:rPr>
                <w:color w:val="000000"/>
                <w:sz w:val="22"/>
                <w:szCs w:val="22"/>
              </w:rPr>
              <w:t>$6,107,946.70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A1DA9" w14:textId="77777777" w:rsidR="00723D57" w:rsidRPr="00723D57" w:rsidRDefault="00723D57" w:rsidP="00723D57">
            <w:pPr>
              <w:jc w:val="center"/>
              <w:rPr>
                <w:color w:val="000000"/>
                <w:sz w:val="22"/>
                <w:szCs w:val="22"/>
              </w:rPr>
            </w:pPr>
            <w:r w:rsidRPr="00723D57">
              <w:rPr>
                <w:color w:val="000000"/>
                <w:sz w:val="22"/>
                <w:szCs w:val="22"/>
              </w:rPr>
              <w:t>$13,088,457.21</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9531" w14:textId="77777777" w:rsidR="00723D57" w:rsidRPr="00723D57" w:rsidRDefault="00723D57" w:rsidP="00723D57">
            <w:pPr>
              <w:jc w:val="center"/>
              <w:rPr>
                <w:color w:val="000000"/>
                <w:sz w:val="22"/>
                <w:szCs w:val="22"/>
              </w:rPr>
            </w:pPr>
            <w:r w:rsidRPr="00723D57">
              <w:rPr>
                <w:color w:val="000000"/>
                <w:sz w:val="22"/>
                <w:szCs w:val="22"/>
              </w:rPr>
              <w:t>$19,923,540.42</w:t>
            </w:r>
          </w:p>
        </w:tc>
      </w:tr>
      <w:tr w:rsidR="00723D57" w:rsidRPr="00723D57" w14:paraId="2C128FFE"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158433" w14:textId="77777777" w:rsidR="00723D57" w:rsidRPr="00723D57" w:rsidRDefault="00723D57" w:rsidP="00723D57">
            <w:pPr>
              <w:jc w:val="center"/>
              <w:rPr>
                <w:color w:val="000000"/>
                <w:sz w:val="22"/>
                <w:szCs w:val="22"/>
              </w:rPr>
            </w:pPr>
            <w:r w:rsidRPr="00723D57">
              <w:rPr>
                <w:color w:val="000000"/>
                <w:sz w:val="22"/>
                <w:szCs w:val="22"/>
              </w:rPr>
              <w:t>2024</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7D815A" w14:textId="77777777" w:rsidR="00723D57" w:rsidRPr="00723D57" w:rsidRDefault="00723D57" w:rsidP="00723D57">
            <w:pPr>
              <w:jc w:val="center"/>
              <w:rPr>
                <w:color w:val="000000"/>
                <w:sz w:val="22"/>
                <w:szCs w:val="22"/>
              </w:rPr>
            </w:pPr>
            <w:r w:rsidRPr="00723D57">
              <w:rPr>
                <w:color w:val="000000"/>
                <w:sz w:val="22"/>
                <w:szCs w:val="22"/>
              </w:rPr>
              <w:t>$6,156,810.27</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D837F4" w14:textId="77777777" w:rsidR="00723D57" w:rsidRPr="00723D57" w:rsidRDefault="00723D57" w:rsidP="00723D57">
            <w:pPr>
              <w:jc w:val="center"/>
              <w:rPr>
                <w:color w:val="000000"/>
                <w:sz w:val="22"/>
                <w:szCs w:val="22"/>
              </w:rPr>
            </w:pPr>
            <w:r w:rsidRPr="00723D57">
              <w:rPr>
                <w:color w:val="000000"/>
                <w:sz w:val="22"/>
                <w:szCs w:val="22"/>
              </w:rPr>
              <w:t>$13,193,164.87</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E778CF" w14:textId="77777777" w:rsidR="00723D57" w:rsidRPr="00723D57" w:rsidRDefault="00723D57" w:rsidP="00723D57">
            <w:pPr>
              <w:jc w:val="center"/>
              <w:rPr>
                <w:color w:val="000000"/>
                <w:sz w:val="22"/>
                <w:szCs w:val="22"/>
              </w:rPr>
            </w:pPr>
            <w:r w:rsidRPr="00723D57">
              <w:rPr>
                <w:color w:val="000000"/>
                <w:sz w:val="22"/>
                <w:szCs w:val="22"/>
              </w:rPr>
              <w:t>$20,082,928.74</w:t>
            </w:r>
          </w:p>
        </w:tc>
      </w:tr>
      <w:tr w:rsidR="00723D57" w:rsidRPr="00723D57" w14:paraId="59B0891B"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AC13D" w14:textId="77777777" w:rsidR="00723D57" w:rsidRPr="00723D57" w:rsidRDefault="00723D57" w:rsidP="00723D57">
            <w:pPr>
              <w:jc w:val="center"/>
              <w:rPr>
                <w:color w:val="000000"/>
                <w:sz w:val="22"/>
                <w:szCs w:val="22"/>
              </w:rPr>
            </w:pPr>
            <w:r w:rsidRPr="00723D57">
              <w:rPr>
                <w:color w:val="000000"/>
                <w:sz w:val="22"/>
                <w:szCs w:val="22"/>
              </w:rPr>
              <w:t>2025</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2352" w14:textId="77777777" w:rsidR="00723D57" w:rsidRPr="00723D57" w:rsidRDefault="00723D57" w:rsidP="00723D57">
            <w:pPr>
              <w:jc w:val="center"/>
              <w:rPr>
                <w:color w:val="000000"/>
                <w:sz w:val="22"/>
                <w:szCs w:val="22"/>
              </w:rPr>
            </w:pPr>
            <w:r w:rsidRPr="00723D57">
              <w:rPr>
                <w:color w:val="000000"/>
                <w:sz w:val="22"/>
                <w:szCs w:val="22"/>
              </w:rPr>
              <w:t>$6,206,064.75</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BB250" w14:textId="77777777" w:rsidR="00723D57" w:rsidRPr="00723D57" w:rsidRDefault="00723D57" w:rsidP="00723D57">
            <w:pPr>
              <w:jc w:val="center"/>
              <w:rPr>
                <w:color w:val="000000"/>
                <w:sz w:val="22"/>
                <w:szCs w:val="22"/>
              </w:rPr>
            </w:pPr>
            <w:r w:rsidRPr="00723D57">
              <w:rPr>
                <w:color w:val="000000"/>
                <w:sz w:val="22"/>
                <w:szCs w:val="22"/>
              </w:rPr>
              <w:t>$13,298,710.19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4A9BC" w14:textId="77777777" w:rsidR="00723D57" w:rsidRPr="00723D57" w:rsidRDefault="00723D57" w:rsidP="00723D57">
            <w:pPr>
              <w:jc w:val="center"/>
              <w:rPr>
                <w:color w:val="000000"/>
                <w:sz w:val="22"/>
                <w:szCs w:val="22"/>
              </w:rPr>
            </w:pPr>
            <w:r w:rsidRPr="00723D57">
              <w:rPr>
                <w:color w:val="000000"/>
                <w:sz w:val="22"/>
                <w:szCs w:val="22"/>
              </w:rPr>
              <w:t>$20,243,592.17</w:t>
            </w:r>
          </w:p>
        </w:tc>
      </w:tr>
      <w:tr w:rsidR="00723D57" w:rsidRPr="00723D57" w14:paraId="4F931A4C"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88BBBB" w14:textId="77777777" w:rsidR="00723D57" w:rsidRPr="00723D57" w:rsidRDefault="00723D57" w:rsidP="00723D57">
            <w:pPr>
              <w:jc w:val="center"/>
              <w:rPr>
                <w:color w:val="000000"/>
                <w:sz w:val="22"/>
                <w:szCs w:val="22"/>
              </w:rPr>
            </w:pPr>
            <w:r w:rsidRPr="00723D57">
              <w:rPr>
                <w:color w:val="000000"/>
                <w:sz w:val="22"/>
                <w:szCs w:val="22"/>
              </w:rPr>
              <w:t>2026</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96D67D" w14:textId="77777777" w:rsidR="00723D57" w:rsidRPr="00723D57" w:rsidRDefault="00723D57" w:rsidP="00723D57">
            <w:pPr>
              <w:jc w:val="center"/>
              <w:rPr>
                <w:color w:val="000000"/>
                <w:sz w:val="22"/>
                <w:szCs w:val="22"/>
              </w:rPr>
            </w:pPr>
            <w:r w:rsidRPr="00723D57">
              <w:rPr>
                <w:color w:val="000000"/>
                <w:sz w:val="22"/>
                <w:szCs w:val="22"/>
              </w:rPr>
              <w:t>$6,255,713.27</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AF6647" w14:textId="77777777" w:rsidR="00723D57" w:rsidRPr="00723D57" w:rsidRDefault="00723D57" w:rsidP="00723D57">
            <w:pPr>
              <w:jc w:val="center"/>
              <w:rPr>
                <w:color w:val="000000"/>
                <w:sz w:val="22"/>
                <w:szCs w:val="22"/>
              </w:rPr>
            </w:pPr>
            <w:r w:rsidRPr="00723D57">
              <w:rPr>
                <w:color w:val="000000"/>
                <w:sz w:val="22"/>
                <w:szCs w:val="22"/>
              </w:rPr>
              <w:t>$13,405,099.87</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F3AF25" w14:textId="77777777" w:rsidR="00723D57" w:rsidRPr="00723D57" w:rsidRDefault="00723D57" w:rsidP="00723D57">
            <w:pPr>
              <w:jc w:val="center"/>
              <w:rPr>
                <w:color w:val="000000"/>
                <w:sz w:val="22"/>
                <w:szCs w:val="22"/>
              </w:rPr>
            </w:pPr>
            <w:r w:rsidRPr="00723D57">
              <w:rPr>
                <w:color w:val="000000"/>
                <w:sz w:val="22"/>
                <w:szCs w:val="22"/>
              </w:rPr>
              <w:t>$20,405,540.91</w:t>
            </w:r>
          </w:p>
        </w:tc>
      </w:tr>
      <w:tr w:rsidR="00723D57" w:rsidRPr="00723D57" w14:paraId="6BAC2E8E"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B930" w14:textId="77777777" w:rsidR="00723D57" w:rsidRPr="00723D57" w:rsidRDefault="00723D57" w:rsidP="00723D57">
            <w:pPr>
              <w:jc w:val="center"/>
              <w:rPr>
                <w:color w:val="000000"/>
                <w:sz w:val="22"/>
                <w:szCs w:val="22"/>
              </w:rPr>
            </w:pPr>
            <w:r w:rsidRPr="00723D57">
              <w:rPr>
                <w:color w:val="000000"/>
                <w:sz w:val="22"/>
                <w:szCs w:val="22"/>
              </w:rPr>
              <w:t>2027</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4FA4" w14:textId="77777777" w:rsidR="00723D57" w:rsidRPr="00723D57" w:rsidRDefault="00723D57" w:rsidP="00723D57">
            <w:pPr>
              <w:jc w:val="center"/>
              <w:rPr>
                <w:color w:val="000000"/>
                <w:sz w:val="22"/>
                <w:szCs w:val="22"/>
              </w:rPr>
            </w:pPr>
            <w:r w:rsidRPr="00723D57">
              <w:rPr>
                <w:color w:val="000000"/>
                <w:sz w:val="22"/>
                <w:szCs w:val="22"/>
              </w:rPr>
              <w:t>$6,305,758.98</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FAF5" w14:textId="77777777" w:rsidR="00723D57" w:rsidRPr="00723D57" w:rsidRDefault="00723D57" w:rsidP="00723D57">
            <w:pPr>
              <w:jc w:val="center"/>
              <w:rPr>
                <w:color w:val="000000"/>
                <w:sz w:val="22"/>
                <w:szCs w:val="22"/>
              </w:rPr>
            </w:pPr>
            <w:r w:rsidRPr="00723D57">
              <w:rPr>
                <w:color w:val="000000"/>
                <w:sz w:val="22"/>
                <w:szCs w:val="22"/>
              </w:rPr>
              <w:t>$13,512,340.67</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3B34" w14:textId="77777777" w:rsidR="00723D57" w:rsidRPr="00723D57" w:rsidRDefault="00723D57" w:rsidP="00723D57">
            <w:pPr>
              <w:jc w:val="center"/>
              <w:rPr>
                <w:color w:val="000000"/>
                <w:sz w:val="22"/>
                <w:szCs w:val="22"/>
              </w:rPr>
            </w:pPr>
            <w:r w:rsidRPr="00723D57">
              <w:rPr>
                <w:color w:val="000000"/>
                <w:sz w:val="22"/>
                <w:szCs w:val="22"/>
              </w:rPr>
              <w:t>$20,568,785.24</w:t>
            </w:r>
          </w:p>
        </w:tc>
      </w:tr>
      <w:tr w:rsidR="00723D57" w:rsidRPr="00723D57" w14:paraId="06B03C4C"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82DBC5" w14:textId="77777777" w:rsidR="00723D57" w:rsidRPr="00723D57" w:rsidRDefault="00723D57" w:rsidP="00723D57">
            <w:pPr>
              <w:jc w:val="center"/>
              <w:rPr>
                <w:color w:val="000000"/>
                <w:sz w:val="22"/>
                <w:szCs w:val="22"/>
              </w:rPr>
            </w:pPr>
            <w:r w:rsidRPr="00723D57">
              <w:rPr>
                <w:color w:val="000000"/>
                <w:sz w:val="22"/>
                <w:szCs w:val="22"/>
              </w:rPr>
              <w:t>2028</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35FAD9" w14:textId="77777777" w:rsidR="00723D57" w:rsidRPr="00723D57" w:rsidRDefault="00723D57" w:rsidP="00723D57">
            <w:pPr>
              <w:jc w:val="center"/>
              <w:rPr>
                <w:color w:val="000000"/>
                <w:sz w:val="22"/>
                <w:szCs w:val="22"/>
              </w:rPr>
            </w:pPr>
            <w:r w:rsidRPr="00723D57">
              <w:rPr>
                <w:color w:val="000000"/>
                <w:sz w:val="22"/>
                <w:szCs w:val="22"/>
              </w:rPr>
              <w:t>$6,356,205.05</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E507FC" w14:textId="77777777" w:rsidR="00723D57" w:rsidRPr="00723D57" w:rsidRDefault="00723D57" w:rsidP="00723D57">
            <w:pPr>
              <w:jc w:val="center"/>
              <w:rPr>
                <w:color w:val="000000"/>
                <w:sz w:val="22"/>
                <w:szCs w:val="22"/>
              </w:rPr>
            </w:pPr>
            <w:r w:rsidRPr="00723D57">
              <w:rPr>
                <w:color w:val="000000"/>
                <w:sz w:val="22"/>
                <w:szCs w:val="22"/>
              </w:rPr>
              <w:t>$13,620,439.39</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702E62" w14:textId="77777777" w:rsidR="00723D57" w:rsidRPr="00723D57" w:rsidRDefault="00723D57" w:rsidP="00723D57">
            <w:pPr>
              <w:jc w:val="center"/>
              <w:rPr>
                <w:color w:val="000000"/>
                <w:sz w:val="22"/>
                <w:szCs w:val="22"/>
              </w:rPr>
            </w:pPr>
            <w:r w:rsidRPr="00723D57">
              <w:rPr>
                <w:color w:val="000000"/>
                <w:sz w:val="22"/>
                <w:szCs w:val="22"/>
              </w:rPr>
              <w:t>$20,733,335.52</w:t>
            </w:r>
          </w:p>
        </w:tc>
      </w:tr>
      <w:tr w:rsidR="00723D57" w:rsidRPr="00723D57" w14:paraId="6C24B28C"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E928" w14:textId="77777777" w:rsidR="00723D57" w:rsidRPr="00723D57" w:rsidRDefault="00723D57" w:rsidP="00723D57">
            <w:pPr>
              <w:jc w:val="center"/>
              <w:rPr>
                <w:color w:val="000000"/>
                <w:sz w:val="22"/>
                <w:szCs w:val="22"/>
              </w:rPr>
            </w:pPr>
            <w:r w:rsidRPr="00723D57">
              <w:rPr>
                <w:color w:val="000000"/>
                <w:sz w:val="22"/>
                <w:szCs w:val="22"/>
              </w:rPr>
              <w:t>2029</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E6A31" w14:textId="77777777" w:rsidR="00723D57" w:rsidRPr="00723D57" w:rsidRDefault="00723D57" w:rsidP="00723D57">
            <w:pPr>
              <w:jc w:val="center"/>
              <w:rPr>
                <w:color w:val="000000"/>
                <w:sz w:val="22"/>
                <w:szCs w:val="22"/>
              </w:rPr>
            </w:pPr>
            <w:r w:rsidRPr="00723D57">
              <w:rPr>
                <w:color w:val="000000"/>
                <w:sz w:val="22"/>
                <w:szCs w:val="22"/>
              </w:rPr>
              <w:t>$6,407,054.69</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C984B" w14:textId="77777777" w:rsidR="00723D57" w:rsidRPr="00723D57" w:rsidRDefault="00723D57" w:rsidP="00723D57">
            <w:pPr>
              <w:jc w:val="center"/>
              <w:rPr>
                <w:color w:val="000000"/>
                <w:sz w:val="22"/>
                <w:szCs w:val="22"/>
              </w:rPr>
            </w:pPr>
            <w:r w:rsidRPr="00723D57">
              <w:rPr>
                <w:color w:val="000000"/>
                <w:sz w:val="22"/>
                <w:szCs w:val="22"/>
              </w:rPr>
              <w:t>$13,729,402.91</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3B75" w14:textId="77777777" w:rsidR="00723D57" w:rsidRPr="00723D57" w:rsidRDefault="00723D57" w:rsidP="00723D57">
            <w:pPr>
              <w:jc w:val="center"/>
              <w:rPr>
                <w:color w:val="000000"/>
                <w:sz w:val="22"/>
                <w:szCs w:val="22"/>
              </w:rPr>
            </w:pPr>
            <w:r w:rsidRPr="00723D57">
              <w:rPr>
                <w:color w:val="000000"/>
                <w:sz w:val="22"/>
                <w:szCs w:val="22"/>
              </w:rPr>
              <w:t>$20,899,202.20</w:t>
            </w:r>
          </w:p>
        </w:tc>
      </w:tr>
      <w:tr w:rsidR="00723D57" w:rsidRPr="00723D57" w14:paraId="6E1D4920"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E283CB" w14:textId="77777777" w:rsidR="00723D57" w:rsidRPr="00723D57" w:rsidRDefault="00723D57" w:rsidP="00723D57">
            <w:pPr>
              <w:jc w:val="center"/>
              <w:rPr>
                <w:color w:val="000000"/>
                <w:sz w:val="22"/>
                <w:szCs w:val="22"/>
              </w:rPr>
            </w:pPr>
            <w:r w:rsidRPr="00723D57">
              <w:rPr>
                <w:color w:val="000000"/>
                <w:sz w:val="22"/>
                <w:szCs w:val="22"/>
              </w:rPr>
              <w:t>2030</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E6E1FB" w14:textId="77777777" w:rsidR="00723D57" w:rsidRPr="00723D57" w:rsidRDefault="00723D57" w:rsidP="00723D57">
            <w:pPr>
              <w:jc w:val="center"/>
              <w:rPr>
                <w:color w:val="000000"/>
                <w:sz w:val="22"/>
                <w:szCs w:val="22"/>
              </w:rPr>
            </w:pPr>
            <w:r w:rsidRPr="00723D57">
              <w:rPr>
                <w:color w:val="000000"/>
                <w:sz w:val="22"/>
                <w:szCs w:val="22"/>
              </w:rPr>
              <w:t>$6,458,311.13</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782EDB" w14:textId="77777777" w:rsidR="00723D57" w:rsidRPr="00723D57" w:rsidRDefault="00723D57" w:rsidP="00723D57">
            <w:pPr>
              <w:jc w:val="center"/>
              <w:rPr>
                <w:color w:val="000000"/>
                <w:sz w:val="22"/>
                <w:szCs w:val="22"/>
              </w:rPr>
            </w:pPr>
            <w:r w:rsidRPr="00723D57">
              <w:rPr>
                <w:color w:val="000000"/>
                <w:sz w:val="22"/>
                <w:szCs w:val="22"/>
              </w:rPr>
              <w:t>$13,839,238.13</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AA44C7" w14:textId="77777777" w:rsidR="00723D57" w:rsidRPr="00723D57" w:rsidRDefault="00723D57" w:rsidP="00723D57">
            <w:pPr>
              <w:jc w:val="center"/>
              <w:rPr>
                <w:color w:val="000000"/>
                <w:sz w:val="22"/>
                <w:szCs w:val="22"/>
              </w:rPr>
            </w:pPr>
            <w:r w:rsidRPr="00723D57">
              <w:rPr>
                <w:color w:val="000000"/>
                <w:sz w:val="22"/>
                <w:szCs w:val="22"/>
              </w:rPr>
              <w:t>$21,066,395.82</w:t>
            </w:r>
          </w:p>
        </w:tc>
      </w:tr>
      <w:tr w:rsidR="00723D57" w:rsidRPr="00723D57" w14:paraId="79336A4B"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51B9" w14:textId="77777777" w:rsidR="00723D57" w:rsidRPr="00723D57" w:rsidRDefault="00723D57" w:rsidP="00723D57">
            <w:pPr>
              <w:jc w:val="center"/>
              <w:rPr>
                <w:color w:val="000000"/>
                <w:sz w:val="22"/>
                <w:szCs w:val="22"/>
              </w:rPr>
            </w:pPr>
            <w:r w:rsidRPr="00723D57">
              <w:rPr>
                <w:color w:val="000000"/>
                <w:sz w:val="22"/>
                <w:szCs w:val="22"/>
              </w:rPr>
              <w:t>2031</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2536" w14:textId="77777777" w:rsidR="00723D57" w:rsidRPr="00723D57" w:rsidRDefault="00723D57" w:rsidP="00723D57">
            <w:pPr>
              <w:jc w:val="center"/>
              <w:rPr>
                <w:color w:val="000000"/>
                <w:sz w:val="22"/>
                <w:szCs w:val="22"/>
              </w:rPr>
            </w:pPr>
            <w:r w:rsidRPr="00723D57">
              <w:rPr>
                <w:color w:val="000000"/>
                <w:sz w:val="22"/>
                <w:szCs w:val="22"/>
              </w:rPr>
              <w:t>$6,509,977.62</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5DF6" w14:textId="77777777" w:rsidR="00723D57" w:rsidRPr="00723D57" w:rsidRDefault="00723D57" w:rsidP="00723D57">
            <w:pPr>
              <w:jc w:val="center"/>
              <w:rPr>
                <w:color w:val="000000"/>
                <w:sz w:val="22"/>
                <w:szCs w:val="22"/>
              </w:rPr>
            </w:pPr>
            <w:r w:rsidRPr="00723D57">
              <w:rPr>
                <w:color w:val="000000"/>
                <w:sz w:val="22"/>
                <w:szCs w:val="22"/>
              </w:rPr>
              <w:t>$13,949,952.04</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7BF0" w14:textId="77777777" w:rsidR="00723D57" w:rsidRPr="00723D57" w:rsidRDefault="00723D57" w:rsidP="00723D57">
            <w:pPr>
              <w:jc w:val="center"/>
              <w:rPr>
                <w:color w:val="000000"/>
                <w:sz w:val="22"/>
                <w:szCs w:val="22"/>
              </w:rPr>
            </w:pPr>
            <w:r w:rsidRPr="00723D57">
              <w:rPr>
                <w:color w:val="000000"/>
                <w:sz w:val="22"/>
                <w:szCs w:val="22"/>
              </w:rPr>
              <w:t>$21,234,926.99</w:t>
            </w:r>
          </w:p>
        </w:tc>
      </w:tr>
      <w:tr w:rsidR="00723D57" w:rsidRPr="00723D57" w14:paraId="2BF8D49E"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81C3B8" w14:textId="77777777" w:rsidR="00723D57" w:rsidRPr="00723D57" w:rsidRDefault="00723D57" w:rsidP="00723D57">
            <w:pPr>
              <w:jc w:val="center"/>
              <w:rPr>
                <w:color w:val="000000"/>
                <w:sz w:val="22"/>
                <w:szCs w:val="22"/>
              </w:rPr>
            </w:pPr>
            <w:r w:rsidRPr="00723D57">
              <w:rPr>
                <w:color w:val="000000"/>
                <w:sz w:val="22"/>
                <w:szCs w:val="22"/>
              </w:rPr>
              <w:t>2032</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3E4914" w14:textId="77777777" w:rsidR="00723D57" w:rsidRPr="00723D57" w:rsidRDefault="00723D57" w:rsidP="00723D57">
            <w:pPr>
              <w:jc w:val="center"/>
              <w:rPr>
                <w:color w:val="000000"/>
                <w:sz w:val="22"/>
                <w:szCs w:val="22"/>
              </w:rPr>
            </w:pPr>
            <w:r w:rsidRPr="00723D57">
              <w:rPr>
                <w:color w:val="000000"/>
                <w:sz w:val="22"/>
                <w:szCs w:val="22"/>
              </w:rPr>
              <w:t>$6,562,057.44</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8658F0" w14:textId="77777777" w:rsidR="00723D57" w:rsidRPr="00723D57" w:rsidRDefault="00723D57" w:rsidP="00723D57">
            <w:pPr>
              <w:jc w:val="center"/>
              <w:rPr>
                <w:color w:val="000000"/>
                <w:sz w:val="22"/>
                <w:szCs w:val="22"/>
              </w:rPr>
            </w:pPr>
            <w:r w:rsidRPr="00723D57">
              <w:rPr>
                <w:color w:val="000000"/>
                <w:sz w:val="22"/>
                <w:szCs w:val="22"/>
              </w:rPr>
              <w:t>$14,061,551.65</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0EAC67" w14:textId="77777777" w:rsidR="00723D57" w:rsidRPr="00723D57" w:rsidRDefault="00723D57" w:rsidP="00723D57">
            <w:pPr>
              <w:jc w:val="center"/>
              <w:rPr>
                <w:color w:val="000000"/>
                <w:sz w:val="22"/>
                <w:szCs w:val="22"/>
              </w:rPr>
            </w:pPr>
            <w:r w:rsidRPr="00723D57">
              <w:rPr>
                <w:color w:val="000000"/>
                <w:sz w:val="22"/>
                <w:szCs w:val="22"/>
              </w:rPr>
              <w:t>$21,404,806.40</w:t>
            </w:r>
          </w:p>
        </w:tc>
      </w:tr>
      <w:tr w:rsidR="00723D57" w:rsidRPr="00723D57" w14:paraId="12469EEE"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18C24" w14:textId="77777777" w:rsidR="00723D57" w:rsidRPr="00723D57" w:rsidRDefault="00723D57" w:rsidP="00723D57">
            <w:pPr>
              <w:jc w:val="center"/>
              <w:rPr>
                <w:color w:val="000000"/>
                <w:sz w:val="22"/>
                <w:szCs w:val="22"/>
              </w:rPr>
            </w:pPr>
            <w:r w:rsidRPr="00723D57">
              <w:rPr>
                <w:color w:val="000000"/>
                <w:sz w:val="22"/>
                <w:szCs w:val="22"/>
              </w:rPr>
              <w:t>2033</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F348" w14:textId="77777777" w:rsidR="00723D57" w:rsidRPr="00723D57" w:rsidRDefault="00723D57" w:rsidP="00723D57">
            <w:pPr>
              <w:jc w:val="center"/>
              <w:rPr>
                <w:color w:val="000000"/>
                <w:sz w:val="22"/>
                <w:szCs w:val="22"/>
              </w:rPr>
            </w:pPr>
            <w:r w:rsidRPr="00723D57">
              <w:rPr>
                <w:color w:val="000000"/>
                <w:sz w:val="22"/>
                <w:szCs w:val="22"/>
              </w:rPr>
              <w:t>$6,614,553.90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DF74" w14:textId="77777777" w:rsidR="00723D57" w:rsidRPr="00723D57" w:rsidRDefault="00723D57" w:rsidP="00723D57">
            <w:pPr>
              <w:jc w:val="center"/>
              <w:rPr>
                <w:color w:val="000000"/>
                <w:sz w:val="22"/>
                <w:szCs w:val="22"/>
              </w:rPr>
            </w:pPr>
            <w:r w:rsidRPr="00723D57">
              <w:rPr>
                <w:color w:val="000000"/>
                <w:sz w:val="22"/>
                <w:szCs w:val="22"/>
              </w:rPr>
              <w:t>$14,174,044.06</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5E39" w14:textId="77777777" w:rsidR="00723D57" w:rsidRPr="00723D57" w:rsidRDefault="00723D57" w:rsidP="00723D57">
            <w:pPr>
              <w:jc w:val="center"/>
              <w:rPr>
                <w:color w:val="000000"/>
                <w:sz w:val="22"/>
                <w:szCs w:val="22"/>
              </w:rPr>
            </w:pPr>
            <w:r w:rsidRPr="00723D57">
              <w:rPr>
                <w:color w:val="000000"/>
                <w:sz w:val="22"/>
                <w:szCs w:val="22"/>
              </w:rPr>
              <w:t>$21,576,044.85</w:t>
            </w:r>
          </w:p>
        </w:tc>
      </w:tr>
      <w:tr w:rsidR="00723D57" w:rsidRPr="00723D57" w14:paraId="3A381F2B"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4BCB5B" w14:textId="77777777" w:rsidR="00723D57" w:rsidRPr="00723D57" w:rsidRDefault="00723D57" w:rsidP="00723D57">
            <w:pPr>
              <w:jc w:val="center"/>
              <w:rPr>
                <w:color w:val="000000"/>
                <w:sz w:val="22"/>
                <w:szCs w:val="22"/>
              </w:rPr>
            </w:pPr>
            <w:r w:rsidRPr="00723D57">
              <w:rPr>
                <w:color w:val="000000"/>
                <w:sz w:val="22"/>
                <w:szCs w:val="22"/>
              </w:rPr>
              <w:t>2034</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C5330F" w14:textId="77777777" w:rsidR="00723D57" w:rsidRPr="00723D57" w:rsidRDefault="00723D57" w:rsidP="00723D57">
            <w:pPr>
              <w:jc w:val="center"/>
              <w:rPr>
                <w:color w:val="000000"/>
                <w:sz w:val="22"/>
                <w:szCs w:val="22"/>
              </w:rPr>
            </w:pPr>
            <w:r w:rsidRPr="00723D57">
              <w:rPr>
                <w:color w:val="000000"/>
                <w:sz w:val="22"/>
                <w:szCs w:val="22"/>
              </w:rPr>
              <w:t>$6,667,470.33</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44877D" w14:textId="77777777" w:rsidR="00723D57" w:rsidRPr="00723D57" w:rsidRDefault="00723D57" w:rsidP="00723D57">
            <w:pPr>
              <w:jc w:val="center"/>
              <w:rPr>
                <w:color w:val="000000"/>
                <w:sz w:val="22"/>
                <w:szCs w:val="22"/>
              </w:rPr>
            </w:pPr>
            <w:r w:rsidRPr="00723D57">
              <w:rPr>
                <w:color w:val="000000"/>
                <w:sz w:val="22"/>
                <w:szCs w:val="22"/>
              </w:rPr>
              <w:t>$14,287,436.42</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0E935D" w14:textId="77777777" w:rsidR="00723D57" w:rsidRPr="00723D57" w:rsidRDefault="00723D57" w:rsidP="00723D57">
            <w:pPr>
              <w:jc w:val="center"/>
              <w:rPr>
                <w:color w:val="000000"/>
                <w:sz w:val="22"/>
                <w:szCs w:val="22"/>
              </w:rPr>
            </w:pPr>
            <w:r w:rsidRPr="00723D57">
              <w:rPr>
                <w:color w:val="000000"/>
                <w:sz w:val="22"/>
                <w:szCs w:val="22"/>
              </w:rPr>
              <w:t>$21,748,653.21</w:t>
            </w:r>
          </w:p>
        </w:tc>
      </w:tr>
      <w:tr w:rsidR="00723D57" w:rsidRPr="00723D57" w14:paraId="4EC39414"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79EF" w14:textId="77777777" w:rsidR="00723D57" w:rsidRPr="00723D57" w:rsidRDefault="00723D57" w:rsidP="00723D57">
            <w:pPr>
              <w:jc w:val="center"/>
              <w:rPr>
                <w:color w:val="000000"/>
                <w:sz w:val="22"/>
                <w:szCs w:val="22"/>
              </w:rPr>
            </w:pPr>
            <w:r w:rsidRPr="00723D57">
              <w:rPr>
                <w:color w:val="000000"/>
                <w:sz w:val="22"/>
                <w:szCs w:val="22"/>
              </w:rPr>
              <w:t>2035</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79FA" w14:textId="77777777" w:rsidR="00723D57" w:rsidRPr="00723D57" w:rsidRDefault="00723D57" w:rsidP="00723D57">
            <w:pPr>
              <w:jc w:val="center"/>
              <w:rPr>
                <w:color w:val="000000"/>
                <w:sz w:val="22"/>
                <w:szCs w:val="22"/>
              </w:rPr>
            </w:pPr>
            <w:r w:rsidRPr="00723D57">
              <w:rPr>
                <w:color w:val="000000"/>
                <w:sz w:val="22"/>
                <w:szCs w:val="22"/>
              </w:rPr>
              <w:t>$6,720,810.09</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E2F7A" w14:textId="77777777" w:rsidR="00723D57" w:rsidRPr="00723D57" w:rsidRDefault="00723D57" w:rsidP="00723D57">
            <w:pPr>
              <w:jc w:val="center"/>
              <w:rPr>
                <w:color w:val="000000"/>
                <w:sz w:val="22"/>
                <w:szCs w:val="22"/>
              </w:rPr>
            </w:pPr>
            <w:r w:rsidRPr="00723D57">
              <w:rPr>
                <w:color w:val="000000"/>
                <w:sz w:val="22"/>
                <w:szCs w:val="22"/>
              </w:rPr>
              <w:t>$14,401,735.91</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5C59" w14:textId="77777777" w:rsidR="00723D57" w:rsidRPr="00723D57" w:rsidRDefault="00723D57" w:rsidP="00723D57">
            <w:pPr>
              <w:jc w:val="center"/>
              <w:rPr>
                <w:color w:val="000000"/>
                <w:sz w:val="22"/>
                <w:szCs w:val="22"/>
              </w:rPr>
            </w:pPr>
            <w:r w:rsidRPr="00723D57">
              <w:rPr>
                <w:color w:val="000000"/>
                <w:sz w:val="22"/>
                <w:szCs w:val="22"/>
              </w:rPr>
              <w:t>$21,922,642.44</w:t>
            </w:r>
          </w:p>
        </w:tc>
      </w:tr>
      <w:tr w:rsidR="00723D57" w:rsidRPr="00723D57" w14:paraId="35E79FD8"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14A3A0" w14:textId="77777777" w:rsidR="00723D57" w:rsidRPr="00723D57" w:rsidRDefault="00723D57" w:rsidP="00723D57">
            <w:pPr>
              <w:jc w:val="center"/>
              <w:rPr>
                <w:color w:val="000000"/>
                <w:sz w:val="22"/>
                <w:szCs w:val="22"/>
              </w:rPr>
            </w:pPr>
            <w:r w:rsidRPr="00723D57">
              <w:rPr>
                <w:color w:val="000000"/>
                <w:sz w:val="22"/>
                <w:szCs w:val="22"/>
              </w:rPr>
              <w:t>2036</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D5FB3A" w14:textId="77777777" w:rsidR="00723D57" w:rsidRPr="00723D57" w:rsidRDefault="00723D57" w:rsidP="00723D57">
            <w:pPr>
              <w:jc w:val="center"/>
              <w:rPr>
                <w:color w:val="000000"/>
                <w:sz w:val="22"/>
                <w:szCs w:val="22"/>
              </w:rPr>
            </w:pPr>
            <w:r w:rsidRPr="00723D57">
              <w:rPr>
                <w:color w:val="000000"/>
                <w:sz w:val="22"/>
                <w:szCs w:val="22"/>
              </w:rPr>
              <w:t>$6,774,576.57</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13D290" w14:textId="77777777" w:rsidR="00723D57" w:rsidRPr="00723D57" w:rsidRDefault="00723D57" w:rsidP="00723D57">
            <w:pPr>
              <w:jc w:val="center"/>
              <w:rPr>
                <w:color w:val="000000"/>
                <w:sz w:val="22"/>
                <w:szCs w:val="22"/>
              </w:rPr>
            </w:pPr>
            <w:r w:rsidRPr="00723D57">
              <w:rPr>
                <w:color w:val="000000"/>
                <w:sz w:val="22"/>
                <w:szCs w:val="22"/>
              </w:rPr>
              <w:t>$14,516,949.80</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81A6C5" w14:textId="77777777" w:rsidR="00723D57" w:rsidRPr="00723D57" w:rsidRDefault="00723D57" w:rsidP="00723D57">
            <w:pPr>
              <w:jc w:val="center"/>
              <w:rPr>
                <w:color w:val="000000"/>
                <w:sz w:val="22"/>
                <w:szCs w:val="22"/>
              </w:rPr>
            </w:pPr>
            <w:r w:rsidRPr="00723D57">
              <w:rPr>
                <w:color w:val="000000"/>
                <w:sz w:val="22"/>
                <w:szCs w:val="22"/>
              </w:rPr>
              <w:t>$22,098,023.58</w:t>
            </w:r>
          </w:p>
        </w:tc>
      </w:tr>
      <w:tr w:rsidR="00723D57" w:rsidRPr="00723D57" w14:paraId="7C929037"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BF7DD" w14:textId="77777777" w:rsidR="00723D57" w:rsidRPr="00723D57" w:rsidRDefault="00723D57" w:rsidP="00723D57">
            <w:pPr>
              <w:jc w:val="center"/>
              <w:rPr>
                <w:color w:val="000000"/>
                <w:sz w:val="22"/>
                <w:szCs w:val="22"/>
              </w:rPr>
            </w:pPr>
            <w:r w:rsidRPr="00723D57">
              <w:rPr>
                <w:color w:val="000000"/>
                <w:sz w:val="22"/>
                <w:szCs w:val="22"/>
              </w:rPr>
              <w:t>2037</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9D52" w14:textId="77777777" w:rsidR="00723D57" w:rsidRPr="00723D57" w:rsidRDefault="00723D57" w:rsidP="00723D57">
            <w:pPr>
              <w:jc w:val="center"/>
              <w:rPr>
                <w:color w:val="000000"/>
                <w:sz w:val="22"/>
                <w:szCs w:val="22"/>
              </w:rPr>
            </w:pPr>
            <w:r w:rsidRPr="00723D57">
              <w:rPr>
                <w:color w:val="000000"/>
                <w:sz w:val="22"/>
                <w:szCs w:val="22"/>
              </w:rPr>
              <w:t>$6,828,773.18</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029EE" w14:textId="77777777" w:rsidR="00723D57" w:rsidRPr="00723D57" w:rsidRDefault="00723D57" w:rsidP="00723D57">
            <w:pPr>
              <w:jc w:val="center"/>
              <w:rPr>
                <w:color w:val="000000"/>
                <w:sz w:val="22"/>
                <w:szCs w:val="22"/>
              </w:rPr>
            </w:pPr>
            <w:r w:rsidRPr="00723D57">
              <w:rPr>
                <w:color w:val="000000"/>
                <w:sz w:val="22"/>
                <w:szCs w:val="22"/>
              </w:rPr>
              <w:t>$14,633,085.39</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572D1" w14:textId="77777777" w:rsidR="00723D57" w:rsidRPr="00723D57" w:rsidRDefault="00723D57" w:rsidP="00723D57">
            <w:pPr>
              <w:jc w:val="center"/>
              <w:rPr>
                <w:color w:val="000000"/>
                <w:sz w:val="22"/>
                <w:szCs w:val="22"/>
              </w:rPr>
            </w:pPr>
            <w:r w:rsidRPr="00723D57">
              <w:rPr>
                <w:color w:val="000000"/>
                <w:sz w:val="22"/>
                <w:szCs w:val="22"/>
              </w:rPr>
              <w:t>$22,274,807.77</w:t>
            </w:r>
          </w:p>
        </w:tc>
      </w:tr>
      <w:tr w:rsidR="00723D57" w:rsidRPr="00723D57" w14:paraId="78B53474"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DB39B73" w14:textId="77777777" w:rsidR="00723D57" w:rsidRPr="00723D57" w:rsidRDefault="00723D57" w:rsidP="00723D57">
            <w:pPr>
              <w:jc w:val="center"/>
              <w:rPr>
                <w:color w:val="000000"/>
                <w:sz w:val="22"/>
                <w:szCs w:val="22"/>
              </w:rPr>
            </w:pPr>
            <w:r w:rsidRPr="00723D57">
              <w:rPr>
                <w:color w:val="000000"/>
                <w:sz w:val="22"/>
                <w:szCs w:val="22"/>
              </w:rPr>
              <w:t>2038</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5F3BDC" w14:textId="77777777" w:rsidR="00723D57" w:rsidRPr="00723D57" w:rsidRDefault="00723D57" w:rsidP="00723D57">
            <w:pPr>
              <w:jc w:val="center"/>
              <w:rPr>
                <w:color w:val="000000"/>
                <w:sz w:val="22"/>
                <w:szCs w:val="22"/>
              </w:rPr>
            </w:pPr>
            <w:r w:rsidRPr="00723D57">
              <w:rPr>
                <w:color w:val="000000"/>
                <w:sz w:val="22"/>
                <w:szCs w:val="22"/>
              </w:rPr>
              <w:t>$6,883,403.37</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88196C" w14:textId="77777777" w:rsidR="00723D57" w:rsidRPr="00723D57" w:rsidRDefault="00723D57" w:rsidP="00723D57">
            <w:pPr>
              <w:jc w:val="center"/>
              <w:rPr>
                <w:color w:val="000000"/>
                <w:sz w:val="22"/>
                <w:szCs w:val="22"/>
              </w:rPr>
            </w:pPr>
            <w:r w:rsidRPr="00723D57">
              <w:rPr>
                <w:color w:val="000000"/>
                <w:sz w:val="22"/>
                <w:szCs w:val="22"/>
              </w:rPr>
              <w:t>$14,750,150.08</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442E68" w14:textId="77777777" w:rsidR="00723D57" w:rsidRPr="00723D57" w:rsidRDefault="00723D57" w:rsidP="00723D57">
            <w:pPr>
              <w:jc w:val="center"/>
              <w:rPr>
                <w:color w:val="000000"/>
                <w:sz w:val="22"/>
                <w:szCs w:val="22"/>
              </w:rPr>
            </w:pPr>
            <w:r w:rsidRPr="00723D57">
              <w:rPr>
                <w:color w:val="000000"/>
                <w:sz w:val="22"/>
                <w:szCs w:val="22"/>
              </w:rPr>
              <w:t>$22,453,006.23</w:t>
            </w:r>
          </w:p>
        </w:tc>
      </w:tr>
      <w:tr w:rsidR="00723D57" w:rsidRPr="00723D57" w14:paraId="14DA4CAF"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A3CD3" w14:textId="77777777" w:rsidR="00723D57" w:rsidRPr="00723D57" w:rsidRDefault="00723D57" w:rsidP="00723D57">
            <w:pPr>
              <w:jc w:val="center"/>
              <w:rPr>
                <w:color w:val="000000"/>
                <w:sz w:val="22"/>
                <w:szCs w:val="22"/>
              </w:rPr>
            </w:pPr>
            <w:r w:rsidRPr="00723D57">
              <w:rPr>
                <w:color w:val="000000"/>
                <w:sz w:val="22"/>
                <w:szCs w:val="22"/>
              </w:rPr>
              <w:t>2039</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C6010" w14:textId="77777777" w:rsidR="00723D57" w:rsidRPr="00723D57" w:rsidRDefault="00723D57" w:rsidP="00723D57">
            <w:pPr>
              <w:jc w:val="center"/>
              <w:rPr>
                <w:color w:val="000000"/>
                <w:sz w:val="22"/>
                <w:szCs w:val="22"/>
              </w:rPr>
            </w:pPr>
            <w:r w:rsidRPr="00723D57">
              <w:rPr>
                <w:color w:val="000000"/>
                <w:sz w:val="22"/>
                <w:szCs w:val="22"/>
              </w:rPr>
              <w:t>$6,938,470.60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37DB" w14:textId="77777777" w:rsidR="00723D57" w:rsidRPr="00723D57" w:rsidRDefault="00723D57" w:rsidP="00723D57">
            <w:pPr>
              <w:jc w:val="center"/>
              <w:rPr>
                <w:color w:val="000000"/>
                <w:sz w:val="22"/>
                <w:szCs w:val="22"/>
              </w:rPr>
            </w:pPr>
            <w:r w:rsidRPr="00723D57">
              <w:rPr>
                <w:color w:val="000000"/>
                <w:sz w:val="22"/>
                <w:szCs w:val="22"/>
              </w:rPr>
              <w:t>$14,868,151.28</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9192" w14:textId="77777777" w:rsidR="00723D57" w:rsidRPr="00723D57" w:rsidRDefault="00723D57" w:rsidP="00723D57">
            <w:pPr>
              <w:jc w:val="center"/>
              <w:rPr>
                <w:color w:val="000000"/>
                <w:sz w:val="22"/>
                <w:szCs w:val="22"/>
              </w:rPr>
            </w:pPr>
            <w:r w:rsidRPr="00723D57">
              <w:rPr>
                <w:color w:val="000000"/>
                <w:sz w:val="22"/>
                <w:szCs w:val="22"/>
              </w:rPr>
              <w:t>$22,632,630.28</w:t>
            </w:r>
          </w:p>
        </w:tc>
      </w:tr>
      <w:tr w:rsidR="00723D57" w:rsidRPr="00723D57" w14:paraId="22C75D24"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BC835C" w14:textId="77777777" w:rsidR="00723D57" w:rsidRPr="00723D57" w:rsidRDefault="00723D57" w:rsidP="00723D57">
            <w:pPr>
              <w:jc w:val="center"/>
              <w:rPr>
                <w:color w:val="000000"/>
                <w:sz w:val="22"/>
                <w:szCs w:val="22"/>
              </w:rPr>
            </w:pPr>
            <w:r w:rsidRPr="00723D57">
              <w:rPr>
                <w:color w:val="000000"/>
                <w:sz w:val="22"/>
                <w:szCs w:val="22"/>
              </w:rPr>
              <w:t>2040</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081338" w14:textId="77777777" w:rsidR="00723D57" w:rsidRPr="00723D57" w:rsidRDefault="00723D57" w:rsidP="00723D57">
            <w:pPr>
              <w:jc w:val="center"/>
              <w:rPr>
                <w:color w:val="000000"/>
                <w:sz w:val="22"/>
                <w:szCs w:val="22"/>
              </w:rPr>
            </w:pPr>
            <w:r w:rsidRPr="00723D57">
              <w:rPr>
                <w:color w:val="000000"/>
                <w:sz w:val="22"/>
                <w:szCs w:val="22"/>
              </w:rPr>
              <w:t>$6,993,978.36</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D65164" w14:textId="77777777" w:rsidR="00723D57" w:rsidRPr="00723D57" w:rsidRDefault="00723D57" w:rsidP="00723D57">
            <w:pPr>
              <w:jc w:val="center"/>
              <w:rPr>
                <w:color w:val="000000"/>
                <w:sz w:val="22"/>
                <w:szCs w:val="22"/>
              </w:rPr>
            </w:pPr>
            <w:r w:rsidRPr="00723D57">
              <w:rPr>
                <w:color w:val="000000"/>
                <w:sz w:val="22"/>
                <w:szCs w:val="22"/>
              </w:rPr>
              <w:t>$14,987,096.49</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FD4185" w14:textId="77777777" w:rsidR="00723D57" w:rsidRPr="00723D57" w:rsidRDefault="00723D57" w:rsidP="00723D57">
            <w:pPr>
              <w:jc w:val="center"/>
              <w:rPr>
                <w:color w:val="000000"/>
                <w:sz w:val="22"/>
                <w:szCs w:val="22"/>
              </w:rPr>
            </w:pPr>
            <w:r w:rsidRPr="00723D57">
              <w:rPr>
                <w:color w:val="000000"/>
                <w:sz w:val="22"/>
                <w:szCs w:val="22"/>
              </w:rPr>
              <w:t>$22,813,691.32</w:t>
            </w:r>
          </w:p>
        </w:tc>
      </w:tr>
      <w:tr w:rsidR="00723D57" w:rsidRPr="00723D57" w14:paraId="24B0040C"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EF0A" w14:textId="77777777" w:rsidR="00723D57" w:rsidRPr="00723D57" w:rsidRDefault="00723D57" w:rsidP="00723D57">
            <w:pPr>
              <w:jc w:val="center"/>
              <w:rPr>
                <w:color w:val="000000"/>
                <w:sz w:val="22"/>
                <w:szCs w:val="22"/>
              </w:rPr>
            </w:pPr>
            <w:r w:rsidRPr="00723D57">
              <w:rPr>
                <w:color w:val="000000"/>
                <w:sz w:val="22"/>
                <w:szCs w:val="22"/>
              </w:rPr>
              <w:t>2041</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3EFC" w14:textId="77777777" w:rsidR="00723D57" w:rsidRPr="00723D57" w:rsidRDefault="00723D57" w:rsidP="00723D57">
            <w:pPr>
              <w:jc w:val="center"/>
              <w:rPr>
                <w:color w:val="000000"/>
                <w:sz w:val="22"/>
                <w:szCs w:val="22"/>
              </w:rPr>
            </w:pPr>
            <w:r w:rsidRPr="00723D57">
              <w:rPr>
                <w:color w:val="000000"/>
                <w:sz w:val="22"/>
                <w:szCs w:val="22"/>
              </w:rPr>
              <w:t>$7,049,930.19</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BEFB0" w14:textId="77777777" w:rsidR="00723D57" w:rsidRPr="00723D57" w:rsidRDefault="00723D57" w:rsidP="00723D57">
            <w:pPr>
              <w:jc w:val="center"/>
              <w:rPr>
                <w:color w:val="000000"/>
                <w:sz w:val="22"/>
                <w:szCs w:val="22"/>
              </w:rPr>
            </w:pPr>
            <w:r w:rsidRPr="00723D57">
              <w:rPr>
                <w:color w:val="000000"/>
                <w:sz w:val="22"/>
                <w:szCs w:val="22"/>
              </w:rPr>
              <w:t>$15,106,993.26</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6F7DE" w14:textId="77777777" w:rsidR="00723D57" w:rsidRPr="00723D57" w:rsidRDefault="00723D57" w:rsidP="00723D57">
            <w:pPr>
              <w:jc w:val="center"/>
              <w:rPr>
                <w:color w:val="000000"/>
                <w:sz w:val="22"/>
                <w:szCs w:val="22"/>
              </w:rPr>
            </w:pPr>
            <w:r w:rsidRPr="00723D57">
              <w:rPr>
                <w:color w:val="000000"/>
                <w:sz w:val="22"/>
                <w:szCs w:val="22"/>
              </w:rPr>
              <w:t>$22,996,200.85</w:t>
            </w:r>
          </w:p>
        </w:tc>
      </w:tr>
      <w:tr w:rsidR="00723D57" w:rsidRPr="00723D57" w14:paraId="315B63F5"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9818B4" w14:textId="77777777" w:rsidR="00723D57" w:rsidRPr="00723D57" w:rsidRDefault="00723D57" w:rsidP="00723D57">
            <w:pPr>
              <w:jc w:val="center"/>
              <w:rPr>
                <w:color w:val="000000"/>
                <w:sz w:val="22"/>
                <w:szCs w:val="22"/>
              </w:rPr>
            </w:pPr>
            <w:r w:rsidRPr="00723D57">
              <w:rPr>
                <w:color w:val="000000"/>
                <w:sz w:val="22"/>
                <w:szCs w:val="22"/>
              </w:rPr>
              <w:t>2042</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F86AC9" w14:textId="77777777" w:rsidR="00723D57" w:rsidRPr="00723D57" w:rsidRDefault="00723D57" w:rsidP="00723D57">
            <w:pPr>
              <w:jc w:val="center"/>
              <w:rPr>
                <w:color w:val="000000"/>
                <w:sz w:val="22"/>
                <w:szCs w:val="22"/>
              </w:rPr>
            </w:pPr>
            <w:r w:rsidRPr="00723D57">
              <w:rPr>
                <w:color w:val="000000"/>
                <w:sz w:val="22"/>
                <w:szCs w:val="22"/>
              </w:rPr>
              <w:t>$7,106,329.63</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25801A" w14:textId="77777777" w:rsidR="00723D57" w:rsidRPr="00723D57" w:rsidRDefault="00723D57" w:rsidP="00723D57">
            <w:pPr>
              <w:jc w:val="center"/>
              <w:rPr>
                <w:color w:val="000000"/>
                <w:sz w:val="22"/>
                <w:szCs w:val="22"/>
              </w:rPr>
            </w:pPr>
            <w:r w:rsidRPr="00723D57">
              <w:rPr>
                <w:color w:val="000000"/>
                <w:sz w:val="22"/>
                <w:szCs w:val="22"/>
              </w:rPr>
              <w:t>$15,227,849.21</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B0528B" w14:textId="77777777" w:rsidR="00723D57" w:rsidRPr="00723D57" w:rsidRDefault="00723D57" w:rsidP="00723D57">
            <w:pPr>
              <w:jc w:val="center"/>
              <w:rPr>
                <w:color w:val="000000"/>
                <w:sz w:val="22"/>
                <w:szCs w:val="22"/>
              </w:rPr>
            </w:pPr>
            <w:r w:rsidRPr="00723D57">
              <w:rPr>
                <w:color w:val="000000"/>
                <w:sz w:val="22"/>
                <w:szCs w:val="22"/>
              </w:rPr>
              <w:t>$23,180,170.46</w:t>
            </w:r>
          </w:p>
        </w:tc>
      </w:tr>
      <w:tr w:rsidR="00723D57" w:rsidRPr="00723D57" w14:paraId="6F366E24"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7018" w14:textId="77777777" w:rsidR="00723D57" w:rsidRPr="00723D57" w:rsidRDefault="00723D57" w:rsidP="00723D57">
            <w:pPr>
              <w:jc w:val="center"/>
              <w:rPr>
                <w:color w:val="000000"/>
                <w:sz w:val="22"/>
                <w:szCs w:val="22"/>
              </w:rPr>
            </w:pPr>
            <w:r w:rsidRPr="00723D57">
              <w:rPr>
                <w:color w:val="000000"/>
                <w:sz w:val="22"/>
                <w:szCs w:val="22"/>
              </w:rPr>
              <w:t>2043</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0422" w14:textId="77777777" w:rsidR="00723D57" w:rsidRPr="00723D57" w:rsidRDefault="00723D57" w:rsidP="00723D57">
            <w:pPr>
              <w:jc w:val="center"/>
              <w:rPr>
                <w:color w:val="000000"/>
                <w:sz w:val="22"/>
                <w:szCs w:val="22"/>
              </w:rPr>
            </w:pPr>
            <w:r w:rsidRPr="00723D57">
              <w:rPr>
                <w:color w:val="000000"/>
                <w:sz w:val="22"/>
                <w:szCs w:val="22"/>
              </w:rPr>
              <w:t>$7,163,180.27</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8E20" w14:textId="77777777" w:rsidR="00723D57" w:rsidRPr="00723D57" w:rsidRDefault="00723D57" w:rsidP="00723D57">
            <w:pPr>
              <w:jc w:val="center"/>
              <w:rPr>
                <w:color w:val="000000"/>
                <w:sz w:val="22"/>
                <w:szCs w:val="22"/>
              </w:rPr>
            </w:pPr>
            <w:r w:rsidRPr="00723D57">
              <w:rPr>
                <w:color w:val="000000"/>
                <w:sz w:val="22"/>
                <w:szCs w:val="22"/>
              </w:rPr>
              <w:t>$15,349,672.00</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7528A" w14:textId="77777777" w:rsidR="00723D57" w:rsidRPr="00723D57" w:rsidRDefault="00723D57" w:rsidP="00723D57">
            <w:pPr>
              <w:jc w:val="center"/>
              <w:rPr>
                <w:color w:val="000000"/>
                <w:sz w:val="22"/>
                <w:szCs w:val="22"/>
              </w:rPr>
            </w:pPr>
            <w:r w:rsidRPr="00723D57">
              <w:rPr>
                <w:color w:val="000000"/>
                <w:sz w:val="22"/>
                <w:szCs w:val="22"/>
              </w:rPr>
              <w:t>$23,365,611.82</w:t>
            </w:r>
          </w:p>
        </w:tc>
      </w:tr>
      <w:tr w:rsidR="00723D57" w:rsidRPr="00723D57" w14:paraId="073620FF"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2C5E95" w14:textId="77777777" w:rsidR="00723D57" w:rsidRPr="00723D57" w:rsidRDefault="00723D57" w:rsidP="00723D57">
            <w:pPr>
              <w:jc w:val="center"/>
              <w:rPr>
                <w:color w:val="000000"/>
                <w:sz w:val="22"/>
                <w:szCs w:val="22"/>
              </w:rPr>
            </w:pPr>
            <w:r w:rsidRPr="00723D57">
              <w:rPr>
                <w:color w:val="000000"/>
                <w:sz w:val="22"/>
                <w:szCs w:val="22"/>
              </w:rPr>
              <w:t>2044</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352537" w14:textId="77777777" w:rsidR="00723D57" w:rsidRPr="00723D57" w:rsidRDefault="00723D57" w:rsidP="00723D57">
            <w:pPr>
              <w:jc w:val="center"/>
              <w:rPr>
                <w:color w:val="000000"/>
                <w:sz w:val="22"/>
                <w:szCs w:val="22"/>
              </w:rPr>
            </w:pPr>
            <w:r w:rsidRPr="00723D57">
              <w:rPr>
                <w:color w:val="000000"/>
                <w:sz w:val="22"/>
                <w:szCs w:val="22"/>
              </w:rPr>
              <w:t>$7,220,485.71</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E17376" w14:textId="77777777" w:rsidR="00723D57" w:rsidRPr="00723D57" w:rsidRDefault="00723D57" w:rsidP="00723D57">
            <w:pPr>
              <w:jc w:val="center"/>
              <w:rPr>
                <w:color w:val="000000"/>
                <w:sz w:val="22"/>
                <w:szCs w:val="22"/>
              </w:rPr>
            </w:pPr>
            <w:r w:rsidRPr="00723D57">
              <w:rPr>
                <w:color w:val="000000"/>
                <w:sz w:val="22"/>
                <w:szCs w:val="22"/>
              </w:rPr>
              <w:t>$15,472,469.38</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1776D3" w14:textId="77777777" w:rsidR="00723D57" w:rsidRPr="00723D57" w:rsidRDefault="00723D57" w:rsidP="00723D57">
            <w:pPr>
              <w:jc w:val="center"/>
              <w:rPr>
                <w:color w:val="000000"/>
                <w:sz w:val="22"/>
                <w:szCs w:val="22"/>
              </w:rPr>
            </w:pPr>
            <w:r w:rsidRPr="00723D57">
              <w:rPr>
                <w:color w:val="000000"/>
                <w:sz w:val="22"/>
                <w:szCs w:val="22"/>
              </w:rPr>
              <w:t>$23,552,536.72</w:t>
            </w:r>
          </w:p>
        </w:tc>
      </w:tr>
      <w:tr w:rsidR="00723D57" w:rsidRPr="00723D57" w14:paraId="4C9BF487"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C8DC9" w14:textId="77777777" w:rsidR="00723D57" w:rsidRPr="00723D57" w:rsidRDefault="00723D57" w:rsidP="00723D57">
            <w:pPr>
              <w:jc w:val="center"/>
              <w:rPr>
                <w:color w:val="000000"/>
                <w:sz w:val="22"/>
                <w:szCs w:val="22"/>
              </w:rPr>
            </w:pPr>
            <w:r w:rsidRPr="00723D57">
              <w:rPr>
                <w:color w:val="000000"/>
                <w:sz w:val="22"/>
                <w:szCs w:val="22"/>
              </w:rPr>
              <w:t>2045</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825E0" w14:textId="77777777" w:rsidR="00723D57" w:rsidRPr="00723D57" w:rsidRDefault="00723D57" w:rsidP="00723D57">
            <w:pPr>
              <w:jc w:val="center"/>
              <w:rPr>
                <w:color w:val="000000"/>
                <w:sz w:val="22"/>
                <w:szCs w:val="22"/>
              </w:rPr>
            </w:pPr>
            <w:r w:rsidRPr="00723D57">
              <w:rPr>
                <w:color w:val="000000"/>
                <w:sz w:val="22"/>
                <w:szCs w:val="22"/>
              </w:rPr>
              <w:t>$7,278,249.59</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AB49" w14:textId="77777777" w:rsidR="00723D57" w:rsidRPr="00723D57" w:rsidRDefault="00723D57" w:rsidP="00723D57">
            <w:pPr>
              <w:jc w:val="center"/>
              <w:rPr>
                <w:color w:val="000000"/>
                <w:sz w:val="22"/>
                <w:szCs w:val="22"/>
              </w:rPr>
            </w:pPr>
            <w:r w:rsidRPr="00723D57">
              <w:rPr>
                <w:color w:val="000000"/>
                <w:sz w:val="22"/>
                <w:szCs w:val="22"/>
              </w:rPr>
              <w:t>$15,596,249.13</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F01A" w14:textId="77777777" w:rsidR="00723D57" w:rsidRPr="00723D57" w:rsidRDefault="00723D57" w:rsidP="00723D57">
            <w:pPr>
              <w:jc w:val="center"/>
              <w:rPr>
                <w:color w:val="000000"/>
                <w:sz w:val="22"/>
                <w:szCs w:val="22"/>
              </w:rPr>
            </w:pPr>
            <w:r w:rsidRPr="00723D57">
              <w:rPr>
                <w:color w:val="000000"/>
                <w:sz w:val="22"/>
                <w:szCs w:val="22"/>
              </w:rPr>
              <w:t>$23,740,957.01</w:t>
            </w:r>
          </w:p>
        </w:tc>
      </w:tr>
      <w:tr w:rsidR="00723D57" w:rsidRPr="00723D57" w14:paraId="4606630A"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00CC24" w14:textId="77777777" w:rsidR="00723D57" w:rsidRPr="00723D57" w:rsidRDefault="00723D57" w:rsidP="00723D57">
            <w:pPr>
              <w:jc w:val="center"/>
              <w:rPr>
                <w:color w:val="000000"/>
                <w:sz w:val="22"/>
                <w:szCs w:val="22"/>
              </w:rPr>
            </w:pPr>
            <w:r w:rsidRPr="00723D57">
              <w:rPr>
                <w:color w:val="000000"/>
                <w:sz w:val="22"/>
                <w:szCs w:val="22"/>
              </w:rPr>
              <w:t>2046</w:t>
            </w:r>
          </w:p>
        </w:tc>
        <w:tc>
          <w:tcPr>
            <w:tcW w:w="248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A4468A" w14:textId="77777777" w:rsidR="00723D57" w:rsidRPr="00723D57" w:rsidRDefault="00723D57" w:rsidP="00723D57">
            <w:pPr>
              <w:jc w:val="center"/>
              <w:rPr>
                <w:color w:val="000000"/>
                <w:sz w:val="22"/>
                <w:szCs w:val="22"/>
              </w:rPr>
            </w:pPr>
            <w:r w:rsidRPr="00723D57">
              <w:rPr>
                <w:color w:val="000000"/>
                <w:sz w:val="22"/>
                <w:szCs w:val="22"/>
              </w:rPr>
              <w:t>$7,336,475.59</w:t>
            </w:r>
          </w:p>
        </w:tc>
        <w:tc>
          <w:tcPr>
            <w:tcW w:w="24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432DE38" w14:textId="77777777" w:rsidR="00723D57" w:rsidRPr="00723D57" w:rsidRDefault="00723D57" w:rsidP="00723D57">
            <w:pPr>
              <w:jc w:val="center"/>
              <w:rPr>
                <w:color w:val="000000"/>
                <w:sz w:val="22"/>
                <w:szCs w:val="22"/>
              </w:rPr>
            </w:pPr>
            <w:r w:rsidRPr="00723D57">
              <w:rPr>
                <w:color w:val="000000"/>
                <w:sz w:val="22"/>
                <w:szCs w:val="22"/>
              </w:rPr>
              <w:t>$15,721,019.12</w:t>
            </w:r>
          </w:p>
        </w:tc>
        <w:tc>
          <w:tcPr>
            <w:tcW w:w="264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83EC21" w14:textId="77777777" w:rsidR="00723D57" w:rsidRPr="00723D57" w:rsidRDefault="00723D57" w:rsidP="00723D57">
            <w:pPr>
              <w:jc w:val="center"/>
              <w:rPr>
                <w:color w:val="000000"/>
                <w:sz w:val="22"/>
                <w:szCs w:val="22"/>
              </w:rPr>
            </w:pPr>
            <w:r w:rsidRPr="00723D57">
              <w:rPr>
                <w:color w:val="000000"/>
                <w:sz w:val="22"/>
                <w:szCs w:val="22"/>
              </w:rPr>
              <w:t>$23,930,884.67</w:t>
            </w:r>
          </w:p>
        </w:tc>
      </w:tr>
      <w:tr w:rsidR="00723D57" w:rsidRPr="00723D57" w14:paraId="23A9E4FE"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2412F" w14:textId="77777777" w:rsidR="00723D57" w:rsidRPr="00723D57" w:rsidRDefault="00723D57" w:rsidP="00723D57">
            <w:pPr>
              <w:jc w:val="center"/>
              <w:rPr>
                <w:color w:val="000000"/>
                <w:sz w:val="22"/>
                <w:szCs w:val="22"/>
              </w:rPr>
            </w:pPr>
            <w:r w:rsidRPr="00723D57">
              <w:rPr>
                <w:color w:val="000000"/>
                <w:sz w:val="22"/>
                <w:szCs w:val="22"/>
              </w:rPr>
              <w:t>2047</w:t>
            </w:r>
          </w:p>
        </w:tc>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B9E04" w14:textId="77777777" w:rsidR="00723D57" w:rsidRPr="00723D57" w:rsidRDefault="00723D57" w:rsidP="00723D57">
            <w:pPr>
              <w:jc w:val="center"/>
              <w:rPr>
                <w:color w:val="000000"/>
                <w:sz w:val="22"/>
                <w:szCs w:val="22"/>
              </w:rPr>
            </w:pPr>
            <w:r w:rsidRPr="00723D57">
              <w:rPr>
                <w:color w:val="000000"/>
                <w:sz w:val="22"/>
                <w:szCs w:val="22"/>
              </w:rPr>
              <w:t>$7,395,167.40</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9AF55" w14:textId="77777777" w:rsidR="00723D57" w:rsidRPr="00723D57" w:rsidRDefault="00723D57" w:rsidP="00723D57">
            <w:pPr>
              <w:jc w:val="center"/>
              <w:rPr>
                <w:color w:val="000000"/>
                <w:sz w:val="22"/>
                <w:szCs w:val="22"/>
              </w:rPr>
            </w:pPr>
            <w:r w:rsidRPr="00723D57">
              <w:rPr>
                <w:color w:val="000000"/>
                <w:sz w:val="22"/>
                <w:szCs w:val="22"/>
              </w:rPr>
              <w:t>$15,846,787.28</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2C56" w14:textId="77777777" w:rsidR="00723D57" w:rsidRPr="00723D57" w:rsidRDefault="00723D57" w:rsidP="00723D57">
            <w:pPr>
              <w:jc w:val="center"/>
              <w:rPr>
                <w:color w:val="000000"/>
                <w:sz w:val="22"/>
                <w:szCs w:val="22"/>
              </w:rPr>
            </w:pPr>
            <w:r w:rsidRPr="00723D57">
              <w:rPr>
                <w:color w:val="000000"/>
                <w:sz w:val="22"/>
                <w:szCs w:val="22"/>
              </w:rPr>
              <w:t>$24,122,331.74</w:t>
            </w:r>
          </w:p>
        </w:tc>
      </w:tr>
      <w:tr w:rsidR="00723D57" w:rsidRPr="00723D57" w14:paraId="6763B7FD"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7C2A097" w14:textId="77777777" w:rsidR="00723D57" w:rsidRPr="00723D57" w:rsidRDefault="00723D57" w:rsidP="00723D57">
            <w:pPr>
              <w:jc w:val="center"/>
              <w:rPr>
                <w:b/>
                <w:bCs/>
                <w:color w:val="000000"/>
                <w:sz w:val="22"/>
                <w:szCs w:val="22"/>
              </w:rPr>
            </w:pPr>
            <w:r w:rsidRPr="00723D57">
              <w:rPr>
                <w:b/>
                <w:bCs/>
                <w:color w:val="000000"/>
                <w:sz w:val="22"/>
                <w:szCs w:val="22"/>
              </w:rPr>
              <w:t>Total</w:t>
            </w:r>
          </w:p>
        </w:tc>
        <w:tc>
          <w:tcPr>
            <w:tcW w:w="248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097A32A" w14:textId="77777777" w:rsidR="00723D57" w:rsidRPr="00723D57" w:rsidRDefault="00723D57" w:rsidP="00723D57">
            <w:pPr>
              <w:jc w:val="center"/>
              <w:rPr>
                <w:b/>
                <w:bCs/>
                <w:color w:val="000000"/>
                <w:sz w:val="22"/>
                <w:szCs w:val="22"/>
              </w:rPr>
            </w:pPr>
            <w:r w:rsidRPr="00723D57">
              <w:rPr>
                <w:b/>
                <w:bCs/>
                <w:color w:val="000000"/>
                <w:sz w:val="22"/>
                <w:szCs w:val="22"/>
              </w:rPr>
              <w:t>$174,357,226</w:t>
            </w:r>
          </w:p>
        </w:tc>
        <w:tc>
          <w:tcPr>
            <w:tcW w:w="240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45B41B9" w14:textId="77777777" w:rsidR="00723D57" w:rsidRPr="00723D57" w:rsidRDefault="00723D57" w:rsidP="00723D57">
            <w:pPr>
              <w:jc w:val="center"/>
              <w:rPr>
                <w:b/>
                <w:bCs/>
                <w:color w:val="000000"/>
                <w:sz w:val="22"/>
                <w:szCs w:val="22"/>
              </w:rPr>
            </w:pPr>
            <w:r w:rsidRPr="00723D57">
              <w:rPr>
                <w:b/>
                <w:bCs/>
                <w:color w:val="000000"/>
                <w:sz w:val="22"/>
                <w:szCs w:val="22"/>
              </w:rPr>
              <w:t>$373,622,626</w:t>
            </w:r>
          </w:p>
        </w:tc>
        <w:tc>
          <w:tcPr>
            <w:tcW w:w="264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BF52A46" w14:textId="77777777" w:rsidR="00723D57" w:rsidRPr="00723D57" w:rsidRDefault="00723D57" w:rsidP="00723D57">
            <w:pPr>
              <w:jc w:val="center"/>
              <w:rPr>
                <w:b/>
                <w:bCs/>
                <w:color w:val="000000"/>
                <w:sz w:val="22"/>
                <w:szCs w:val="22"/>
              </w:rPr>
            </w:pPr>
            <w:r w:rsidRPr="00723D57">
              <w:rPr>
                <w:b/>
                <w:bCs/>
                <w:color w:val="000000"/>
                <w:sz w:val="22"/>
                <w:szCs w:val="22"/>
              </w:rPr>
              <w:t>$568,736,664</w:t>
            </w:r>
          </w:p>
        </w:tc>
      </w:tr>
      <w:tr w:rsidR="00723D57" w:rsidRPr="00723D57" w14:paraId="4D13176B" w14:textId="77777777" w:rsidTr="00723D57">
        <w:trPr>
          <w:trHeight w:val="320"/>
        </w:trPr>
        <w:tc>
          <w:tcPr>
            <w:tcW w:w="18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79648B6" w14:textId="77777777" w:rsidR="00723D57" w:rsidRPr="00723D57" w:rsidRDefault="00723D57" w:rsidP="00723D57">
            <w:pPr>
              <w:jc w:val="center"/>
              <w:rPr>
                <w:b/>
                <w:bCs/>
                <w:color w:val="000000"/>
                <w:sz w:val="22"/>
                <w:szCs w:val="22"/>
              </w:rPr>
            </w:pPr>
            <w:r w:rsidRPr="00723D57">
              <w:rPr>
                <w:b/>
                <w:bCs/>
                <w:color w:val="000000"/>
                <w:sz w:val="22"/>
                <w:szCs w:val="22"/>
              </w:rPr>
              <w:t>Total Benefits</w:t>
            </w:r>
          </w:p>
        </w:tc>
        <w:tc>
          <w:tcPr>
            <w:tcW w:w="248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B706C38" w14:textId="77777777" w:rsidR="00723D57" w:rsidRPr="00723D57" w:rsidRDefault="00723D57" w:rsidP="00723D57">
            <w:pPr>
              <w:jc w:val="center"/>
              <w:rPr>
                <w:b/>
                <w:bCs/>
                <w:color w:val="000000"/>
                <w:sz w:val="22"/>
                <w:szCs w:val="22"/>
              </w:rPr>
            </w:pPr>
            <w:r w:rsidRPr="00723D57">
              <w:rPr>
                <w:b/>
                <w:bCs/>
                <w:color w:val="000000"/>
                <w:sz w:val="22"/>
                <w:szCs w:val="22"/>
              </w:rPr>
              <w:t>$2,301,515,377.87</w:t>
            </w:r>
          </w:p>
        </w:tc>
        <w:tc>
          <w:tcPr>
            <w:tcW w:w="240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2F49529" w14:textId="77777777" w:rsidR="00723D57" w:rsidRPr="00723D57" w:rsidRDefault="00723D57" w:rsidP="00723D57">
            <w:pPr>
              <w:jc w:val="center"/>
              <w:rPr>
                <w:b/>
                <w:bCs/>
                <w:color w:val="000000"/>
                <w:sz w:val="22"/>
                <w:szCs w:val="22"/>
              </w:rPr>
            </w:pPr>
            <w:r w:rsidRPr="00723D57">
              <w:rPr>
                <w:b/>
                <w:bCs/>
                <w:color w:val="000000"/>
                <w:sz w:val="22"/>
                <w:szCs w:val="22"/>
              </w:rPr>
              <w:t>$4,931,818,666.86</w:t>
            </w:r>
          </w:p>
        </w:tc>
        <w:tc>
          <w:tcPr>
            <w:tcW w:w="26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C0B002F" w14:textId="77777777" w:rsidR="00723D57" w:rsidRPr="00723D57" w:rsidRDefault="00723D57" w:rsidP="00723D57">
            <w:pPr>
              <w:jc w:val="center"/>
              <w:rPr>
                <w:b/>
                <w:bCs/>
                <w:color w:val="000000"/>
                <w:sz w:val="22"/>
                <w:szCs w:val="22"/>
              </w:rPr>
            </w:pPr>
            <w:r w:rsidRPr="00723D57">
              <w:rPr>
                <w:b/>
                <w:bCs/>
                <w:color w:val="000000"/>
                <w:sz w:val="22"/>
                <w:szCs w:val="22"/>
              </w:rPr>
              <w:t>$7,507,323,970.67</w:t>
            </w:r>
          </w:p>
        </w:tc>
      </w:tr>
    </w:tbl>
    <w:p w14:paraId="7479F39F" w14:textId="77777777" w:rsidR="00723D57" w:rsidRDefault="00723D57" w:rsidP="009D1B1A">
      <w:pPr>
        <w:spacing w:line="480" w:lineRule="auto"/>
        <w:rPr>
          <w:b/>
          <w:bCs/>
          <w:color w:val="000000" w:themeColor="text1"/>
        </w:rPr>
      </w:pPr>
    </w:p>
    <w:p w14:paraId="7473464E" w14:textId="77777777" w:rsidR="00433AA4" w:rsidRDefault="00433AA4" w:rsidP="009D1B1A">
      <w:pPr>
        <w:spacing w:line="480" w:lineRule="auto"/>
        <w:rPr>
          <w:b/>
          <w:bCs/>
          <w:color w:val="000000" w:themeColor="text1"/>
        </w:rPr>
      </w:pPr>
    </w:p>
    <w:p w14:paraId="600D6A04" w14:textId="77777777" w:rsidR="00433AA4" w:rsidRDefault="00433AA4" w:rsidP="009D1B1A">
      <w:pPr>
        <w:spacing w:line="480" w:lineRule="auto"/>
        <w:rPr>
          <w:b/>
          <w:bCs/>
          <w:color w:val="000000" w:themeColor="text1"/>
        </w:rPr>
      </w:pPr>
    </w:p>
    <w:p w14:paraId="595507B2" w14:textId="77777777" w:rsidR="00433AA4" w:rsidRDefault="00433AA4" w:rsidP="009D1B1A">
      <w:pPr>
        <w:spacing w:line="480" w:lineRule="auto"/>
        <w:rPr>
          <w:b/>
          <w:bCs/>
          <w:color w:val="000000" w:themeColor="text1"/>
        </w:rPr>
      </w:pPr>
    </w:p>
    <w:p w14:paraId="7CA5ECFE" w14:textId="77777777" w:rsidR="00433AA4" w:rsidRDefault="00433AA4" w:rsidP="009D1B1A">
      <w:pPr>
        <w:spacing w:line="480" w:lineRule="auto"/>
        <w:rPr>
          <w:b/>
          <w:bCs/>
          <w:color w:val="000000" w:themeColor="text1"/>
        </w:rPr>
      </w:pPr>
    </w:p>
    <w:p w14:paraId="61E5BB7A" w14:textId="2E1527D5" w:rsidR="00723D57" w:rsidRPr="00C868F2" w:rsidRDefault="00723D57" w:rsidP="009D1B1A">
      <w:pPr>
        <w:spacing w:line="480" w:lineRule="auto"/>
        <w:rPr>
          <w:b/>
          <w:bCs/>
          <w:color w:val="000000" w:themeColor="text1"/>
        </w:rPr>
      </w:pPr>
      <w:r>
        <w:rPr>
          <w:b/>
          <w:bCs/>
          <w:color w:val="000000" w:themeColor="text1"/>
        </w:rPr>
        <w:lastRenderedPageBreak/>
        <w:t xml:space="preserve">Appendix </w:t>
      </w:r>
      <w:r w:rsidR="00433AA4">
        <w:rPr>
          <w:b/>
          <w:bCs/>
          <w:color w:val="000000" w:themeColor="text1"/>
        </w:rPr>
        <w:t>D</w:t>
      </w:r>
      <w:r>
        <w:rPr>
          <w:b/>
          <w:bCs/>
          <w:color w:val="000000" w:themeColor="text1"/>
        </w:rPr>
        <w:t xml:space="preserve"> </w:t>
      </w:r>
    </w:p>
    <w:tbl>
      <w:tblPr>
        <w:tblW w:w="10038" w:type="dxa"/>
        <w:jc w:val="center"/>
        <w:tblLook w:val="04A0" w:firstRow="1" w:lastRow="0" w:firstColumn="1" w:lastColumn="0" w:noHBand="0" w:noVBand="1"/>
      </w:tblPr>
      <w:tblGrid>
        <w:gridCol w:w="1110"/>
        <w:gridCol w:w="5748"/>
        <w:gridCol w:w="1416"/>
        <w:gridCol w:w="2158"/>
      </w:tblGrid>
      <w:tr w:rsidR="00DF7421" w:rsidRPr="00C868F2" w14:paraId="1CF6BAD7" w14:textId="77777777" w:rsidTr="009D1B1A">
        <w:trPr>
          <w:trHeight w:val="393"/>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9842" w14:textId="77777777" w:rsidR="00DF7421" w:rsidRPr="00C868F2" w:rsidRDefault="00DF7421" w:rsidP="009D1B1A">
            <w:pPr>
              <w:jc w:val="center"/>
              <w:rPr>
                <w:b/>
                <w:bCs/>
                <w:color w:val="000000"/>
              </w:rPr>
            </w:pPr>
            <w:r w:rsidRPr="00C868F2">
              <w:rPr>
                <w:b/>
                <w:bCs/>
                <w:color w:val="000000"/>
              </w:rPr>
              <w:t>Variable</w:t>
            </w:r>
          </w:p>
        </w:tc>
        <w:tc>
          <w:tcPr>
            <w:tcW w:w="5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AFF7C" w14:textId="77777777" w:rsidR="00DF7421" w:rsidRPr="00C868F2" w:rsidRDefault="00DF7421" w:rsidP="009D1B1A">
            <w:pPr>
              <w:jc w:val="center"/>
              <w:rPr>
                <w:b/>
                <w:bCs/>
                <w:color w:val="000000"/>
              </w:rPr>
            </w:pPr>
            <w:r w:rsidRPr="00C868F2">
              <w:rPr>
                <w:b/>
                <w:bCs/>
                <w:color w:val="000000"/>
              </w:rPr>
              <w:t>Description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F3EA" w14:textId="77777777" w:rsidR="00DF7421" w:rsidRPr="00C868F2" w:rsidRDefault="00DF7421" w:rsidP="009D1B1A">
            <w:pPr>
              <w:jc w:val="center"/>
              <w:rPr>
                <w:b/>
                <w:bCs/>
                <w:color w:val="000000"/>
              </w:rPr>
            </w:pPr>
            <w:r w:rsidRPr="00C868F2">
              <w:rPr>
                <w:b/>
                <w:bCs/>
                <w:color w:val="000000"/>
              </w:rPr>
              <w:t>Value</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536DE" w14:textId="77777777" w:rsidR="00DF7421" w:rsidRPr="00C868F2" w:rsidRDefault="00DF7421" w:rsidP="009D1B1A">
            <w:pPr>
              <w:jc w:val="center"/>
              <w:rPr>
                <w:b/>
                <w:bCs/>
                <w:color w:val="000000"/>
              </w:rPr>
            </w:pPr>
            <w:r w:rsidRPr="00C868F2">
              <w:rPr>
                <w:b/>
                <w:bCs/>
                <w:color w:val="000000"/>
              </w:rPr>
              <w:t>Source</w:t>
            </w:r>
          </w:p>
        </w:tc>
      </w:tr>
      <w:tr w:rsidR="00DF7421" w:rsidRPr="00C868F2" w14:paraId="016080CA" w14:textId="77777777" w:rsidTr="009D1B1A">
        <w:trPr>
          <w:trHeight w:val="393"/>
          <w:jc w:val="center"/>
        </w:trPr>
        <w:tc>
          <w:tcPr>
            <w:tcW w:w="93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6A9BED" w14:textId="77777777" w:rsidR="00DF7421" w:rsidRPr="00C868F2" w:rsidRDefault="00DF7421" w:rsidP="009D1B1A">
            <w:pPr>
              <w:jc w:val="center"/>
              <w:rPr>
                <w:i/>
                <w:iCs/>
                <w:color w:val="000000"/>
              </w:rPr>
            </w:pPr>
            <w:r w:rsidRPr="00C868F2">
              <w:rPr>
                <w:i/>
                <w:iCs/>
                <w:color w:val="000000"/>
              </w:rPr>
              <w:t>Sa</w:t>
            </w:r>
          </w:p>
        </w:tc>
        <w:tc>
          <w:tcPr>
            <w:tcW w:w="57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CBA6C" w14:textId="77777777" w:rsidR="00DF7421" w:rsidRPr="00C868F2" w:rsidRDefault="00DF7421" w:rsidP="009D1B1A">
            <w:pPr>
              <w:jc w:val="center"/>
              <w:rPr>
                <w:color w:val="000000"/>
              </w:rPr>
            </w:pPr>
            <w:r w:rsidRPr="00C868F2">
              <w:rPr>
                <w:color w:val="000000"/>
              </w:rPr>
              <w:t>annual savings due to the SCS reducing ambulance calls for overdose</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B8AD95" w14:textId="0DA3D1BB" w:rsidR="00DF7421" w:rsidRPr="00C868F2" w:rsidRDefault="00DF7421" w:rsidP="009D1B1A">
            <w:pPr>
              <w:jc w:val="center"/>
              <w:rPr>
                <w:b/>
                <w:bCs/>
                <w:color w:val="000000"/>
              </w:rPr>
            </w:pPr>
            <w:r w:rsidRPr="00C868F2">
              <w:rPr>
                <w:b/>
                <w:bCs/>
                <w:color w:val="000000"/>
              </w:rPr>
              <w:t>$415,120.30</w:t>
            </w:r>
          </w:p>
        </w:tc>
        <w:tc>
          <w:tcPr>
            <w:tcW w:w="215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E7F9A1" w14:textId="77777777" w:rsidR="00DF7421" w:rsidRPr="00C868F2" w:rsidRDefault="00DF7421" w:rsidP="009D1B1A">
            <w:pPr>
              <w:jc w:val="center"/>
              <w:rPr>
                <w:color w:val="000000"/>
              </w:rPr>
            </w:pPr>
            <w:r w:rsidRPr="00C868F2">
              <w:rPr>
                <w:color w:val="000000"/>
              </w:rPr>
              <w:t>(Irwin et al., 2017)</w:t>
            </w:r>
          </w:p>
        </w:tc>
      </w:tr>
      <w:tr w:rsidR="00DF7421" w:rsidRPr="00C868F2" w14:paraId="2FEB4E22" w14:textId="77777777" w:rsidTr="009D1B1A">
        <w:trPr>
          <w:trHeight w:val="393"/>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7D0D" w14:textId="77777777" w:rsidR="00DF7421" w:rsidRPr="00C868F2" w:rsidRDefault="00DF7421" w:rsidP="009D1B1A">
            <w:pPr>
              <w:jc w:val="center"/>
              <w:rPr>
                <w:i/>
                <w:iCs/>
                <w:color w:val="000000"/>
              </w:rPr>
            </w:pPr>
            <w:r w:rsidRPr="00C868F2">
              <w:rPr>
                <w:i/>
                <w:iCs/>
                <w:color w:val="000000"/>
              </w:rPr>
              <w:t>I</w:t>
            </w:r>
          </w:p>
        </w:tc>
        <w:tc>
          <w:tcPr>
            <w:tcW w:w="5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F5A5B" w14:textId="77777777" w:rsidR="00DF7421" w:rsidRPr="00C868F2" w:rsidRDefault="00DF7421" w:rsidP="009D1B1A">
            <w:pPr>
              <w:jc w:val="center"/>
              <w:rPr>
                <w:color w:val="000000"/>
              </w:rPr>
            </w:pPr>
            <w:r w:rsidRPr="00C868F2">
              <w:rPr>
                <w:color w:val="000000"/>
              </w:rPr>
              <w:t>annual number of injections in the SCS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A1306" w14:textId="77777777" w:rsidR="00DF7421" w:rsidRPr="00C868F2" w:rsidRDefault="00DF7421" w:rsidP="009D1B1A">
            <w:pPr>
              <w:jc w:val="center"/>
              <w:rPr>
                <w:color w:val="000000"/>
              </w:rPr>
            </w:pPr>
            <w:r w:rsidRPr="00C868F2">
              <w:rPr>
                <w:color w:val="000000"/>
              </w:rPr>
              <w:t>170,731</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8AF57" w14:textId="7CDDFBF4" w:rsidR="00DF7421" w:rsidRPr="00C868F2" w:rsidRDefault="00372454" w:rsidP="009D1B1A">
            <w:pPr>
              <w:jc w:val="center"/>
              <w:rPr>
                <w:color w:val="000000"/>
              </w:rPr>
            </w:pPr>
            <w:hyperlink r:id="rId8" w:history="1">
              <w:r w:rsidR="00DF7421" w:rsidRPr="00C868F2">
                <w:rPr>
                  <w:color w:val="000000"/>
                </w:rPr>
                <w:t>(</w:t>
              </w:r>
              <w:r w:rsidR="00B512DB">
                <w:rPr>
                  <w:color w:val="000000"/>
                </w:rPr>
                <w:t>Insite</w:t>
              </w:r>
              <w:r w:rsidR="00DF7421" w:rsidRPr="00C868F2">
                <w:rPr>
                  <w:color w:val="000000"/>
                </w:rPr>
                <w:t>, 2019)</w:t>
              </w:r>
            </w:hyperlink>
          </w:p>
        </w:tc>
      </w:tr>
      <w:tr w:rsidR="00DF7421" w:rsidRPr="00C868F2" w14:paraId="602E22C5" w14:textId="77777777" w:rsidTr="009D1B1A">
        <w:trPr>
          <w:trHeight w:val="393"/>
          <w:jc w:val="center"/>
        </w:trPr>
        <w:tc>
          <w:tcPr>
            <w:tcW w:w="93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214AA9" w14:textId="77777777" w:rsidR="00DF7421" w:rsidRPr="00C868F2" w:rsidRDefault="00DF7421" w:rsidP="009D1B1A">
            <w:pPr>
              <w:jc w:val="center"/>
              <w:rPr>
                <w:i/>
                <w:iCs/>
                <w:color w:val="000000"/>
              </w:rPr>
            </w:pPr>
            <w:r w:rsidRPr="00C868F2">
              <w:rPr>
                <w:i/>
                <w:iCs/>
                <w:color w:val="000000"/>
              </w:rPr>
              <w:t>o</w:t>
            </w:r>
          </w:p>
        </w:tc>
        <w:tc>
          <w:tcPr>
            <w:tcW w:w="57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3A2D35" w14:textId="77777777" w:rsidR="00DF7421" w:rsidRPr="00C868F2" w:rsidRDefault="00DF7421" w:rsidP="009D1B1A">
            <w:pPr>
              <w:jc w:val="center"/>
              <w:rPr>
                <w:color w:val="000000"/>
              </w:rPr>
            </w:pPr>
            <w:r w:rsidRPr="00C868F2">
              <w:rPr>
                <w:color w:val="000000"/>
              </w:rPr>
              <w:t>the per-injection rate of overdose</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E50ED0" w14:textId="77777777" w:rsidR="00DF7421" w:rsidRPr="00C868F2" w:rsidRDefault="00DF7421" w:rsidP="009D1B1A">
            <w:pPr>
              <w:jc w:val="center"/>
              <w:rPr>
                <w:color w:val="000000"/>
              </w:rPr>
            </w:pPr>
            <w:r w:rsidRPr="00C868F2">
              <w:rPr>
                <w:color w:val="000000"/>
              </w:rPr>
              <w:t>0.77%</w:t>
            </w:r>
          </w:p>
        </w:tc>
        <w:tc>
          <w:tcPr>
            <w:tcW w:w="215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76231E" w14:textId="066752FB" w:rsidR="00DF7421" w:rsidRPr="00C868F2" w:rsidRDefault="00372454" w:rsidP="009D1B1A">
            <w:pPr>
              <w:jc w:val="center"/>
              <w:rPr>
                <w:color w:val="000000"/>
              </w:rPr>
            </w:pPr>
            <w:hyperlink r:id="rId9" w:history="1">
              <w:r w:rsidR="00DF7421" w:rsidRPr="00C868F2">
                <w:rPr>
                  <w:color w:val="000000"/>
                </w:rPr>
                <w:t>(</w:t>
              </w:r>
              <w:r w:rsidR="00B512DB">
                <w:rPr>
                  <w:color w:val="000000"/>
                </w:rPr>
                <w:t>Insite</w:t>
              </w:r>
              <w:r w:rsidR="00DF7421" w:rsidRPr="00C868F2">
                <w:rPr>
                  <w:color w:val="000000"/>
                </w:rPr>
                <w:t>, 2019)</w:t>
              </w:r>
            </w:hyperlink>
          </w:p>
        </w:tc>
      </w:tr>
      <w:tr w:rsidR="00DF7421" w:rsidRPr="00C868F2" w14:paraId="407BB537" w14:textId="77777777" w:rsidTr="009D1B1A">
        <w:trPr>
          <w:trHeight w:val="393"/>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8B67B" w14:textId="77777777" w:rsidR="00DF7421" w:rsidRPr="00C868F2" w:rsidRDefault="00DF7421" w:rsidP="009D1B1A">
            <w:pPr>
              <w:jc w:val="center"/>
              <w:rPr>
                <w:i/>
                <w:iCs/>
                <w:color w:val="000000"/>
              </w:rPr>
            </w:pPr>
            <w:r w:rsidRPr="00C868F2">
              <w:rPr>
                <w:i/>
                <w:iCs/>
                <w:color w:val="000000"/>
              </w:rPr>
              <w:t>C0</w:t>
            </w:r>
          </w:p>
        </w:tc>
        <w:tc>
          <w:tcPr>
            <w:tcW w:w="5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817F" w14:textId="60B1BDEF" w:rsidR="00DF7421" w:rsidRPr="00C868F2" w:rsidRDefault="00DF7421" w:rsidP="009D1B1A">
            <w:pPr>
              <w:jc w:val="center"/>
              <w:rPr>
                <w:color w:val="000000"/>
              </w:rPr>
            </w:pPr>
            <w:r w:rsidRPr="00C868F2">
              <w:rPr>
                <w:color w:val="000000"/>
              </w:rPr>
              <w:t>overdose ambulance calls outside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C5CB" w14:textId="77777777" w:rsidR="00DF7421" w:rsidRPr="00C868F2" w:rsidRDefault="00DF7421" w:rsidP="009D1B1A">
            <w:pPr>
              <w:jc w:val="center"/>
              <w:rPr>
                <w:color w:val="000000"/>
              </w:rPr>
            </w:pPr>
            <w:r w:rsidRPr="00C868F2">
              <w:rPr>
                <w:color w:val="000000"/>
              </w:rPr>
              <w:t>45.90%</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9E2B9" w14:textId="77777777" w:rsidR="00DF7421" w:rsidRPr="00C868F2" w:rsidRDefault="00DF7421" w:rsidP="009D1B1A">
            <w:pPr>
              <w:jc w:val="center"/>
              <w:rPr>
                <w:color w:val="000000"/>
              </w:rPr>
            </w:pPr>
            <w:r w:rsidRPr="00C868F2">
              <w:rPr>
                <w:color w:val="000000"/>
              </w:rPr>
              <w:t>(Pollini et al., 2006)</w:t>
            </w:r>
          </w:p>
        </w:tc>
      </w:tr>
      <w:tr w:rsidR="00DF7421" w:rsidRPr="00C868F2" w14:paraId="60A275EA" w14:textId="77777777" w:rsidTr="009D1B1A">
        <w:trPr>
          <w:trHeight w:val="393"/>
          <w:jc w:val="center"/>
        </w:trPr>
        <w:tc>
          <w:tcPr>
            <w:tcW w:w="93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E3C8EF" w14:textId="77777777" w:rsidR="00DF7421" w:rsidRPr="00C868F2" w:rsidRDefault="00DF7421" w:rsidP="009D1B1A">
            <w:pPr>
              <w:jc w:val="center"/>
              <w:rPr>
                <w:i/>
                <w:iCs/>
                <w:color w:val="000000"/>
              </w:rPr>
            </w:pPr>
            <w:r w:rsidRPr="00C868F2">
              <w:rPr>
                <w:i/>
                <w:iCs/>
                <w:color w:val="000000"/>
              </w:rPr>
              <w:t>Ci</w:t>
            </w:r>
          </w:p>
        </w:tc>
        <w:tc>
          <w:tcPr>
            <w:tcW w:w="57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A05D62" w14:textId="1DD07336" w:rsidR="00DF7421" w:rsidRPr="00C868F2" w:rsidRDefault="00DF7421" w:rsidP="009D1B1A">
            <w:pPr>
              <w:jc w:val="center"/>
              <w:rPr>
                <w:color w:val="000000"/>
              </w:rPr>
            </w:pPr>
            <w:r w:rsidRPr="00C868F2">
              <w:rPr>
                <w:color w:val="000000"/>
              </w:rPr>
              <w:t>overdose ambulance calls inside</w:t>
            </w:r>
          </w:p>
        </w:tc>
        <w:tc>
          <w:tcPr>
            <w:tcW w:w="12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2B22EF" w14:textId="77777777" w:rsidR="00DF7421" w:rsidRPr="00C868F2" w:rsidRDefault="00DF7421" w:rsidP="009D1B1A">
            <w:pPr>
              <w:jc w:val="center"/>
              <w:rPr>
                <w:color w:val="000000"/>
              </w:rPr>
            </w:pPr>
            <w:r w:rsidRPr="00C868F2">
              <w:rPr>
                <w:color w:val="000000"/>
              </w:rPr>
              <w:t>0.79%</w:t>
            </w:r>
          </w:p>
        </w:tc>
        <w:tc>
          <w:tcPr>
            <w:tcW w:w="215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E81CB8" w14:textId="77777777" w:rsidR="00DF7421" w:rsidRPr="00C868F2" w:rsidRDefault="00DF7421" w:rsidP="009D1B1A">
            <w:pPr>
              <w:jc w:val="center"/>
              <w:rPr>
                <w:color w:val="000000"/>
              </w:rPr>
            </w:pPr>
            <w:r w:rsidRPr="00C868F2">
              <w:rPr>
                <w:color w:val="000000"/>
              </w:rPr>
              <w:t>(Irwin et al., 2017)</w:t>
            </w:r>
          </w:p>
        </w:tc>
      </w:tr>
      <w:tr w:rsidR="00DF7421" w:rsidRPr="00C868F2" w14:paraId="389C8E6E" w14:textId="77777777" w:rsidTr="009D1B1A">
        <w:trPr>
          <w:trHeight w:val="393"/>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27F41" w14:textId="77777777" w:rsidR="00DF7421" w:rsidRPr="00C868F2" w:rsidRDefault="00DF7421" w:rsidP="009D1B1A">
            <w:pPr>
              <w:jc w:val="center"/>
              <w:rPr>
                <w:i/>
                <w:iCs/>
                <w:color w:val="000000"/>
              </w:rPr>
            </w:pPr>
            <w:r w:rsidRPr="00C868F2">
              <w:rPr>
                <w:i/>
                <w:iCs/>
                <w:color w:val="000000"/>
              </w:rPr>
              <w:t>A</w:t>
            </w:r>
          </w:p>
        </w:tc>
        <w:tc>
          <w:tcPr>
            <w:tcW w:w="5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B402" w14:textId="60E09BFB" w:rsidR="00DF7421" w:rsidRPr="00C868F2" w:rsidRDefault="00DF7421" w:rsidP="009D1B1A">
            <w:pPr>
              <w:jc w:val="center"/>
              <w:rPr>
                <w:color w:val="000000"/>
              </w:rPr>
            </w:pPr>
            <w:r w:rsidRPr="00C868F2">
              <w:rPr>
                <w:color w:val="000000"/>
              </w:rPr>
              <w:t>average cost of an overdose ambulance call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90EF" w14:textId="23CCE352" w:rsidR="00DF7421" w:rsidRPr="00C868F2" w:rsidRDefault="00DF7421" w:rsidP="009D1B1A">
            <w:pPr>
              <w:jc w:val="center"/>
              <w:rPr>
                <w:color w:val="000000"/>
              </w:rPr>
            </w:pPr>
            <w:r w:rsidRPr="00C868F2">
              <w:rPr>
                <w:color w:val="000000"/>
              </w:rPr>
              <w:t>$700</w:t>
            </w:r>
          </w:p>
        </w:tc>
        <w:tc>
          <w:tcPr>
            <w:tcW w:w="2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B035B" w14:textId="77777777" w:rsidR="00DF7421" w:rsidRPr="00C868F2" w:rsidRDefault="00372454" w:rsidP="009D1B1A">
            <w:pPr>
              <w:jc w:val="center"/>
              <w:rPr>
                <w:color w:val="000000"/>
              </w:rPr>
            </w:pPr>
            <w:hyperlink r:id="rId10" w:anchor=":~:text=The%20fees%20are%20%24700%20or,%2410%20per%20mile%20of%20transport." w:history="1">
              <w:r w:rsidR="00DF7421" w:rsidRPr="00C868F2">
                <w:rPr>
                  <w:color w:val="000000"/>
                </w:rPr>
                <w:t>(Emergency Medical, 2022)</w:t>
              </w:r>
            </w:hyperlink>
          </w:p>
        </w:tc>
      </w:tr>
    </w:tbl>
    <w:p w14:paraId="6E43A464" w14:textId="77777777" w:rsidR="00CF4FE1" w:rsidRPr="00C868F2" w:rsidRDefault="00CF4FE1" w:rsidP="009D1B1A">
      <w:pPr>
        <w:spacing w:line="480" w:lineRule="auto"/>
        <w:jc w:val="center"/>
        <w:rPr>
          <w:b/>
          <w:bCs/>
          <w:color w:val="000000" w:themeColor="text1"/>
        </w:rPr>
      </w:pPr>
    </w:p>
    <w:p w14:paraId="34067ABB" w14:textId="6366D8A4" w:rsidR="00870330" w:rsidRPr="00C868F2" w:rsidRDefault="00870330" w:rsidP="009D1B1A">
      <w:pPr>
        <w:spacing w:line="480" w:lineRule="auto"/>
        <w:rPr>
          <w:b/>
          <w:bCs/>
          <w:color w:val="000000" w:themeColor="text1"/>
        </w:rPr>
      </w:pPr>
      <w:r w:rsidRPr="00C868F2">
        <w:rPr>
          <w:b/>
          <w:bCs/>
          <w:color w:val="000000" w:themeColor="text1"/>
        </w:rPr>
        <w:t xml:space="preserve">Appendix </w:t>
      </w:r>
      <w:r w:rsidR="00433AA4">
        <w:rPr>
          <w:b/>
          <w:bCs/>
          <w:color w:val="000000" w:themeColor="text1"/>
        </w:rPr>
        <w:t>E</w:t>
      </w:r>
    </w:p>
    <w:tbl>
      <w:tblPr>
        <w:tblW w:w="9995" w:type="dxa"/>
        <w:jc w:val="center"/>
        <w:tblLook w:val="04A0" w:firstRow="1" w:lastRow="0" w:firstColumn="1" w:lastColumn="0" w:noHBand="0" w:noVBand="1"/>
      </w:tblPr>
      <w:tblGrid>
        <w:gridCol w:w="1110"/>
        <w:gridCol w:w="5723"/>
        <w:gridCol w:w="1416"/>
        <w:gridCol w:w="2149"/>
      </w:tblGrid>
      <w:tr w:rsidR="00DF7421" w:rsidRPr="00C868F2" w14:paraId="5E4739FB" w14:textId="77777777" w:rsidTr="009D1B1A">
        <w:trPr>
          <w:trHeight w:val="315"/>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8068E" w14:textId="77777777" w:rsidR="00DF7421" w:rsidRPr="00C868F2" w:rsidRDefault="00DF7421" w:rsidP="009D1B1A">
            <w:pPr>
              <w:jc w:val="center"/>
              <w:rPr>
                <w:b/>
                <w:bCs/>
                <w:color w:val="000000"/>
              </w:rPr>
            </w:pPr>
            <w:r w:rsidRPr="00C868F2">
              <w:rPr>
                <w:b/>
                <w:bCs/>
                <w:color w:val="000000"/>
              </w:rPr>
              <w:t>Variable</w:t>
            </w:r>
          </w:p>
        </w:tc>
        <w:tc>
          <w:tcPr>
            <w:tcW w:w="5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562C" w14:textId="77777777" w:rsidR="00DF7421" w:rsidRPr="00C868F2" w:rsidRDefault="00DF7421" w:rsidP="009D1B1A">
            <w:pPr>
              <w:jc w:val="center"/>
              <w:rPr>
                <w:b/>
                <w:bCs/>
                <w:color w:val="000000"/>
              </w:rPr>
            </w:pPr>
            <w:r w:rsidRPr="00C868F2">
              <w:rPr>
                <w:b/>
                <w:bCs/>
                <w:color w:val="000000"/>
              </w:rPr>
              <w:t>Description</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68EA1" w14:textId="77777777" w:rsidR="00DF7421" w:rsidRPr="00C868F2" w:rsidRDefault="00DF7421" w:rsidP="009D1B1A">
            <w:pPr>
              <w:jc w:val="center"/>
              <w:rPr>
                <w:b/>
                <w:bCs/>
                <w:color w:val="000000"/>
              </w:rPr>
            </w:pPr>
            <w:r w:rsidRPr="00C868F2">
              <w:rPr>
                <w:b/>
                <w:bCs/>
                <w:color w:val="000000"/>
              </w:rPr>
              <w:t>Value</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A9C9E" w14:textId="77777777" w:rsidR="00DF7421" w:rsidRPr="00C868F2" w:rsidRDefault="00DF7421" w:rsidP="009D1B1A">
            <w:pPr>
              <w:jc w:val="center"/>
              <w:rPr>
                <w:b/>
                <w:bCs/>
                <w:color w:val="000000"/>
              </w:rPr>
            </w:pPr>
            <w:r w:rsidRPr="00C868F2">
              <w:rPr>
                <w:b/>
                <w:bCs/>
                <w:color w:val="000000"/>
              </w:rPr>
              <w:t>Source</w:t>
            </w:r>
          </w:p>
        </w:tc>
      </w:tr>
      <w:tr w:rsidR="00DF7421" w:rsidRPr="00C868F2" w14:paraId="21971FF3" w14:textId="77777777" w:rsidTr="009D1B1A">
        <w:trPr>
          <w:trHeight w:val="315"/>
          <w:jc w:val="center"/>
        </w:trPr>
        <w:tc>
          <w:tcPr>
            <w:tcW w:w="92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883131" w14:textId="77777777" w:rsidR="00DF7421" w:rsidRPr="00C868F2" w:rsidRDefault="00DF7421" w:rsidP="009D1B1A">
            <w:pPr>
              <w:jc w:val="center"/>
              <w:rPr>
                <w:i/>
                <w:iCs/>
                <w:color w:val="000000"/>
              </w:rPr>
            </w:pPr>
            <w:r w:rsidRPr="00C868F2">
              <w:rPr>
                <w:i/>
                <w:iCs/>
                <w:color w:val="000000"/>
              </w:rPr>
              <w:t>Ser</w:t>
            </w:r>
          </w:p>
        </w:tc>
        <w:tc>
          <w:tcPr>
            <w:tcW w:w="57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D40AEE" w14:textId="77777777" w:rsidR="00DF7421" w:rsidRPr="00C868F2" w:rsidRDefault="00DF7421" w:rsidP="009D1B1A">
            <w:pPr>
              <w:jc w:val="center"/>
              <w:rPr>
                <w:color w:val="000000"/>
              </w:rPr>
            </w:pPr>
            <w:r w:rsidRPr="00C868F2">
              <w:rPr>
                <w:color w:val="000000"/>
              </w:rPr>
              <w:t>annual savings due to the SCS reducing emergency room visits for overdose</w:t>
            </w:r>
          </w:p>
        </w:tc>
        <w:tc>
          <w:tcPr>
            <w:tcW w:w="11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B4161E" w14:textId="0639934A" w:rsidR="00DF7421" w:rsidRPr="00C868F2" w:rsidRDefault="00DF7421" w:rsidP="009D1B1A">
            <w:pPr>
              <w:jc w:val="center"/>
              <w:rPr>
                <w:b/>
                <w:bCs/>
                <w:color w:val="000000"/>
              </w:rPr>
            </w:pPr>
            <w:r w:rsidRPr="00C868F2">
              <w:rPr>
                <w:b/>
                <w:bCs/>
                <w:color w:val="000000"/>
              </w:rPr>
              <w:t>$573,340.34</w:t>
            </w:r>
          </w:p>
        </w:tc>
        <w:tc>
          <w:tcPr>
            <w:tcW w:w="214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C14594" w14:textId="77777777" w:rsidR="00DF7421" w:rsidRPr="00C868F2" w:rsidRDefault="00DF7421" w:rsidP="009D1B1A">
            <w:pPr>
              <w:jc w:val="center"/>
              <w:rPr>
                <w:color w:val="000000"/>
              </w:rPr>
            </w:pPr>
            <w:r w:rsidRPr="00C868F2">
              <w:rPr>
                <w:color w:val="000000"/>
              </w:rPr>
              <w:t>(Irwin et al., 2017)</w:t>
            </w:r>
          </w:p>
        </w:tc>
      </w:tr>
      <w:tr w:rsidR="00DF7421" w:rsidRPr="00C868F2" w14:paraId="37CF2D55" w14:textId="77777777" w:rsidTr="009D1B1A">
        <w:trPr>
          <w:trHeight w:val="315"/>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1774F" w14:textId="77777777" w:rsidR="00DF7421" w:rsidRPr="00C868F2" w:rsidRDefault="00DF7421" w:rsidP="009D1B1A">
            <w:pPr>
              <w:jc w:val="center"/>
              <w:rPr>
                <w:i/>
                <w:iCs/>
                <w:color w:val="000000"/>
              </w:rPr>
            </w:pPr>
            <w:r w:rsidRPr="00C868F2">
              <w:rPr>
                <w:i/>
                <w:iCs/>
                <w:color w:val="000000"/>
              </w:rPr>
              <w:t>I</w:t>
            </w:r>
          </w:p>
        </w:tc>
        <w:tc>
          <w:tcPr>
            <w:tcW w:w="5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AD6DB" w14:textId="77777777" w:rsidR="00DF7421" w:rsidRPr="00C868F2" w:rsidRDefault="00DF7421" w:rsidP="009D1B1A">
            <w:pPr>
              <w:jc w:val="center"/>
              <w:rPr>
                <w:color w:val="000000"/>
              </w:rPr>
            </w:pPr>
            <w:r w:rsidRPr="00C868F2">
              <w:rPr>
                <w:color w:val="000000"/>
              </w:rPr>
              <w:t>annual number of injections in the SCS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1827F" w14:textId="77777777" w:rsidR="00DF7421" w:rsidRPr="00C868F2" w:rsidRDefault="00DF7421" w:rsidP="009D1B1A">
            <w:pPr>
              <w:jc w:val="center"/>
              <w:rPr>
                <w:color w:val="000000"/>
              </w:rPr>
            </w:pPr>
            <w:r w:rsidRPr="00C868F2">
              <w:rPr>
                <w:color w:val="000000"/>
              </w:rPr>
              <w:t>170,731</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83467" w14:textId="6F13ACCA" w:rsidR="00DF7421" w:rsidRPr="00C868F2" w:rsidRDefault="00372454" w:rsidP="009D1B1A">
            <w:pPr>
              <w:jc w:val="center"/>
              <w:rPr>
                <w:color w:val="000000"/>
              </w:rPr>
            </w:pPr>
            <w:hyperlink r:id="rId11" w:history="1">
              <w:r w:rsidR="00DF7421" w:rsidRPr="00C868F2">
                <w:rPr>
                  <w:color w:val="000000"/>
                </w:rPr>
                <w:t>(</w:t>
              </w:r>
              <w:r w:rsidR="00B512DB">
                <w:rPr>
                  <w:color w:val="000000"/>
                </w:rPr>
                <w:t>Insite</w:t>
              </w:r>
              <w:r w:rsidR="00DF7421" w:rsidRPr="00C868F2">
                <w:rPr>
                  <w:color w:val="000000"/>
                </w:rPr>
                <w:t>, 2019)</w:t>
              </w:r>
            </w:hyperlink>
          </w:p>
        </w:tc>
      </w:tr>
      <w:tr w:rsidR="00DF7421" w:rsidRPr="00C868F2" w14:paraId="7AA79602" w14:textId="77777777" w:rsidTr="009D1B1A">
        <w:trPr>
          <w:trHeight w:val="315"/>
          <w:jc w:val="center"/>
        </w:trPr>
        <w:tc>
          <w:tcPr>
            <w:tcW w:w="92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0AEE85" w14:textId="77777777" w:rsidR="00DF7421" w:rsidRPr="00C868F2" w:rsidRDefault="00DF7421" w:rsidP="009D1B1A">
            <w:pPr>
              <w:jc w:val="center"/>
              <w:rPr>
                <w:i/>
                <w:iCs/>
                <w:color w:val="000000"/>
              </w:rPr>
            </w:pPr>
            <w:r w:rsidRPr="00C868F2">
              <w:rPr>
                <w:i/>
                <w:iCs/>
                <w:color w:val="000000"/>
              </w:rPr>
              <w:t>o</w:t>
            </w:r>
          </w:p>
        </w:tc>
        <w:tc>
          <w:tcPr>
            <w:tcW w:w="57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6D3996" w14:textId="77777777" w:rsidR="00DF7421" w:rsidRPr="00C868F2" w:rsidRDefault="00DF7421" w:rsidP="009D1B1A">
            <w:pPr>
              <w:jc w:val="center"/>
              <w:rPr>
                <w:color w:val="000000"/>
              </w:rPr>
            </w:pPr>
            <w:r w:rsidRPr="00C868F2">
              <w:rPr>
                <w:color w:val="000000"/>
              </w:rPr>
              <w:t>the per-injection rate of overdose</w:t>
            </w:r>
          </w:p>
        </w:tc>
        <w:tc>
          <w:tcPr>
            <w:tcW w:w="11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46FE18" w14:textId="77777777" w:rsidR="00DF7421" w:rsidRPr="00C868F2" w:rsidRDefault="00DF7421" w:rsidP="009D1B1A">
            <w:pPr>
              <w:jc w:val="center"/>
              <w:rPr>
                <w:color w:val="000000"/>
              </w:rPr>
            </w:pPr>
            <w:r w:rsidRPr="00C868F2">
              <w:rPr>
                <w:color w:val="000000"/>
              </w:rPr>
              <w:t>0.77%</w:t>
            </w:r>
          </w:p>
        </w:tc>
        <w:tc>
          <w:tcPr>
            <w:tcW w:w="214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8EA6F4" w14:textId="76BB26E8" w:rsidR="00DF7421" w:rsidRPr="00C868F2" w:rsidRDefault="00372454" w:rsidP="009D1B1A">
            <w:pPr>
              <w:jc w:val="center"/>
              <w:rPr>
                <w:color w:val="000000"/>
              </w:rPr>
            </w:pPr>
            <w:hyperlink r:id="rId12" w:history="1">
              <w:r w:rsidR="00DF7421" w:rsidRPr="00C868F2">
                <w:rPr>
                  <w:color w:val="000000"/>
                </w:rPr>
                <w:t>(</w:t>
              </w:r>
              <w:r w:rsidR="00B512DB">
                <w:rPr>
                  <w:color w:val="000000"/>
                </w:rPr>
                <w:t>Insite</w:t>
              </w:r>
              <w:r w:rsidR="00DF7421" w:rsidRPr="00C868F2">
                <w:rPr>
                  <w:color w:val="000000"/>
                </w:rPr>
                <w:t>, 2019)</w:t>
              </w:r>
            </w:hyperlink>
          </w:p>
        </w:tc>
      </w:tr>
      <w:tr w:rsidR="00DF7421" w:rsidRPr="00C868F2" w14:paraId="238E7A52" w14:textId="77777777" w:rsidTr="009D1B1A">
        <w:trPr>
          <w:trHeight w:val="315"/>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2D3D9" w14:textId="77777777" w:rsidR="00DF7421" w:rsidRPr="00C868F2" w:rsidRDefault="00DF7421" w:rsidP="009D1B1A">
            <w:pPr>
              <w:jc w:val="center"/>
              <w:rPr>
                <w:i/>
                <w:iCs/>
                <w:color w:val="000000"/>
              </w:rPr>
            </w:pPr>
            <w:r w:rsidRPr="00C868F2">
              <w:rPr>
                <w:i/>
                <w:iCs/>
                <w:color w:val="000000"/>
              </w:rPr>
              <w:t>t0</w:t>
            </w:r>
          </w:p>
        </w:tc>
        <w:tc>
          <w:tcPr>
            <w:tcW w:w="5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EEE4" w14:textId="77777777" w:rsidR="00DF7421" w:rsidRPr="00C868F2" w:rsidRDefault="00DF7421" w:rsidP="009D1B1A">
            <w:pPr>
              <w:jc w:val="center"/>
              <w:rPr>
                <w:color w:val="000000"/>
              </w:rPr>
            </w:pPr>
            <w:r w:rsidRPr="00C868F2">
              <w:rPr>
                <w:color w:val="000000"/>
              </w:rPr>
              <w:t>rates of ER visit for overdose when the overdose occurs outside SCS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A9079" w14:textId="77777777" w:rsidR="00DF7421" w:rsidRPr="00C868F2" w:rsidRDefault="00DF7421" w:rsidP="009D1B1A">
            <w:pPr>
              <w:jc w:val="center"/>
              <w:rPr>
                <w:color w:val="000000"/>
              </w:rPr>
            </w:pPr>
            <w:r w:rsidRPr="00C868F2">
              <w:rPr>
                <w:color w:val="000000"/>
              </w:rPr>
              <w:t>33%</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3E2A" w14:textId="77777777" w:rsidR="00DF7421" w:rsidRPr="00C868F2" w:rsidRDefault="00DF7421" w:rsidP="009D1B1A">
            <w:pPr>
              <w:jc w:val="center"/>
              <w:rPr>
                <w:color w:val="000000"/>
              </w:rPr>
            </w:pPr>
            <w:r w:rsidRPr="00C868F2">
              <w:rPr>
                <w:color w:val="000000"/>
              </w:rPr>
              <w:t>Pollini et al., 2006)</w:t>
            </w:r>
          </w:p>
        </w:tc>
      </w:tr>
      <w:tr w:rsidR="00DF7421" w:rsidRPr="00C868F2" w14:paraId="1608930F" w14:textId="77777777" w:rsidTr="009D1B1A">
        <w:trPr>
          <w:trHeight w:val="315"/>
          <w:jc w:val="center"/>
        </w:trPr>
        <w:tc>
          <w:tcPr>
            <w:tcW w:w="92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F763F2" w14:textId="77777777" w:rsidR="00DF7421" w:rsidRPr="00C868F2" w:rsidRDefault="00DF7421" w:rsidP="009D1B1A">
            <w:pPr>
              <w:jc w:val="center"/>
              <w:rPr>
                <w:i/>
                <w:iCs/>
                <w:color w:val="000000"/>
              </w:rPr>
            </w:pPr>
            <w:r w:rsidRPr="00C868F2">
              <w:rPr>
                <w:i/>
                <w:iCs/>
                <w:color w:val="000000"/>
              </w:rPr>
              <w:t>ti</w:t>
            </w:r>
          </w:p>
        </w:tc>
        <w:tc>
          <w:tcPr>
            <w:tcW w:w="572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C211AE" w14:textId="77777777" w:rsidR="00DF7421" w:rsidRPr="00C868F2" w:rsidRDefault="00DF7421" w:rsidP="009D1B1A">
            <w:pPr>
              <w:jc w:val="center"/>
              <w:rPr>
                <w:color w:val="000000"/>
              </w:rPr>
            </w:pPr>
            <w:r w:rsidRPr="00C868F2">
              <w:rPr>
                <w:color w:val="000000"/>
              </w:rPr>
              <w:t>using ambulance call rate as an upper bound</w:t>
            </w:r>
          </w:p>
        </w:tc>
        <w:tc>
          <w:tcPr>
            <w:tcW w:w="11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2D2716" w14:textId="77777777" w:rsidR="00DF7421" w:rsidRPr="00C868F2" w:rsidRDefault="00DF7421" w:rsidP="009D1B1A">
            <w:pPr>
              <w:jc w:val="center"/>
              <w:rPr>
                <w:color w:val="000000"/>
              </w:rPr>
            </w:pPr>
            <w:r w:rsidRPr="00C868F2">
              <w:rPr>
                <w:color w:val="000000"/>
              </w:rPr>
              <w:t>0.79%</w:t>
            </w:r>
          </w:p>
        </w:tc>
        <w:tc>
          <w:tcPr>
            <w:tcW w:w="214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415FE3" w14:textId="77777777" w:rsidR="00DF7421" w:rsidRPr="00C868F2" w:rsidRDefault="00DF7421" w:rsidP="009D1B1A">
            <w:pPr>
              <w:jc w:val="center"/>
              <w:rPr>
                <w:color w:val="000000"/>
              </w:rPr>
            </w:pPr>
            <w:r w:rsidRPr="00C868F2">
              <w:rPr>
                <w:color w:val="000000"/>
              </w:rPr>
              <w:t>(Irwin et al., 2017)</w:t>
            </w:r>
          </w:p>
        </w:tc>
      </w:tr>
      <w:tr w:rsidR="00DF7421" w:rsidRPr="00C868F2" w14:paraId="2B789355" w14:textId="77777777" w:rsidTr="009D1B1A">
        <w:trPr>
          <w:trHeight w:val="315"/>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E6935" w14:textId="77777777" w:rsidR="00DF7421" w:rsidRPr="00C868F2" w:rsidRDefault="00DF7421" w:rsidP="009D1B1A">
            <w:pPr>
              <w:jc w:val="center"/>
              <w:rPr>
                <w:i/>
                <w:iCs/>
                <w:color w:val="000000"/>
              </w:rPr>
            </w:pPr>
            <w:r w:rsidRPr="00C868F2">
              <w:rPr>
                <w:i/>
                <w:iCs/>
                <w:color w:val="000000"/>
              </w:rPr>
              <w:t>F</w:t>
            </w:r>
          </w:p>
        </w:tc>
        <w:tc>
          <w:tcPr>
            <w:tcW w:w="5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71062" w14:textId="69D430D5" w:rsidR="00DF7421" w:rsidRPr="00C868F2" w:rsidRDefault="00DF7421" w:rsidP="009D1B1A">
            <w:pPr>
              <w:jc w:val="center"/>
              <w:rPr>
                <w:color w:val="000000"/>
              </w:rPr>
            </w:pPr>
            <w:r w:rsidRPr="00C868F2">
              <w:rPr>
                <w:color w:val="000000"/>
              </w:rPr>
              <w:t>the average cost of an overdose emergency room visit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C82A7" w14:textId="0C624901" w:rsidR="00DF7421" w:rsidRPr="00C868F2" w:rsidRDefault="00DF7421" w:rsidP="009D1B1A">
            <w:pPr>
              <w:jc w:val="center"/>
              <w:rPr>
                <w:color w:val="000000"/>
              </w:rPr>
            </w:pPr>
            <w:r w:rsidRPr="00C868F2">
              <w:rPr>
                <w:color w:val="000000"/>
              </w:rPr>
              <w:t>$1,354</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D0EAB" w14:textId="77777777" w:rsidR="00DF7421" w:rsidRPr="00C868F2" w:rsidRDefault="00372454" w:rsidP="009D1B1A">
            <w:pPr>
              <w:jc w:val="center"/>
              <w:rPr>
                <w:color w:val="000000"/>
              </w:rPr>
            </w:pPr>
            <w:hyperlink r:id="rId13" w:history="1">
              <w:r w:rsidR="00DF7421" w:rsidRPr="00C868F2">
                <w:rPr>
                  <w:color w:val="000000"/>
                </w:rPr>
                <w:t>(Rienzi, 2014)</w:t>
              </w:r>
            </w:hyperlink>
          </w:p>
        </w:tc>
      </w:tr>
    </w:tbl>
    <w:p w14:paraId="5DF86C68" w14:textId="77777777" w:rsidR="00810F3C" w:rsidRPr="00C868F2" w:rsidRDefault="00810F3C" w:rsidP="009D1B1A">
      <w:pPr>
        <w:spacing w:line="480" w:lineRule="auto"/>
        <w:jc w:val="center"/>
        <w:rPr>
          <w:b/>
          <w:bCs/>
          <w:color w:val="000000" w:themeColor="text1"/>
        </w:rPr>
      </w:pPr>
    </w:p>
    <w:p w14:paraId="1E63B92F" w14:textId="285A1D31" w:rsidR="00326FCB" w:rsidRPr="00C868F2" w:rsidRDefault="00326FCB" w:rsidP="009D1B1A">
      <w:pPr>
        <w:spacing w:line="480" w:lineRule="auto"/>
        <w:rPr>
          <w:b/>
          <w:bCs/>
          <w:color w:val="000000" w:themeColor="text1"/>
        </w:rPr>
      </w:pPr>
      <w:r w:rsidRPr="00C868F2">
        <w:rPr>
          <w:b/>
          <w:bCs/>
          <w:color w:val="000000" w:themeColor="text1"/>
        </w:rPr>
        <w:t xml:space="preserve">Appendix </w:t>
      </w:r>
      <w:r w:rsidR="00433AA4">
        <w:rPr>
          <w:b/>
          <w:bCs/>
          <w:color w:val="000000" w:themeColor="text1"/>
        </w:rPr>
        <w:t>F</w:t>
      </w:r>
    </w:p>
    <w:tbl>
      <w:tblPr>
        <w:tblW w:w="9998" w:type="dxa"/>
        <w:jc w:val="center"/>
        <w:tblLook w:val="04A0" w:firstRow="1" w:lastRow="0" w:firstColumn="1" w:lastColumn="0" w:noHBand="0" w:noVBand="1"/>
      </w:tblPr>
      <w:tblGrid>
        <w:gridCol w:w="1110"/>
        <w:gridCol w:w="5725"/>
        <w:gridCol w:w="1416"/>
        <w:gridCol w:w="2150"/>
      </w:tblGrid>
      <w:tr w:rsidR="00DF7421" w:rsidRPr="00C868F2" w14:paraId="0D71A9C2" w14:textId="77777777" w:rsidTr="009D1B1A">
        <w:trPr>
          <w:trHeight w:val="393"/>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36A51" w14:textId="77777777" w:rsidR="00DF7421" w:rsidRPr="00C868F2" w:rsidRDefault="00DF7421" w:rsidP="009D1B1A">
            <w:pPr>
              <w:jc w:val="center"/>
              <w:rPr>
                <w:b/>
                <w:bCs/>
                <w:color w:val="000000"/>
              </w:rPr>
            </w:pPr>
            <w:r w:rsidRPr="00C868F2">
              <w:rPr>
                <w:b/>
                <w:bCs/>
                <w:color w:val="000000"/>
              </w:rPr>
              <w:t>Variable</w:t>
            </w:r>
          </w:p>
        </w:tc>
        <w:tc>
          <w:tcPr>
            <w:tcW w:w="5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27FF0" w14:textId="77777777" w:rsidR="00DF7421" w:rsidRPr="00C868F2" w:rsidRDefault="00DF7421" w:rsidP="009D1B1A">
            <w:pPr>
              <w:jc w:val="center"/>
              <w:rPr>
                <w:b/>
                <w:bCs/>
                <w:color w:val="000000"/>
              </w:rPr>
            </w:pPr>
            <w:r w:rsidRPr="00C868F2">
              <w:rPr>
                <w:b/>
                <w:bCs/>
                <w:color w:val="000000"/>
              </w:rPr>
              <w:t>Description</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30436" w14:textId="77777777" w:rsidR="00DF7421" w:rsidRPr="00C868F2" w:rsidRDefault="00DF7421" w:rsidP="009D1B1A">
            <w:pPr>
              <w:jc w:val="center"/>
              <w:rPr>
                <w:b/>
                <w:bCs/>
                <w:color w:val="000000"/>
              </w:rPr>
            </w:pPr>
            <w:r w:rsidRPr="00C868F2">
              <w:rPr>
                <w:b/>
                <w:bCs/>
                <w:color w:val="000000"/>
              </w:rPr>
              <w:t>Value</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56647" w14:textId="77777777" w:rsidR="00DF7421" w:rsidRPr="00C868F2" w:rsidRDefault="00DF7421" w:rsidP="009D1B1A">
            <w:pPr>
              <w:jc w:val="center"/>
              <w:rPr>
                <w:b/>
                <w:bCs/>
                <w:color w:val="000000"/>
              </w:rPr>
            </w:pPr>
            <w:r w:rsidRPr="00C868F2">
              <w:rPr>
                <w:b/>
                <w:bCs/>
                <w:color w:val="000000"/>
              </w:rPr>
              <w:t>Source</w:t>
            </w:r>
          </w:p>
        </w:tc>
      </w:tr>
      <w:tr w:rsidR="00DF7421" w:rsidRPr="00C868F2" w14:paraId="735719BD" w14:textId="77777777" w:rsidTr="009D1B1A">
        <w:trPr>
          <w:trHeight w:val="393"/>
          <w:jc w:val="center"/>
        </w:trPr>
        <w:tc>
          <w:tcPr>
            <w:tcW w:w="92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8A239C" w14:textId="77777777" w:rsidR="00DF7421" w:rsidRPr="00C868F2" w:rsidRDefault="00DF7421" w:rsidP="009D1B1A">
            <w:pPr>
              <w:jc w:val="center"/>
              <w:rPr>
                <w:i/>
                <w:iCs/>
                <w:color w:val="000000"/>
              </w:rPr>
            </w:pPr>
            <w:r w:rsidRPr="00C868F2">
              <w:rPr>
                <w:i/>
                <w:iCs/>
                <w:color w:val="000000"/>
              </w:rPr>
              <w:t>Sh</w:t>
            </w:r>
          </w:p>
        </w:tc>
        <w:tc>
          <w:tcPr>
            <w:tcW w:w="572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4F0FD" w14:textId="77777777" w:rsidR="00DF7421" w:rsidRPr="00C868F2" w:rsidRDefault="00DF7421" w:rsidP="009D1B1A">
            <w:pPr>
              <w:jc w:val="center"/>
              <w:rPr>
                <w:color w:val="000000"/>
              </w:rPr>
            </w:pPr>
            <w:r w:rsidRPr="00C868F2">
              <w:rPr>
                <w:color w:val="000000"/>
              </w:rPr>
              <w:t>annual savings due to the SCS reducing hospitalizations for overdose</w:t>
            </w:r>
          </w:p>
        </w:tc>
        <w:tc>
          <w:tcPr>
            <w:tcW w:w="11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1DE12B" w14:textId="319754E0" w:rsidR="00DF7421" w:rsidRPr="00C868F2" w:rsidRDefault="00DF7421" w:rsidP="009D1B1A">
            <w:pPr>
              <w:jc w:val="center"/>
              <w:rPr>
                <w:b/>
                <w:bCs/>
                <w:color w:val="000000"/>
              </w:rPr>
            </w:pPr>
            <w:r w:rsidRPr="00C868F2">
              <w:rPr>
                <w:b/>
                <w:bCs/>
                <w:color w:val="000000"/>
              </w:rPr>
              <w:t>$398,193.41</w:t>
            </w:r>
          </w:p>
        </w:tc>
        <w:tc>
          <w:tcPr>
            <w:tcW w:w="21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53FE7F" w14:textId="77777777" w:rsidR="00DF7421" w:rsidRPr="00C868F2" w:rsidRDefault="00DF7421" w:rsidP="009D1B1A">
            <w:pPr>
              <w:jc w:val="center"/>
              <w:rPr>
                <w:color w:val="000000"/>
              </w:rPr>
            </w:pPr>
            <w:r w:rsidRPr="00C868F2">
              <w:rPr>
                <w:color w:val="000000"/>
              </w:rPr>
              <w:t>(Irwin et al., 2017)</w:t>
            </w:r>
          </w:p>
        </w:tc>
      </w:tr>
      <w:tr w:rsidR="00DF7421" w:rsidRPr="00C868F2" w14:paraId="7EB4511D" w14:textId="77777777" w:rsidTr="009D1B1A">
        <w:trPr>
          <w:trHeight w:val="393"/>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34C10" w14:textId="77777777" w:rsidR="00DF7421" w:rsidRPr="00C868F2" w:rsidRDefault="00DF7421" w:rsidP="009D1B1A">
            <w:pPr>
              <w:jc w:val="center"/>
              <w:rPr>
                <w:i/>
                <w:iCs/>
                <w:color w:val="000000"/>
              </w:rPr>
            </w:pPr>
            <w:r w:rsidRPr="00C868F2">
              <w:rPr>
                <w:i/>
                <w:iCs/>
                <w:color w:val="000000"/>
              </w:rPr>
              <w:t>I</w:t>
            </w:r>
          </w:p>
        </w:tc>
        <w:tc>
          <w:tcPr>
            <w:tcW w:w="5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EAF1" w14:textId="77777777" w:rsidR="00DF7421" w:rsidRPr="00C868F2" w:rsidRDefault="00DF7421" w:rsidP="009D1B1A">
            <w:pPr>
              <w:jc w:val="center"/>
              <w:rPr>
                <w:color w:val="000000"/>
              </w:rPr>
            </w:pPr>
            <w:r w:rsidRPr="00C868F2">
              <w:rPr>
                <w:color w:val="000000"/>
              </w:rPr>
              <w:t>annual number of injections in the SCS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CD08" w14:textId="77777777" w:rsidR="00DF7421" w:rsidRPr="00C868F2" w:rsidRDefault="00DF7421" w:rsidP="009D1B1A">
            <w:pPr>
              <w:jc w:val="center"/>
              <w:rPr>
                <w:color w:val="000000"/>
              </w:rPr>
            </w:pPr>
            <w:r w:rsidRPr="00C868F2">
              <w:rPr>
                <w:color w:val="000000"/>
              </w:rPr>
              <w:t>170,731</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8F8F" w14:textId="51EC4112" w:rsidR="00DF7421" w:rsidRPr="00C868F2" w:rsidRDefault="00372454" w:rsidP="009D1B1A">
            <w:pPr>
              <w:jc w:val="center"/>
              <w:rPr>
                <w:color w:val="000000"/>
              </w:rPr>
            </w:pPr>
            <w:hyperlink r:id="rId14" w:history="1">
              <w:r w:rsidR="00DF7421" w:rsidRPr="00C868F2">
                <w:rPr>
                  <w:color w:val="000000"/>
                </w:rPr>
                <w:t>(</w:t>
              </w:r>
              <w:r w:rsidR="00B512DB">
                <w:rPr>
                  <w:color w:val="000000"/>
                </w:rPr>
                <w:t>Insite</w:t>
              </w:r>
              <w:r w:rsidR="00DF7421" w:rsidRPr="00C868F2">
                <w:rPr>
                  <w:color w:val="000000"/>
                </w:rPr>
                <w:t>, 2019)</w:t>
              </w:r>
            </w:hyperlink>
          </w:p>
        </w:tc>
      </w:tr>
      <w:tr w:rsidR="00DF7421" w:rsidRPr="00C868F2" w14:paraId="0BB89C23" w14:textId="77777777" w:rsidTr="009D1B1A">
        <w:trPr>
          <w:trHeight w:val="393"/>
          <w:jc w:val="center"/>
        </w:trPr>
        <w:tc>
          <w:tcPr>
            <w:tcW w:w="92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98C283" w14:textId="77777777" w:rsidR="00DF7421" w:rsidRPr="00C868F2" w:rsidRDefault="00DF7421" w:rsidP="009D1B1A">
            <w:pPr>
              <w:jc w:val="center"/>
              <w:rPr>
                <w:i/>
                <w:iCs/>
                <w:color w:val="000000"/>
              </w:rPr>
            </w:pPr>
            <w:r w:rsidRPr="00C868F2">
              <w:rPr>
                <w:i/>
                <w:iCs/>
                <w:color w:val="000000"/>
              </w:rPr>
              <w:t>o</w:t>
            </w:r>
          </w:p>
        </w:tc>
        <w:tc>
          <w:tcPr>
            <w:tcW w:w="572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6B1AE5" w14:textId="77777777" w:rsidR="00DF7421" w:rsidRPr="00C868F2" w:rsidRDefault="00DF7421" w:rsidP="009D1B1A">
            <w:pPr>
              <w:jc w:val="center"/>
              <w:rPr>
                <w:color w:val="000000"/>
              </w:rPr>
            </w:pPr>
            <w:r w:rsidRPr="00C868F2">
              <w:rPr>
                <w:color w:val="000000"/>
              </w:rPr>
              <w:t>the per-injection rate of overdose</w:t>
            </w:r>
          </w:p>
        </w:tc>
        <w:tc>
          <w:tcPr>
            <w:tcW w:w="11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F38DF8" w14:textId="77777777" w:rsidR="00DF7421" w:rsidRPr="00C868F2" w:rsidRDefault="00DF7421" w:rsidP="009D1B1A">
            <w:pPr>
              <w:jc w:val="center"/>
              <w:rPr>
                <w:color w:val="000000"/>
              </w:rPr>
            </w:pPr>
            <w:r w:rsidRPr="00C868F2">
              <w:rPr>
                <w:color w:val="000000"/>
              </w:rPr>
              <w:t>0.77%</w:t>
            </w:r>
          </w:p>
        </w:tc>
        <w:tc>
          <w:tcPr>
            <w:tcW w:w="21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9A4792" w14:textId="7BF6E08E" w:rsidR="00DF7421" w:rsidRPr="00C868F2" w:rsidRDefault="00372454" w:rsidP="009D1B1A">
            <w:pPr>
              <w:jc w:val="center"/>
              <w:rPr>
                <w:color w:val="000000"/>
              </w:rPr>
            </w:pPr>
            <w:hyperlink r:id="rId15" w:history="1">
              <w:r w:rsidR="00DF7421" w:rsidRPr="00C868F2">
                <w:rPr>
                  <w:color w:val="000000"/>
                </w:rPr>
                <w:t>(</w:t>
              </w:r>
              <w:r w:rsidR="00B512DB">
                <w:rPr>
                  <w:color w:val="000000"/>
                </w:rPr>
                <w:t>Insite</w:t>
              </w:r>
              <w:r w:rsidR="00DF7421" w:rsidRPr="00C868F2">
                <w:rPr>
                  <w:color w:val="000000"/>
                </w:rPr>
                <w:t>, 2019)</w:t>
              </w:r>
            </w:hyperlink>
          </w:p>
        </w:tc>
      </w:tr>
      <w:tr w:rsidR="00DF7421" w:rsidRPr="00C868F2" w14:paraId="5815A176" w14:textId="77777777" w:rsidTr="009D1B1A">
        <w:trPr>
          <w:trHeight w:val="393"/>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9400" w14:textId="77777777" w:rsidR="00DF7421" w:rsidRPr="00C868F2" w:rsidRDefault="00DF7421" w:rsidP="009D1B1A">
            <w:pPr>
              <w:jc w:val="center"/>
              <w:rPr>
                <w:i/>
                <w:iCs/>
                <w:color w:val="000000"/>
              </w:rPr>
            </w:pPr>
            <w:r w:rsidRPr="00C868F2">
              <w:rPr>
                <w:i/>
                <w:iCs/>
                <w:color w:val="000000"/>
              </w:rPr>
              <w:t>a0</w:t>
            </w:r>
          </w:p>
        </w:tc>
        <w:tc>
          <w:tcPr>
            <w:tcW w:w="5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CA10F" w14:textId="77777777" w:rsidR="00DF7421" w:rsidRPr="00C868F2" w:rsidRDefault="00DF7421" w:rsidP="009D1B1A">
            <w:pPr>
              <w:jc w:val="center"/>
              <w:rPr>
                <w:color w:val="000000"/>
              </w:rPr>
            </w:pPr>
            <w:r w:rsidRPr="00C868F2">
              <w:rPr>
                <w:color w:val="000000"/>
              </w:rPr>
              <w:t>rates of hospitalization for overdose when the overdose occurs outside SCS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BAD37" w14:textId="77777777" w:rsidR="00DF7421" w:rsidRPr="00C868F2" w:rsidRDefault="00DF7421" w:rsidP="009D1B1A">
            <w:pPr>
              <w:jc w:val="center"/>
              <w:rPr>
                <w:color w:val="000000"/>
              </w:rPr>
            </w:pPr>
            <w:r w:rsidRPr="00C868F2">
              <w:rPr>
                <w:color w:val="000000"/>
              </w:rPr>
              <w:t>12%</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0FF0E" w14:textId="77777777" w:rsidR="00DF7421" w:rsidRPr="00C868F2" w:rsidRDefault="00DF7421" w:rsidP="009D1B1A">
            <w:pPr>
              <w:jc w:val="center"/>
              <w:rPr>
                <w:color w:val="000000"/>
              </w:rPr>
            </w:pPr>
            <w:r w:rsidRPr="00C868F2">
              <w:rPr>
                <w:color w:val="000000"/>
              </w:rPr>
              <w:t>Pollini et al., 2006)</w:t>
            </w:r>
          </w:p>
        </w:tc>
      </w:tr>
      <w:tr w:rsidR="00DF7421" w:rsidRPr="00C868F2" w14:paraId="650C0D01" w14:textId="77777777" w:rsidTr="009D1B1A">
        <w:trPr>
          <w:trHeight w:val="393"/>
          <w:jc w:val="center"/>
        </w:trPr>
        <w:tc>
          <w:tcPr>
            <w:tcW w:w="92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E022DA" w14:textId="77777777" w:rsidR="00DF7421" w:rsidRPr="00C868F2" w:rsidRDefault="00DF7421" w:rsidP="009D1B1A">
            <w:pPr>
              <w:jc w:val="center"/>
              <w:rPr>
                <w:i/>
                <w:iCs/>
                <w:color w:val="000000"/>
              </w:rPr>
            </w:pPr>
            <w:r w:rsidRPr="00C868F2">
              <w:rPr>
                <w:i/>
                <w:iCs/>
                <w:color w:val="000000"/>
              </w:rPr>
              <w:t>ai</w:t>
            </w:r>
          </w:p>
        </w:tc>
        <w:tc>
          <w:tcPr>
            <w:tcW w:w="572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A5F01E" w14:textId="77777777" w:rsidR="00DF7421" w:rsidRPr="00C868F2" w:rsidRDefault="00DF7421" w:rsidP="009D1B1A">
            <w:pPr>
              <w:jc w:val="center"/>
              <w:rPr>
                <w:color w:val="000000"/>
              </w:rPr>
            </w:pPr>
            <w:r w:rsidRPr="00C868F2">
              <w:rPr>
                <w:color w:val="000000"/>
              </w:rPr>
              <w:t>using ambulance call rate as an upper bound</w:t>
            </w:r>
          </w:p>
        </w:tc>
        <w:tc>
          <w:tcPr>
            <w:tcW w:w="119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F99075" w14:textId="77777777" w:rsidR="00DF7421" w:rsidRPr="00C868F2" w:rsidRDefault="00DF7421" w:rsidP="009D1B1A">
            <w:pPr>
              <w:jc w:val="center"/>
              <w:rPr>
                <w:color w:val="000000"/>
              </w:rPr>
            </w:pPr>
            <w:r w:rsidRPr="00C868F2">
              <w:rPr>
                <w:color w:val="000000"/>
              </w:rPr>
              <w:t>0.79%</w:t>
            </w:r>
          </w:p>
        </w:tc>
        <w:tc>
          <w:tcPr>
            <w:tcW w:w="215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279F03" w14:textId="77777777" w:rsidR="00DF7421" w:rsidRPr="00C868F2" w:rsidRDefault="00DF7421" w:rsidP="009D1B1A">
            <w:pPr>
              <w:jc w:val="center"/>
              <w:rPr>
                <w:color w:val="000000"/>
              </w:rPr>
            </w:pPr>
            <w:r w:rsidRPr="00C868F2">
              <w:rPr>
                <w:color w:val="000000"/>
              </w:rPr>
              <w:t>(Irwin et al., 2017)</w:t>
            </w:r>
          </w:p>
        </w:tc>
      </w:tr>
      <w:tr w:rsidR="00DF7421" w:rsidRPr="00C868F2" w14:paraId="7F694AFC" w14:textId="77777777" w:rsidTr="009D1B1A">
        <w:trPr>
          <w:trHeight w:val="393"/>
          <w:jc w:val="center"/>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BD42E" w14:textId="77777777" w:rsidR="00DF7421" w:rsidRPr="00C868F2" w:rsidRDefault="00DF7421" w:rsidP="009D1B1A">
            <w:pPr>
              <w:jc w:val="center"/>
              <w:rPr>
                <w:i/>
                <w:iCs/>
                <w:color w:val="000000"/>
              </w:rPr>
            </w:pPr>
            <w:r w:rsidRPr="00C868F2">
              <w:rPr>
                <w:i/>
                <w:iCs/>
                <w:color w:val="000000"/>
              </w:rPr>
              <w:t>E</w:t>
            </w:r>
          </w:p>
        </w:tc>
        <w:tc>
          <w:tcPr>
            <w:tcW w:w="5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7A301" w14:textId="159FE0FB" w:rsidR="00DF7421" w:rsidRPr="00C868F2" w:rsidRDefault="00DF7421" w:rsidP="009D1B1A">
            <w:pPr>
              <w:jc w:val="center"/>
              <w:rPr>
                <w:color w:val="000000"/>
              </w:rPr>
            </w:pPr>
            <w:r w:rsidRPr="00C868F2">
              <w:rPr>
                <w:color w:val="000000"/>
              </w:rPr>
              <w:t>the average cost of an overdose emergency room visit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4358" w14:textId="3186BB3A" w:rsidR="00DF7421" w:rsidRPr="00C868F2" w:rsidRDefault="00DF7421" w:rsidP="009D1B1A">
            <w:pPr>
              <w:jc w:val="center"/>
              <w:rPr>
                <w:color w:val="000000"/>
              </w:rPr>
            </w:pPr>
            <w:r w:rsidRPr="00C868F2">
              <w:rPr>
                <w:color w:val="000000"/>
              </w:rPr>
              <w:t>$2,702</w:t>
            </w: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429D" w14:textId="77777777" w:rsidR="00DF7421" w:rsidRPr="00C868F2" w:rsidRDefault="00372454" w:rsidP="009D1B1A">
            <w:pPr>
              <w:jc w:val="center"/>
              <w:rPr>
                <w:color w:val="000000"/>
              </w:rPr>
            </w:pPr>
            <w:hyperlink r:id="rId16" w:history="1">
              <w:r w:rsidR="00DF7421" w:rsidRPr="00C868F2">
                <w:rPr>
                  <w:color w:val="000000"/>
                </w:rPr>
                <w:t>(Ellison, n.d.)</w:t>
              </w:r>
            </w:hyperlink>
          </w:p>
        </w:tc>
      </w:tr>
    </w:tbl>
    <w:p w14:paraId="40246A85" w14:textId="77777777" w:rsidR="00F04F2F" w:rsidRPr="00C868F2" w:rsidRDefault="00F04F2F" w:rsidP="009D1B1A">
      <w:pPr>
        <w:spacing w:line="480" w:lineRule="auto"/>
        <w:jc w:val="center"/>
        <w:rPr>
          <w:b/>
          <w:bCs/>
          <w:color w:val="000000" w:themeColor="text1"/>
        </w:rPr>
      </w:pPr>
    </w:p>
    <w:p w14:paraId="026BB7A0" w14:textId="77777777" w:rsidR="00433AA4" w:rsidRDefault="00433AA4" w:rsidP="009D1B1A">
      <w:pPr>
        <w:spacing w:line="480" w:lineRule="auto"/>
        <w:rPr>
          <w:b/>
          <w:bCs/>
          <w:color w:val="000000" w:themeColor="text1"/>
        </w:rPr>
      </w:pPr>
    </w:p>
    <w:p w14:paraId="7BC22E67" w14:textId="0481CB95" w:rsidR="00CD1DDF" w:rsidRPr="00C868F2" w:rsidRDefault="007804A5" w:rsidP="009D1B1A">
      <w:pPr>
        <w:spacing w:line="480" w:lineRule="auto"/>
        <w:rPr>
          <w:b/>
          <w:bCs/>
          <w:color w:val="000000" w:themeColor="text1"/>
        </w:rPr>
      </w:pPr>
      <w:r w:rsidRPr="00C868F2">
        <w:rPr>
          <w:b/>
          <w:bCs/>
          <w:color w:val="000000" w:themeColor="text1"/>
        </w:rPr>
        <w:lastRenderedPageBreak/>
        <w:t xml:space="preserve">Appendix </w:t>
      </w:r>
      <w:r w:rsidR="00433AA4">
        <w:rPr>
          <w:b/>
          <w:bCs/>
          <w:color w:val="000000" w:themeColor="text1"/>
        </w:rPr>
        <w:t>G</w:t>
      </w:r>
    </w:p>
    <w:tbl>
      <w:tblPr>
        <w:tblW w:w="10108" w:type="dxa"/>
        <w:jc w:val="center"/>
        <w:tblLook w:val="04A0" w:firstRow="1" w:lastRow="0" w:firstColumn="1" w:lastColumn="0" w:noHBand="0" w:noVBand="1"/>
      </w:tblPr>
      <w:tblGrid>
        <w:gridCol w:w="1110"/>
        <w:gridCol w:w="5897"/>
        <w:gridCol w:w="1416"/>
        <w:gridCol w:w="1940"/>
      </w:tblGrid>
      <w:tr w:rsidR="00DD438C" w:rsidRPr="00C868F2" w14:paraId="16CDCCA7" w14:textId="77777777" w:rsidTr="009D1B1A">
        <w:trPr>
          <w:trHeight w:val="31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6F0F4" w14:textId="77777777" w:rsidR="00DD438C" w:rsidRPr="00C868F2" w:rsidRDefault="00DD438C" w:rsidP="009D1B1A">
            <w:pPr>
              <w:jc w:val="center"/>
              <w:rPr>
                <w:b/>
                <w:bCs/>
                <w:color w:val="000000"/>
              </w:rPr>
            </w:pPr>
            <w:r w:rsidRPr="00C868F2">
              <w:rPr>
                <w:b/>
                <w:bCs/>
                <w:color w:val="000000"/>
              </w:rPr>
              <w:t>Variable</w:t>
            </w:r>
          </w:p>
        </w:tc>
        <w:tc>
          <w:tcPr>
            <w:tcW w:w="5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69649" w14:textId="77777777" w:rsidR="00DD438C" w:rsidRPr="00C868F2" w:rsidRDefault="00DD438C" w:rsidP="009D1B1A">
            <w:pPr>
              <w:jc w:val="center"/>
              <w:rPr>
                <w:b/>
                <w:bCs/>
                <w:color w:val="000000"/>
              </w:rPr>
            </w:pPr>
            <w:r w:rsidRPr="00C868F2">
              <w:rPr>
                <w:b/>
                <w:bCs/>
                <w:color w:val="000000"/>
              </w:rPr>
              <w:t>Description</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399A" w14:textId="77777777" w:rsidR="00DD438C" w:rsidRPr="00C868F2" w:rsidRDefault="00DD438C" w:rsidP="009D1B1A">
            <w:pPr>
              <w:jc w:val="center"/>
              <w:rPr>
                <w:b/>
                <w:bCs/>
                <w:color w:val="000000"/>
              </w:rPr>
            </w:pPr>
            <w:r w:rsidRPr="00C868F2">
              <w:rPr>
                <w:b/>
                <w:bCs/>
                <w:color w:val="000000"/>
              </w:rPr>
              <w:t>Value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7C93" w14:textId="77777777" w:rsidR="00DD438C" w:rsidRPr="00C868F2" w:rsidRDefault="00DD438C" w:rsidP="009D1B1A">
            <w:pPr>
              <w:jc w:val="center"/>
              <w:rPr>
                <w:b/>
                <w:bCs/>
                <w:color w:val="000000"/>
              </w:rPr>
            </w:pPr>
            <w:r w:rsidRPr="00C868F2">
              <w:rPr>
                <w:b/>
                <w:bCs/>
                <w:color w:val="000000"/>
              </w:rPr>
              <w:t>Source</w:t>
            </w:r>
          </w:p>
        </w:tc>
      </w:tr>
      <w:tr w:rsidR="00DD438C" w:rsidRPr="00C868F2" w14:paraId="092742E3" w14:textId="77777777" w:rsidTr="009D1B1A">
        <w:trPr>
          <w:trHeight w:val="315"/>
          <w:jc w:val="center"/>
        </w:trPr>
        <w:tc>
          <w:tcPr>
            <w:tcW w:w="109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30CD73" w14:textId="77777777" w:rsidR="00DD438C" w:rsidRPr="00C868F2" w:rsidRDefault="00DD438C" w:rsidP="009D1B1A">
            <w:pPr>
              <w:jc w:val="center"/>
              <w:rPr>
                <w:i/>
                <w:iCs/>
                <w:color w:val="000000"/>
              </w:rPr>
            </w:pPr>
            <w:r w:rsidRPr="00C868F2">
              <w:rPr>
                <w:i/>
                <w:iCs/>
                <w:color w:val="000000"/>
              </w:rPr>
              <w:t>Smat</w:t>
            </w:r>
          </w:p>
        </w:tc>
        <w:tc>
          <w:tcPr>
            <w:tcW w:w="58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46AA1E" w14:textId="18C962D6" w:rsidR="00DD438C" w:rsidRPr="00C868F2" w:rsidRDefault="00DD438C" w:rsidP="009D1B1A">
            <w:pPr>
              <w:jc w:val="center"/>
              <w:rPr>
                <w:color w:val="000000"/>
              </w:rPr>
            </w:pPr>
            <w:r w:rsidRPr="00C868F2">
              <w:rPr>
                <w:color w:val="000000"/>
              </w:rPr>
              <w:t>annual health care and crime savings</w:t>
            </w:r>
          </w:p>
        </w:tc>
        <w:tc>
          <w:tcPr>
            <w:tcW w:w="117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F905C3" w14:textId="77777777" w:rsidR="00DD438C" w:rsidRPr="00C868F2" w:rsidRDefault="00DD438C" w:rsidP="009D1B1A">
            <w:pPr>
              <w:jc w:val="center"/>
              <w:rPr>
                <w:b/>
                <w:bCs/>
                <w:color w:val="000000"/>
              </w:rPr>
            </w:pPr>
            <w:r w:rsidRPr="00C868F2">
              <w:rPr>
                <w:b/>
                <w:bCs/>
                <w:color w:val="000000"/>
              </w:rPr>
              <w:t>$943,122.60</w:t>
            </w:r>
          </w:p>
        </w:tc>
        <w:tc>
          <w:tcPr>
            <w:tcW w:w="1940" w:type="dxa"/>
            <w:tcBorders>
              <w:top w:val="single" w:sz="4" w:space="0" w:color="auto"/>
              <w:left w:val="nil"/>
              <w:bottom w:val="single" w:sz="4" w:space="0" w:color="auto"/>
              <w:right w:val="single" w:sz="4" w:space="0" w:color="auto"/>
            </w:tcBorders>
            <w:shd w:val="clear" w:color="D9D9D9" w:fill="D9D9D9"/>
            <w:noWrap/>
            <w:vAlign w:val="center"/>
            <w:hideMark/>
          </w:tcPr>
          <w:p w14:paraId="6C5EBA8A" w14:textId="77777777" w:rsidR="00DD438C" w:rsidRPr="00C868F2" w:rsidRDefault="00DD438C" w:rsidP="009D1B1A">
            <w:pPr>
              <w:jc w:val="center"/>
              <w:rPr>
                <w:color w:val="000000"/>
              </w:rPr>
            </w:pPr>
            <w:r w:rsidRPr="00C868F2">
              <w:rPr>
                <w:color w:val="000000"/>
              </w:rPr>
              <w:t>(Irwin et al., 2017)</w:t>
            </w:r>
          </w:p>
        </w:tc>
      </w:tr>
      <w:tr w:rsidR="00DD438C" w:rsidRPr="00C868F2" w14:paraId="5B5CF5A2" w14:textId="77777777" w:rsidTr="009D1B1A">
        <w:trPr>
          <w:trHeight w:val="31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DBC22" w14:textId="77777777" w:rsidR="00DD438C" w:rsidRPr="00C868F2" w:rsidRDefault="00DD438C" w:rsidP="009D1B1A">
            <w:pPr>
              <w:jc w:val="center"/>
              <w:rPr>
                <w:i/>
                <w:iCs/>
                <w:color w:val="000000"/>
              </w:rPr>
            </w:pPr>
            <w:r w:rsidRPr="00C868F2">
              <w:rPr>
                <w:i/>
                <w:iCs/>
                <w:color w:val="000000"/>
              </w:rPr>
              <w:t>N</w:t>
            </w:r>
          </w:p>
        </w:tc>
        <w:tc>
          <w:tcPr>
            <w:tcW w:w="5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72AA2" w14:textId="42A7216D" w:rsidR="00DD438C" w:rsidRPr="00C868F2" w:rsidRDefault="00DD438C" w:rsidP="009D1B1A">
            <w:pPr>
              <w:jc w:val="center"/>
              <w:rPr>
                <w:color w:val="000000"/>
              </w:rPr>
            </w:pPr>
            <w:r w:rsidRPr="00C868F2">
              <w:rPr>
                <w:color w:val="000000"/>
              </w:rPr>
              <w:t xml:space="preserve">number of monthly unique </w:t>
            </w:r>
            <w:r w:rsidR="00B512DB">
              <w:rPr>
                <w:color w:val="000000"/>
              </w:rPr>
              <w:t>Insite</w:t>
            </w:r>
            <w:r w:rsidRPr="00C868F2">
              <w:rPr>
                <w:color w:val="000000"/>
              </w:rPr>
              <w:t xml:space="preserve"> injection room clients</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B7139" w14:textId="77777777" w:rsidR="00DD438C" w:rsidRPr="00C868F2" w:rsidRDefault="00DD438C" w:rsidP="009D1B1A">
            <w:pPr>
              <w:jc w:val="center"/>
              <w:rPr>
                <w:color w:val="000000"/>
              </w:rPr>
            </w:pPr>
            <w:r w:rsidRPr="00C868F2">
              <w:rPr>
                <w:color w:val="000000"/>
              </w:rPr>
              <w:t>2100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A9398E3" w14:textId="77777777" w:rsidR="00DD438C" w:rsidRPr="00C868F2" w:rsidRDefault="00DD438C" w:rsidP="009D1B1A">
            <w:pPr>
              <w:jc w:val="center"/>
              <w:rPr>
                <w:color w:val="000000"/>
              </w:rPr>
            </w:pPr>
            <w:r w:rsidRPr="00C868F2">
              <w:rPr>
                <w:color w:val="000000"/>
              </w:rPr>
              <w:t>(Irwin et al., 2017)</w:t>
            </w:r>
          </w:p>
        </w:tc>
      </w:tr>
      <w:tr w:rsidR="00DD438C" w:rsidRPr="00C868F2" w14:paraId="77C4F001" w14:textId="77777777" w:rsidTr="009D1B1A">
        <w:trPr>
          <w:trHeight w:val="315"/>
          <w:jc w:val="center"/>
        </w:trPr>
        <w:tc>
          <w:tcPr>
            <w:tcW w:w="109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483866" w14:textId="77777777" w:rsidR="00DD438C" w:rsidRPr="00C868F2" w:rsidRDefault="00DD438C" w:rsidP="009D1B1A">
            <w:pPr>
              <w:jc w:val="center"/>
              <w:rPr>
                <w:i/>
                <w:iCs/>
                <w:color w:val="000000"/>
              </w:rPr>
            </w:pPr>
            <w:r w:rsidRPr="00C868F2">
              <w:rPr>
                <w:i/>
                <w:iCs/>
                <w:color w:val="000000"/>
              </w:rPr>
              <w:t>r</w:t>
            </w:r>
          </w:p>
        </w:tc>
        <w:tc>
          <w:tcPr>
            <w:tcW w:w="58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A84DCA" w14:textId="089807EC" w:rsidR="00DD438C" w:rsidRPr="00C868F2" w:rsidRDefault="00944B71" w:rsidP="009D1B1A">
            <w:pPr>
              <w:jc w:val="center"/>
              <w:rPr>
                <w:color w:val="000000"/>
              </w:rPr>
            </w:pPr>
            <w:r w:rsidRPr="00C868F2">
              <w:rPr>
                <w:color w:val="000000"/>
              </w:rPr>
              <w:t>%</w:t>
            </w:r>
            <w:r w:rsidR="00DD438C" w:rsidRPr="00C868F2">
              <w:rPr>
                <w:color w:val="000000"/>
              </w:rPr>
              <w:t>of SCS users who access MAT as a result of SCS referrals</w:t>
            </w:r>
          </w:p>
        </w:tc>
        <w:tc>
          <w:tcPr>
            <w:tcW w:w="117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BD02B8" w14:textId="77777777" w:rsidR="00DD438C" w:rsidRPr="00C868F2" w:rsidRDefault="00DD438C" w:rsidP="009D1B1A">
            <w:pPr>
              <w:jc w:val="center"/>
              <w:rPr>
                <w:color w:val="000000"/>
              </w:rPr>
            </w:pPr>
            <w:r w:rsidRPr="00C868F2">
              <w:rPr>
                <w:color w:val="000000"/>
              </w:rPr>
              <w:t>5.78%</w:t>
            </w:r>
          </w:p>
        </w:tc>
        <w:tc>
          <w:tcPr>
            <w:tcW w:w="1940" w:type="dxa"/>
            <w:tcBorders>
              <w:top w:val="single" w:sz="4" w:space="0" w:color="auto"/>
              <w:left w:val="nil"/>
              <w:bottom w:val="single" w:sz="4" w:space="0" w:color="auto"/>
              <w:right w:val="single" w:sz="4" w:space="0" w:color="auto"/>
            </w:tcBorders>
            <w:shd w:val="clear" w:color="D9D9D9" w:fill="D9D9D9"/>
            <w:noWrap/>
            <w:vAlign w:val="center"/>
            <w:hideMark/>
          </w:tcPr>
          <w:p w14:paraId="221E197F" w14:textId="77777777" w:rsidR="00DD438C" w:rsidRPr="00C868F2" w:rsidRDefault="00DD438C" w:rsidP="009D1B1A">
            <w:pPr>
              <w:jc w:val="center"/>
              <w:rPr>
                <w:color w:val="000000"/>
              </w:rPr>
            </w:pPr>
            <w:r w:rsidRPr="00C868F2">
              <w:rPr>
                <w:color w:val="000000"/>
              </w:rPr>
              <w:t>(MSIC, 2003)</w:t>
            </w:r>
          </w:p>
        </w:tc>
      </w:tr>
      <w:tr w:rsidR="00DD438C" w:rsidRPr="00C868F2" w14:paraId="7226345A" w14:textId="77777777" w:rsidTr="009D1B1A">
        <w:trPr>
          <w:trHeight w:val="31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5285" w14:textId="77777777" w:rsidR="00DD438C" w:rsidRPr="00C868F2" w:rsidRDefault="00DD438C" w:rsidP="009D1B1A">
            <w:pPr>
              <w:jc w:val="center"/>
              <w:rPr>
                <w:i/>
                <w:iCs/>
                <w:color w:val="000000"/>
              </w:rPr>
            </w:pPr>
            <w:r w:rsidRPr="00C868F2">
              <w:rPr>
                <w:i/>
                <w:iCs/>
                <w:color w:val="000000"/>
              </w:rPr>
              <w:t>f</w:t>
            </w:r>
          </w:p>
        </w:tc>
        <w:tc>
          <w:tcPr>
            <w:tcW w:w="5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29168" w14:textId="457EF835" w:rsidR="00DD438C" w:rsidRPr="00C868F2" w:rsidRDefault="00DD438C" w:rsidP="009D1B1A">
            <w:pPr>
              <w:jc w:val="center"/>
              <w:rPr>
                <w:color w:val="000000"/>
              </w:rPr>
            </w:pPr>
            <w:r w:rsidRPr="00C868F2">
              <w:rPr>
                <w:color w:val="000000"/>
              </w:rPr>
              <w:t xml:space="preserve">treatment retention factor (low and high end 37% </w:t>
            </w:r>
            <w:r w:rsidR="00376B24" w:rsidRPr="00C868F2">
              <w:rPr>
                <w:color w:val="000000"/>
              </w:rPr>
              <w:t>-</w:t>
            </w:r>
            <w:r w:rsidRPr="00C868F2">
              <w:rPr>
                <w:color w:val="000000"/>
              </w:rPr>
              <w:t>94%)</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11B80" w14:textId="77777777" w:rsidR="00DD438C" w:rsidRPr="00C868F2" w:rsidRDefault="00DD438C" w:rsidP="009D1B1A">
            <w:pPr>
              <w:jc w:val="center"/>
              <w:rPr>
                <w:color w:val="000000"/>
              </w:rPr>
            </w:pPr>
            <w:r w:rsidRPr="00C868F2">
              <w:rPr>
                <w:color w:val="000000"/>
              </w:rPr>
              <w:t>37%</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998B35F" w14:textId="77777777" w:rsidR="00DD438C" w:rsidRPr="00C868F2" w:rsidRDefault="00DD438C" w:rsidP="009D1B1A">
            <w:pPr>
              <w:jc w:val="center"/>
              <w:rPr>
                <w:color w:val="000000"/>
              </w:rPr>
            </w:pPr>
            <w:r w:rsidRPr="00C868F2">
              <w:rPr>
                <w:color w:val="000000"/>
              </w:rPr>
              <w:t>(Timko, et al., 2015)</w:t>
            </w:r>
          </w:p>
        </w:tc>
      </w:tr>
      <w:tr w:rsidR="00DD438C" w:rsidRPr="00C868F2" w14:paraId="388F8233" w14:textId="77777777" w:rsidTr="009D1B1A">
        <w:trPr>
          <w:trHeight w:val="315"/>
          <w:jc w:val="center"/>
        </w:trPr>
        <w:tc>
          <w:tcPr>
            <w:tcW w:w="109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34FD0" w14:textId="77777777" w:rsidR="00DD438C" w:rsidRPr="00C868F2" w:rsidRDefault="00DD438C" w:rsidP="009D1B1A">
            <w:pPr>
              <w:jc w:val="center"/>
              <w:rPr>
                <w:i/>
                <w:iCs/>
                <w:color w:val="000000"/>
              </w:rPr>
            </w:pPr>
            <w:r w:rsidRPr="00C868F2">
              <w:rPr>
                <w:i/>
                <w:iCs/>
                <w:color w:val="000000"/>
              </w:rPr>
              <w:t>b</w:t>
            </w:r>
          </w:p>
        </w:tc>
        <w:tc>
          <w:tcPr>
            <w:tcW w:w="589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09C6CB" w14:textId="77777777" w:rsidR="00DD438C" w:rsidRPr="00C868F2" w:rsidRDefault="00DD438C" w:rsidP="009D1B1A">
            <w:pPr>
              <w:jc w:val="center"/>
              <w:rPr>
                <w:color w:val="000000"/>
              </w:rPr>
            </w:pPr>
            <w:r w:rsidRPr="00C868F2">
              <w:rPr>
                <w:color w:val="000000"/>
              </w:rPr>
              <w:t>cost benefit ratio for MAT</w:t>
            </w:r>
          </w:p>
        </w:tc>
        <w:tc>
          <w:tcPr>
            <w:tcW w:w="117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1C0043" w14:textId="77777777" w:rsidR="00DD438C" w:rsidRPr="00C868F2" w:rsidRDefault="00DD438C" w:rsidP="009D1B1A">
            <w:pPr>
              <w:jc w:val="center"/>
              <w:rPr>
                <w:color w:val="000000"/>
              </w:rPr>
            </w:pPr>
            <w:r w:rsidRPr="00C868F2">
              <w:rPr>
                <w:color w:val="000000"/>
              </w:rPr>
              <w:t>4.5</w:t>
            </w:r>
          </w:p>
        </w:tc>
        <w:tc>
          <w:tcPr>
            <w:tcW w:w="1940" w:type="dxa"/>
            <w:tcBorders>
              <w:top w:val="single" w:sz="4" w:space="0" w:color="auto"/>
              <w:left w:val="nil"/>
              <w:bottom w:val="single" w:sz="4" w:space="0" w:color="auto"/>
              <w:right w:val="single" w:sz="4" w:space="0" w:color="auto"/>
            </w:tcBorders>
            <w:shd w:val="clear" w:color="D9D9D9" w:fill="D9D9D9"/>
            <w:noWrap/>
            <w:vAlign w:val="center"/>
            <w:hideMark/>
          </w:tcPr>
          <w:p w14:paraId="5742CBC1" w14:textId="77777777" w:rsidR="00DD438C" w:rsidRPr="00C868F2" w:rsidRDefault="00DD438C" w:rsidP="009D1B1A">
            <w:pPr>
              <w:jc w:val="center"/>
              <w:rPr>
                <w:color w:val="000000"/>
              </w:rPr>
            </w:pPr>
            <w:r w:rsidRPr="00C868F2">
              <w:rPr>
                <w:color w:val="000000"/>
              </w:rPr>
              <w:t>(Irwin et al., 2017)</w:t>
            </w:r>
          </w:p>
        </w:tc>
      </w:tr>
      <w:tr w:rsidR="00DD438C" w:rsidRPr="00C868F2" w14:paraId="79A55421" w14:textId="77777777" w:rsidTr="009D1B1A">
        <w:trPr>
          <w:trHeight w:val="315"/>
          <w:jc w:val="center"/>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B30B" w14:textId="77777777" w:rsidR="00DD438C" w:rsidRPr="00C868F2" w:rsidRDefault="00DD438C" w:rsidP="009D1B1A">
            <w:pPr>
              <w:jc w:val="center"/>
              <w:rPr>
                <w:i/>
                <w:iCs/>
                <w:color w:val="000000"/>
              </w:rPr>
            </w:pPr>
            <w:r w:rsidRPr="00C868F2">
              <w:rPr>
                <w:i/>
                <w:iCs/>
                <w:color w:val="000000"/>
              </w:rPr>
              <w:t>T</w:t>
            </w:r>
          </w:p>
        </w:tc>
        <w:tc>
          <w:tcPr>
            <w:tcW w:w="5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A900" w14:textId="77777777" w:rsidR="00DD438C" w:rsidRPr="00C868F2" w:rsidRDefault="00DD438C" w:rsidP="009D1B1A">
            <w:pPr>
              <w:jc w:val="center"/>
              <w:rPr>
                <w:color w:val="000000"/>
              </w:rPr>
            </w:pPr>
            <w:r w:rsidRPr="00C868F2">
              <w:rPr>
                <w:color w:val="000000"/>
              </w:rPr>
              <w:t>average cost of 1 year of MAT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F5685" w14:textId="77777777" w:rsidR="00DD438C" w:rsidRPr="00C868F2" w:rsidRDefault="00DD438C" w:rsidP="009D1B1A">
            <w:pPr>
              <w:jc w:val="center"/>
              <w:rPr>
                <w:color w:val="000000"/>
              </w:rPr>
            </w:pPr>
            <w:r w:rsidRPr="00C868F2">
              <w:rPr>
                <w:color w:val="000000"/>
              </w:rPr>
              <w:t>$6,000.00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016E6E9" w14:textId="77777777" w:rsidR="00DD438C" w:rsidRPr="00C868F2" w:rsidRDefault="00DD438C" w:rsidP="009D1B1A">
            <w:pPr>
              <w:jc w:val="center"/>
              <w:rPr>
                <w:color w:val="000000"/>
              </w:rPr>
            </w:pPr>
            <w:r w:rsidRPr="00C868F2">
              <w:rPr>
                <w:color w:val="000000"/>
              </w:rPr>
              <w:t>(Thomas, 2022)</w:t>
            </w:r>
          </w:p>
        </w:tc>
      </w:tr>
    </w:tbl>
    <w:p w14:paraId="40F47FB3" w14:textId="3E505A6E" w:rsidR="0019403D" w:rsidRPr="00C868F2" w:rsidRDefault="0019403D" w:rsidP="009D1B1A">
      <w:pPr>
        <w:spacing w:line="480" w:lineRule="auto"/>
        <w:jc w:val="center"/>
        <w:rPr>
          <w:b/>
          <w:bCs/>
          <w:color w:val="000000" w:themeColor="text1"/>
        </w:rPr>
      </w:pPr>
    </w:p>
    <w:p w14:paraId="5BB63171" w14:textId="77777777" w:rsidR="00433AA4" w:rsidRDefault="00433AA4" w:rsidP="009D1B1A">
      <w:pPr>
        <w:spacing w:line="480" w:lineRule="auto"/>
        <w:rPr>
          <w:b/>
          <w:bCs/>
          <w:color w:val="000000" w:themeColor="text1"/>
        </w:rPr>
      </w:pPr>
    </w:p>
    <w:p w14:paraId="75E406BC" w14:textId="77777777" w:rsidR="00433AA4" w:rsidRDefault="00433AA4" w:rsidP="009D1B1A">
      <w:pPr>
        <w:spacing w:line="480" w:lineRule="auto"/>
        <w:rPr>
          <w:b/>
          <w:bCs/>
          <w:color w:val="000000" w:themeColor="text1"/>
        </w:rPr>
      </w:pPr>
    </w:p>
    <w:p w14:paraId="78922C8E" w14:textId="77777777" w:rsidR="00433AA4" w:rsidRDefault="00433AA4" w:rsidP="009D1B1A">
      <w:pPr>
        <w:spacing w:line="480" w:lineRule="auto"/>
        <w:rPr>
          <w:b/>
          <w:bCs/>
          <w:color w:val="000000" w:themeColor="text1"/>
        </w:rPr>
      </w:pPr>
    </w:p>
    <w:p w14:paraId="7336330F" w14:textId="77777777" w:rsidR="00433AA4" w:rsidRDefault="00433AA4" w:rsidP="009D1B1A">
      <w:pPr>
        <w:spacing w:line="480" w:lineRule="auto"/>
        <w:rPr>
          <w:b/>
          <w:bCs/>
          <w:color w:val="000000" w:themeColor="text1"/>
        </w:rPr>
      </w:pPr>
    </w:p>
    <w:p w14:paraId="390DE8B0" w14:textId="77777777" w:rsidR="00433AA4" w:rsidRDefault="00433AA4" w:rsidP="009D1B1A">
      <w:pPr>
        <w:spacing w:line="480" w:lineRule="auto"/>
        <w:rPr>
          <w:b/>
          <w:bCs/>
          <w:color w:val="000000" w:themeColor="text1"/>
        </w:rPr>
      </w:pPr>
    </w:p>
    <w:p w14:paraId="741920A8" w14:textId="77777777" w:rsidR="00433AA4" w:rsidRDefault="00433AA4" w:rsidP="009D1B1A">
      <w:pPr>
        <w:spacing w:line="480" w:lineRule="auto"/>
        <w:rPr>
          <w:b/>
          <w:bCs/>
          <w:color w:val="000000" w:themeColor="text1"/>
        </w:rPr>
      </w:pPr>
    </w:p>
    <w:p w14:paraId="37020849" w14:textId="77777777" w:rsidR="00433AA4" w:rsidRDefault="00433AA4" w:rsidP="009D1B1A">
      <w:pPr>
        <w:spacing w:line="480" w:lineRule="auto"/>
        <w:rPr>
          <w:b/>
          <w:bCs/>
          <w:color w:val="000000" w:themeColor="text1"/>
        </w:rPr>
      </w:pPr>
    </w:p>
    <w:p w14:paraId="22F93F13" w14:textId="77777777" w:rsidR="00433AA4" w:rsidRDefault="00433AA4" w:rsidP="009D1B1A">
      <w:pPr>
        <w:spacing w:line="480" w:lineRule="auto"/>
        <w:rPr>
          <w:b/>
          <w:bCs/>
          <w:color w:val="000000" w:themeColor="text1"/>
        </w:rPr>
      </w:pPr>
    </w:p>
    <w:p w14:paraId="3A065F2B" w14:textId="77777777" w:rsidR="00433AA4" w:rsidRDefault="00433AA4" w:rsidP="009D1B1A">
      <w:pPr>
        <w:spacing w:line="480" w:lineRule="auto"/>
        <w:rPr>
          <w:b/>
          <w:bCs/>
          <w:color w:val="000000" w:themeColor="text1"/>
        </w:rPr>
      </w:pPr>
    </w:p>
    <w:p w14:paraId="70EAE79B" w14:textId="77777777" w:rsidR="00433AA4" w:rsidRDefault="00433AA4" w:rsidP="009D1B1A">
      <w:pPr>
        <w:spacing w:line="480" w:lineRule="auto"/>
        <w:rPr>
          <w:b/>
          <w:bCs/>
          <w:color w:val="000000" w:themeColor="text1"/>
        </w:rPr>
      </w:pPr>
    </w:p>
    <w:p w14:paraId="46D71937" w14:textId="77777777" w:rsidR="00433AA4" w:rsidRDefault="00433AA4" w:rsidP="009D1B1A">
      <w:pPr>
        <w:spacing w:line="480" w:lineRule="auto"/>
        <w:rPr>
          <w:b/>
          <w:bCs/>
          <w:color w:val="000000" w:themeColor="text1"/>
        </w:rPr>
      </w:pPr>
    </w:p>
    <w:p w14:paraId="26358A5C" w14:textId="77777777" w:rsidR="00433AA4" w:rsidRDefault="00433AA4" w:rsidP="009D1B1A">
      <w:pPr>
        <w:spacing w:line="480" w:lineRule="auto"/>
        <w:rPr>
          <w:b/>
          <w:bCs/>
          <w:color w:val="000000" w:themeColor="text1"/>
        </w:rPr>
      </w:pPr>
    </w:p>
    <w:p w14:paraId="62D084CE" w14:textId="77777777" w:rsidR="00433AA4" w:rsidRDefault="00433AA4" w:rsidP="009D1B1A">
      <w:pPr>
        <w:spacing w:line="480" w:lineRule="auto"/>
        <w:rPr>
          <w:b/>
          <w:bCs/>
          <w:color w:val="000000" w:themeColor="text1"/>
        </w:rPr>
      </w:pPr>
    </w:p>
    <w:p w14:paraId="7EDF8856" w14:textId="77777777" w:rsidR="00433AA4" w:rsidRDefault="00433AA4" w:rsidP="009D1B1A">
      <w:pPr>
        <w:spacing w:line="480" w:lineRule="auto"/>
        <w:rPr>
          <w:b/>
          <w:bCs/>
          <w:color w:val="000000" w:themeColor="text1"/>
        </w:rPr>
      </w:pPr>
    </w:p>
    <w:p w14:paraId="69ED1177" w14:textId="77777777" w:rsidR="00433AA4" w:rsidRDefault="00433AA4" w:rsidP="009D1B1A">
      <w:pPr>
        <w:spacing w:line="480" w:lineRule="auto"/>
        <w:rPr>
          <w:b/>
          <w:bCs/>
          <w:color w:val="000000" w:themeColor="text1"/>
        </w:rPr>
      </w:pPr>
    </w:p>
    <w:p w14:paraId="2BAA0926" w14:textId="607E576E" w:rsidR="008A030A" w:rsidRPr="00C868F2" w:rsidRDefault="008A030A" w:rsidP="009D1B1A">
      <w:pPr>
        <w:spacing w:line="480" w:lineRule="auto"/>
        <w:rPr>
          <w:b/>
          <w:bCs/>
          <w:color w:val="000000" w:themeColor="text1"/>
        </w:rPr>
      </w:pPr>
      <w:r w:rsidRPr="00C868F2">
        <w:rPr>
          <w:b/>
          <w:bCs/>
          <w:color w:val="000000" w:themeColor="text1"/>
        </w:rPr>
        <w:lastRenderedPageBreak/>
        <w:t xml:space="preserve">Appendix </w:t>
      </w:r>
      <w:r w:rsidR="00433AA4">
        <w:rPr>
          <w:b/>
          <w:bCs/>
          <w:color w:val="000000" w:themeColor="text1"/>
        </w:rPr>
        <w:t>H</w:t>
      </w:r>
    </w:p>
    <w:tbl>
      <w:tblPr>
        <w:tblW w:w="9406" w:type="dxa"/>
        <w:jc w:val="center"/>
        <w:tblLook w:val="04A0" w:firstRow="1" w:lastRow="0" w:firstColumn="1" w:lastColumn="0" w:noHBand="0" w:noVBand="1"/>
      </w:tblPr>
      <w:tblGrid>
        <w:gridCol w:w="1110"/>
        <w:gridCol w:w="6245"/>
        <w:gridCol w:w="1716"/>
        <w:gridCol w:w="1243"/>
      </w:tblGrid>
      <w:tr w:rsidR="008A030A" w:rsidRPr="00C868F2" w14:paraId="54F84467" w14:textId="77777777" w:rsidTr="009D1B1A">
        <w:trPr>
          <w:trHeight w:val="337"/>
          <w:jc w:val="center"/>
        </w:trPr>
        <w:tc>
          <w:tcPr>
            <w:tcW w:w="940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6967D" w14:textId="77777777" w:rsidR="008A030A" w:rsidRPr="00C868F2" w:rsidRDefault="008A030A" w:rsidP="009D1B1A">
            <w:pPr>
              <w:jc w:val="center"/>
              <w:rPr>
                <w:b/>
                <w:bCs/>
                <w:color w:val="000000"/>
              </w:rPr>
            </w:pPr>
            <w:r w:rsidRPr="00C868F2">
              <w:rPr>
                <w:b/>
                <w:bCs/>
                <w:color w:val="000000"/>
              </w:rPr>
              <w:t>Upper Bound (Increased 50%)</w:t>
            </w:r>
          </w:p>
        </w:tc>
      </w:tr>
      <w:tr w:rsidR="008A030A" w:rsidRPr="00C868F2" w14:paraId="17551140"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4FB28" w14:textId="77777777" w:rsidR="008A030A" w:rsidRPr="00C868F2" w:rsidRDefault="008A030A" w:rsidP="009D1B1A">
            <w:pPr>
              <w:jc w:val="center"/>
              <w:rPr>
                <w:b/>
                <w:bCs/>
                <w:color w:val="000000"/>
              </w:rPr>
            </w:pPr>
            <w:r w:rsidRPr="00C868F2">
              <w:rPr>
                <w:b/>
                <w:bCs/>
                <w:color w:val="000000"/>
              </w:rPr>
              <w:t>Variable</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42245" w14:textId="77777777" w:rsidR="008A030A" w:rsidRPr="00C868F2" w:rsidRDefault="008A030A" w:rsidP="009D1B1A">
            <w:pPr>
              <w:jc w:val="center"/>
              <w:rPr>
                <w:b/>
                <w:bCs/>
                <w:color w:val="000000"/>
              </w:rPr>
            </w:pPr>
            <w:r w:rsidRPr="00C868F2">
              <w:rPr>
                <w:b/>
                <w:bCs/>
                <w:color w:val="000000"/>
              </w:rPr>
              <w:t>Description</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38AC2" w14:textId="77777777" w:rsidR="008A030A" w:rsidRPr="00C868F2" w:rsidRDefault="008A030A" w:rsidP="009D1B1A">
            <w:pPr>
              <w:jc w:val="center"/>
              <w:rPr>
                <w:b/>
                <w:bCs/>
                <w:color w:val="000000"/>
              </w:rPr>
            </w:pPr>
            <w:r w:rsidRPr="00C868F2">
              <w:rPr>
                <w:b/>
                <w:bCs/>
                <w:color w:val="000000"/>
              </w:rPr>
              <w:t>Value</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EF836" w14:textId="77777777" w:rsidR="008A030A" w:rsidRPr="00C868F2" w:rsidRDefault="008A030A" w:rsidP="009D1B1A">
            <w:pPr>
              <w:jc w:val="center"/>
              <w:rPr>
                <w:b/>
                <w:bCs/>
                <w:color w:val="000000"/>
              </w:rPr>
            </w:pPr>
            <w:r w:rsidRPr="00C868F2">
              <w:rPr>
                <w:b/>
                <w:bCs/>
                <w:color w:val="000000"/>
              </w:rPr>
              <w:t>Source</w:t>
            </w:r>
          </w:p>
        </w:tc>
      </w:tr>
      <w:tr w:rsidR="008A030A" w:rsidRPr="00C868F2" w14:paraId="7618D097"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8391BA" w14:textId="77777777" w:rsidR="008A030A" w:rsidRPr="00C868F2" w:rsidRDefault="008A030A" w:rsidP="009D1B1A">
            <w:pPr>
              <w:jc w:val="center"/>
              <w:rPr>
                <w:i/>
                <w:iCs/>
                <w:color w:val="000000"/>
              </w:rPr>
            </w:pPr>
            <w:r w:rsidRPr="00C868F2">
              <w:rPr>
                <w:i/>
                <w:iCs/>
                <w:color w:val="000000"/>
              </w:rPr>
              <w:t>SOD</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7A5F5E" w14:textId="77777777" w:rsidR="008A030A" w:rsidRPr="00C868F2" w:rsidRDefault="008A030A" w:rsidP="009D1B1A">
            <w:pPr>
              <w:jc w:val="center"/>
              <w:rPr>
                <w:color w:val="000000"/>
              </w:rPr>
            </w:pPr>
            <w:r w:rsidRPr="00C868F2">
              <w:rPr>
                <w:color w:val="000000"/>
              </w:rPr>
              <w:t>value of averted overdoses</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A967F9" w14:textId="77777777" w:rsidR="008A030A" w:rsidRPr="00C868F2" w:rsidRDefault="008A030A" w:rsidP="009D1B1A">
            <w:pPr>
              <w:jc w:val="center"/>
              <w:rPr>
                <w:b/>
                <w:bCs/>
                <w:color w:val="000000"/>
              </w:rPr>
            </w:pPr>
            <w:r w:rsidRPr="00C868F2">
              <w:rPr>
                <w:b/>
                <w:bCs/>
                <w:color w:val="000000"/>
              </w:rPr>
              <w:t>$12,647,254.54</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76069897" w14:textId="77777777" w:rsidR="008A030A" w:rsidRPr="00C868F2" w:rsidRDefault="008A030A" w:rsidP="009D1B1A">
            <w:pPr>
              <w:jc w:val="center"/>
              <w:rPr>
                <w:color w:val="000000"/>
              </w:rPr>
            </w:pPr>
            <w:r w:rsidRPr="00C868F2">
              <w:rPr>
                <w:color w:val="000000"/>
              </w:rPr>
              <w:t>(Irwin et al., 2017)</w:t>
            </w:r>
          </w:p>
        </w:tc>
      </w:tr>
      <w:tr w:rsidR="008A030A" w:rsidRPr="00C868F2" w14:paraId="64662225"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714E3" w14:textId="77777777" w:rsidR="008A030A" w:rsidRPr="00C868F2" w:rsidRDefault="008A030A" w:rsidP="009D1B1A">
            <w:pPr>
              <w:jc w:val="center"/>
              <w:rPr>
                <w:i/>
                <w:iCs/>
                <w:color w:val="000000"/>
              </w:rPr>
            </w:pPr>
            <w:r w:rsidRPr="00C868F2">
              <w:rPr>
                <w:i/>
                <w:iCs/>
                <w:color w:val="000000"/>
              </w:rPr>
              <w:t>r</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0ED2" w14:textId="77777777" w:rsidR="008A030A" w:rsidRPr="00C868F2" w:rsidRDefault="008A030A" w:rsidP="009D1B1A">
            <w:pPr>
              <w:jc w:val="center"/>
              <w:rPr>
                <w:color w:val="000000"/>
              </w:rPr>
            </w:pPr>
            <w:r w:rsidRPr="00C868F2">
              <w:rPr>
                <w:color w:val="000000"/>
              </w:rPr>
              <w:t>rate of overdose death reduction expected within 500 m</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A7DA3" w14:textId="77777777" w:rsidR="008A030A" w:rsidRPr="00C868F2" w:rsidRDefault="008A030A" w:rsidP="009D1B1A">
            <w:pPr>
              <w:jc w:val="center"/>
              <w:rPr>
                <w:color w:val="000000"/>
              </w:rPr>
            </w:pPr>
            <w:r w:rsidRPr="00C868F2">
              <w:rPr>
                <w:color w:val="000000"/>
              </w:rPr>
              <w:t>25.70%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233286B2" w14:textId="77777777" w:rsidR="008A030A" w:rsidRPr="00C868F2" w:rsidRDefault="008A030A" w:rsidP="009D1B1A">
            <w:pPr>
              <w:jc w:val="center"/>
              <w:rPr>
                <w:color w:val="000000"/>
              </w:rPr>
            </w:pPr>
            <w:r w:rsidRPr="00C868F2">
              <w:rPr>
                <w:color w:val="000000"/>
              </w:rPr>
              <w:t>(Irwin et al., 2017)</w:t>
            </w:r>
          </w:p>
        </w:tc>
      </w:tr>
      <w:tr w:rsidR="008A030A" w:rsidRPr="00C868F2" w14:paraId="0559445B"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38CA38" w14:textId="77777777" w:rsidR="008A030A" w:rsidRPr="00C868F2" w:rsidRDefault="008A030A" w:rsidP="009D1B1A">
            <w:pPr>
              <w:jc w:val="center"/>
              <w:rPr>
                <w:i/>
                <w:iCs/>
                <w:color w:val="000000"/>
              </w:rPr>
            </w:pPr>
            <w:r w:rsidRPr="00C868F2">
              <w:rPr>
                <w:i/>
                <w:iCs/>
                <w:color w:val="000000"/>
              </w:rPr>
              <w:t>n</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B2ABF2" w14:textId="77777777" w:rsidR="008A030A" w:rsidRPr="00C868F2" w:rsidRDefault="008A030A" w:rsidP="009D1B1A">
            <w:pPr>
              <w:jc w:val="center"/>
              <w:rPr>
                <w:color w:val="000000"/>
              </w:rPr>
            </w:pPr>
            <w:r w:rsidRPr="00C868F2">
              <w:rPr>
                <w:color w:val="000000"/>
              </w:rPr>
              <w:t>share of naloxone administrations concentrated within a 500 meter radius in Baltimore</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7B4871" w14:textId="77777777" w:rsidR="008A030A" w:rsidRPr="00C868F2" w:rsidRDefault="008A030A" w:rsidP="009D1B1A">
            <w:pPr>
              <w:jc w:val="center"/>
              <w:rPr>
                <w:color w:val="000000"/>
              </w:rPr>
            </w:pPr>
            <w:r w:rsidRPr="00C868F2">
              <w:rPr>
                <w:color w:val="000000"/>
              </w:rPr>
              <w:t>5.31%</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4796F59C" w14:textId="77777777" w:rsidR="008A030A" w:rsidRPr="00C868F2" w:rsidRDefault="008A030A" w:rsidP="009D1B1A">
            <w:pPr>
              <w:jc w:val="center"/>
              <w:rPr>
                <w:color w:val="000000"/>
              </w:rPr>
            </w:pPr>
            <w:r w:rsidRPr="00C868F2">
              <w:rPr>
                <w:color w:val="000000"/>
              </w:rPr>
              <w:t>Calculated by author</w:t>
            </w:r>
          </w:p>
        </w:tc>
      </w:tr>
      <w:tr w:rsidR="008A030A" w:rsidRPr="00C868F2" w14:paraId="6DD9183D"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1300" w14:textId="77777777" w:rsidR="008A030A" w:rsidRPr="00C868F2" w:rsidRDefault="008A030A" w:rsidP="009D1B1A">
            <w:pPr>
              <w:jc w:val="center"/>
              <w:rPr>
                <w:i/>
                <w:iCs/>
                <w:color w:val="000000"/>
              </w:rPr>
            </w:pPr>
            <w:r w:rsidRPr="00C868F2">
              <w:rPr>
                <w:i/>
                <w:iCs/>
                <w:color w:val="000000"/>
              </w:rPr>
              <w:t>D</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CCD4" w14:textId="6025E37D" w:rsidR="008A030A" w:rsidRPr="00C868F2" w:rsidRDefault="008A030A" w:rsidP="009D1B1A">
            <w:pPr>
              <w:jc w:val="center"/>
              <w:rPr>
                <w:color w:val="000000"/>
              </w:rPr>
            </w:pPr>
            <w:r w:rsidRPr="00C868F2">
              <w:rPr>
                <w:color w:val="000000"/>
              </w:rPr>
              <w:t>total number of opioid related overdose deaths in Baltimore</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B515" w14:textId="77777777" w:rsidR="008A030A" w:rsidRPr="00C868F2" w:rsidRDefault="008A030A" w:rsidP="009D1B1A">
            <w:pPr>
              <w:jc w:val="center"/>
              <w:rPr>
                <w:color w:val="000000"/>
              </w:rPr>
            </w:pPr>
            <w:r w:rsidRPr="00C868F2">
              <w:rPr>
                <w:color w:val="000000"/>
              </w:rPr>
              <w:t>1446</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D22DF30" w14:textId="289526B4" w:rsidR="008A030A" w:rsidRPr="00C868F2" w:rsidRDefault="008A030A" w:rsidP="009D1B1A">
            <w:pPr>
              <w:jc w:val="center"/>
              <w:rPr>
                <w:color w:val="000000"/>
              </w:rPr>
            </w:pPr>
          </w:p>
        </w:tc>
      </w:tr>
      <w:tr w:rsidR="008A030A" w:rsidRPr="00C868F2" w14:paraId="5179637E"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83DA44" w14:textId="77777777" w:rsidR="008A030A" w:rsidRPr="00C868F2" w:rsidRDefault="008A030A" w:rsidP="009D1B1A">
            <w:pPr>
              <w:jc w:val="center"/>
              <w:rPr>
                <w:i/>
                <w:iCs/>
                <w:color w:val="000000"/>
              </w:rPr>
            </w:pPr>
            <w:r w:rsidRPr="00C868F2">
              <w:rPr>
                <w:i/>
                <w:iCs/>
                <w:color w:val="000000"/>
              </w:rPr>
              <w:t>V</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593128" w14:textId="77777777" w:rsidR="008A030A" w:rsidRPr="00C868F2" w:rsidRDefault="008A030A" w:rsidP="009D1B1A">
            <w:pPr>
              <w:jc w:val="center"/>
              <w:rPr>
                <w:color w:val="000000"/>
              </w:rPr>
            </w:pPr>
            <w:r w:rsidRPr="00C868F2">
              <w:rPr>
                <w:color w:val="000000"/>
              </w:rPr>
              <w:t>value of a single life saved</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BF85D3" w14:textId="77777777" w:rsidR="008A030A" w:rsidRPr="00C868F2" w:rsidRDefault="008A030A" w:rsidP="009D1B1A">
            <w:pPr>
              <w:jc w:val="center"/>
              <w:rPr>
                <w:color w:val="000000"/>
              </w:rPr>
            </w:pPr>
            <w:r w:rsidRPr="00C868F2">
              <w:rPr>
                <w:color w:val="000000"/>
              </w:rPr>
              <w:t>$640,914.83</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177DD5A2" w14:textId="77777777" w:rsidR="008A030A" w:rsidRPr="00C868F2" w:rsidRDefault="008A030A" w:rsidP="009D1B1A">
            <w:pPr>
              <w:jc w:val="center"/>
              <w:rPr>
                <w:color w:val="000000"/>
              </w:rPr>
            </w:pPr>
            <w:r w:rsidRPr="00C868F2">
              <w:rPr>
                <w:color w:val="000000"/>
              </w:rPr>
              <w:t>Calculated by author</w:t>
            </w:r>
          </w:p>
        </w:tc>
      </w:tr>
      <w:tr w:rsidR="008A030A" w:rsidRPr="00C868F2" w14:paraId="2469AE93"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C917" w14:textId="77777777" w:rsidR="008A030A" w:rsidRPr="00C868F2" w:rsidRDefault="008A030A" w:rsidP="009D1B1A">
            <w:pPr>
              <w:jc w:val="center"/>
              <w:rPr>
                <w:i/>
                <w:iCs/>
                <w:color w:val="000000"/>
              </w:rPr>
            </w:pPr>
            <w:r w:rsidRPr="00C868F2">
              <w:rPr>
                <w:i/>
                <w:iCs/>
                <w:color w:val="000000"/>
              </w:rPr>
              <w:t>N</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15BE9" w14:textId="77777777" w:rsidR="008A030A" w:rsidRPr="00C868F2" w:rsidRDefault="008A030A" w:rsidP="009D1B1A">
            <w:pPr>
              <w:jc w:val="center"/>
              <w:rPr>
                <w:color w:val="000000"/>
              </w:rPr>
            </w:pPr>
            <w:r w:rsidRPr="00C868F2">
              <w:rPr>
                <w:color w:val="000000"/>
              </w:rPr>
              <w:t>average number of years until retirement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CA57" w14:textId="77777777" w:rsidR="008A030A" w:rsidRPr="00C868F2" w:rsidRDefault="008A030A" w:rsidP="009D1B1A">
            <w:pPr>
              <w:jc w:val="center"/>
              <w:rPr>
                <w:color w:val="000000"/>
              </w:rPr>
            </w:pPr>
            <w:r w:rsidRPr="00C868F2">
              <w:rPr>
                <w:color w:val="000000"/>
              </w:rPr>
              <w:t>30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F225D7F" w14:textId="77777777" w:rsidR="008A030A" w:rsidRPr="00C868F2" w:rsidRDefault="008A030A" w:rsidP="009D1B1A">
            <w:pPr>
              <w:jc w:val="center"/>
              <w:rPr>
                <w:color w:val="000000"/>
              </w:rPr>
            </w:pPr>
            <w:r w:rsidRPr="00C868F2">
              <w:rPr>
                <w:color w:val="000000"/>
              </w:rPr>
              <w:t>(Irwin et al., 2017)</w:t>
            </w:r>
          </w:p>
        </w:tc>
      </w:tr>
      <w:tr w:rsidR="008A030A" w:rsidRPr="00C868F2" w14:paraId="6FD761F5"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5B044A" w14:textId="77777777" w:rsidR="008A030A" w:rsidRPr="00C868F2" w:rsidRDefault="008A030A" w:rsidP="009D1B1A">
            <w:pPr>
              <w:jc w:val="center"/>
              <w:rPr>
                <w:i/>
                <w:iCs/>
                <w:color w:val="000000"/>
              </w:rPr>
            </w:pPr>
            <w:r w:rsidRPr="00C868F2">
              <w:rPr>
                <w:i/>
                <w:iCs/>
                <w:color w:val="000000"/>
              </w:rPr>
              <w:t>W</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C037EB" w14:textId="77777777" w:rsidR="008A030A" w:rsidRPr="00C868F2" w:rsidRDefault="008A030A" w:rsidP="009D1B1A">
            <w:pPr>
              <w:jc w:val="center"/>
              <w:rPr>
                <w:color w:val="000000"/>
              </w:rPr>
            </w:pPr>
            <w:r w:rsidRPr="00C868F2">
              <w:rPr>
                <w:color w:val="000000"/>
              </w:rPr>
              <w:t>median per capita income</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2DEC37" w14:textId="7CFA82BB" w:rsidR="008A030A" w:rsidRPr="00C868F2" w:rsidRDefault="008A030A" w:rsidP="009D1B1A">
            <w:pPr>
              <w:jc w:val="center"/>
              <w:rPr>
                <w:color w:val="000000"/>
              </w:rPr>
            </w:pPr>
            <w:r w:rsidRPr="00C868F2">
              <w:rPr>
                <w:color w:val="000000"/>
              </w:rPr>
              <w:t>$32,699</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68CBDC82" w14:textId="77777777" w:rsidR="008A030A" w:rsidRPr="00C868F2" w:rsidRDefault="008A030A" w:rsidP="009D1B1A">
            <w:pPr>
              <w:jc w:val="center"/>
              <w:rPr>
                <w:color w:val="000000"/>
              </w:rPr>
            </w:pPr>
            <w:r w:rsidRPr="00C868F2">
              <w:rPr>
                <w:color w:val="000000"/>
              </w:rPr>
              <w:t>Census Bureau</w:t>
            </w:r>
          </w:p>
        </w:tc>
      </w:tr>
      <w:tr w:rsidR="008A030A" w:rsidRPr="00C868F2" w14:paraId="30A2B9E0"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5E213" w14:textId="77777777" w:rsidR="008A030A" w:rsidRPr="00C868F2" w:rsidRDefault="008A030A" w:rsidP="009D1B1A">
            <w:pPr>
              <w:jc w:val="center"/>
              <w:rPr>
                <w:i/>
                <w:iCs/>
                <w:color w:val="000000"/>
              </w:rPr>
            </w:pPr>
            <w:r w:rsidRPr="00C868F2">
              <w:rPr>
                <w:i/>
                <w:iCs/>
                <w:color w:val="000000"/>
              </w:rPr>
              <w:t>R</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C64D" w14:textId="31763ABE" w:rsidR="008A030A" w:rsidRPr="00C868F2" w:rsidRDefault="008A030A" w:rsidP="009D1B1A">
            <w:pPr>
              <w:jc w:val="center"/>
              <w:rPr>
                <w:color w:val="000000"/>
              </w:rPr>
            </w:pPr>
            <w:r w:rsidRPr="00C868F2">
              <w:rPr>
                <w:color w:val="000000"/>
              </w:rPr>
              <w:t>discount rate</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A31D1" w14:textId="77777777" w:rsidR="008A030A" w:rsidRPr="00C868F2" w:rsidRDefault="008A030A" w:rsidP="009D1B1A">
            <w:pPr>
              <w:jc w:val="center"/>
              <w:rPr>
                <w:color w:val="000000"/>
              </w:rPr>
            </w:pPr>
            <w:r w:rsidRPr="00C868F2">
              <w:rPr>
                <w:color w:val="000000"/>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0176" w14:textId="1FB859C6" w:rsidR="008A030A" w:rsidRPr="00C868F2" w:rsidRDefault="008A030A" w:rsidP="009D1B1A">
            <w:pPr>
              <w:jc w:val="center"/>
              <w:rPr>
                <w:color w:val="000000"/>
              </w:rPr>
            </w:pPr>
          </w:p>
        </w:tc>
      </w:tr>
      <w:tr w:rsidR="008A030A" w:rsidRPr="00C868F2" w14:paraId="2932A54E" w14:textId="77777777" w:rsidTr="009D1B1A">
        <w:trPr>
          <w:trHeight w:val="337"/>
          <w:jc w:val="center"/>
        </w:trPr>
        <w:tc>
          <w:tcPr>
            <w:tcW w:w="777" w:type="dxa"/>
            <w:tcBorders>
              <w:top w:val="nil"/>
              <w:left w:val="nil"/>
              <w:bottom w:val="nil"/>
              <w:right w:val="nil"/>
            </w:tcBorders>
            <w:shd w:val="clear" w:color="000000" w:fill="FFFFFF"/>
            <w:noWrap/>
            <w:vAlign w:val="center"/>
            <w:hideMark/>
          </w:tcPr>
          <w:p w14:paraId="6DC18E14" w14:textId="7E58D718" w:rsidR="008A030A" w:rsidRPr="00C868F2" w:rsidRDefault="008A030A" w:rsidP="009D1B1A">
            <w:pPr>
              <w:jc w:val="center"/>
              <w:rPr>
                <w:color w:val="000000"/>
              </w:rPr>
            </w:pPr>
          </w:p>
        </w:tc>
        <w:tc>
          <w:tcPr>
            <w:tcW w:w="6245" w:type="dxa"/>
            <w:tcBorders>
              <w:top w:val="nil"/>
              <w:left w:val="nil"/>
              <w:bottom w:val="nil"/>
              <w:right w:val="nil"/>
            </w:tcBorders>
            <w:shd w:val="clear" w:color="000000" w:fill="FFFFFF"/>
            <w:noWrap/>
            <w:vAlign w:val="center"/>
            <w:hideMark/>
          </w:tcPr>
          <w:p w14:paraId="35748EF3" w14:textId="3140AF94" w:rsidR="008A030A" w:rsidRPr="00C868F2" w:rsidRDefault="008A030A" w:rsidP="009D1B1A">
            <w:pPr>
              <w:jc w:val="center"/>
              <w:rPr>
                <w:color w:val="000000"/>
              </w:rPr>
            </w:pPr>
          </w:p>
        </w:tc>
        <w:tc>
          <w:tcPr>
            <w:tcW w:w="1202" w:type="dxa"/>
            <w:tcBorders>
              <w:top w:val="nil"/>
              <w:left w:val="nil"/>
              <w:bottom w:val="nil"/>
              <w:right w:val="nil"/>
            </w:tcBorders>
            <w:shd w:val="clear" w:color="000000" w:fill="FFFFFF"/>
            <w:noWrap/>
            <w:vAlign w:val="center"/>
            <w:hideMark/>
          </w:tcPr>
          <w:p w14:paraId="539CD984" w14:textId="199C7DFC" w:rsidR="008A030A" w:rsidRPr="00C868F2" w:rsidRDefault="008A030A" w:rsidP="009D1B1A">
            <w:pPr>
              <w:jc w:val="center"/>
              <w:rPr>
                <w:color w:val="000000"/>
              </w:rPr>
            </w:pPr>
          </w:p>
        </w:tc>
        <w:tc>
          <w:tcPr>
            <w:tcW w:w="1181" w:type="dxa"/>
            <w:tcBorders>
              <w:top w:val="nil"/>
              <w:left w:val="nil"/>
              <w:bottom w:val="nil"/>
              <w:right w:val="nil"/>
            </w:tcBorders>
            <w:shd w:val="clear" w:color="000000" w:fill="FFFFFF"/>
            <w:noWrap/>
            <w:vAlign w:val="center"/>
            <w:hideMark/>
          </w:tcPr>
          <w:p w14:paraId="4351839B" w14:textId="2399EF63" w:rsidR="008A030A" w:rsidRPr="00C868F2" w:rsidRDefault="008A030A" w:rsidP="009D1B1A">
            <w:pPr>
              <w:jc w:val="center"/>
              <w:rPr>
                <w:color w:val="000000"/>
              </w:rPr>
            </w:pPr>
          </w:p>
        </w:tc>
      </w:tr>
      <w:tr w:rsidR="008A030A" w:rsidRPr="00C868F2" w14:paraId="21A5AC3A" w14:textId="77777777" w:rsidTr="009D1B1A">
        <w:trPr>
          <w:trHeight w:val="337"/>
          <w:jc w:val="center"/>
        </w:trPr>
        <w:tc>
          <w:tcPr>
            <w:tcW w:w="777" w:type="dxa"/>
            <w:tcBorders>
              <w:top w:val="nil"/>
              <w:left w:val="nil"/>
              <w:bottom w:val="nil"/>
              <w:right w:val="nil"/>
            </w:tcBorders>
            <w:shd w:val="clear" w:color="000000" w:fill="FFFFFF"/>
            <w:noWrap/>
            <w:vAlign w:val="center"/>
            <w:hideMark/>
          </w:tcPr>
          <w:p w14:paraId="16FC6C91" w14:textId="63815D56" w:rsidR="008A030A" w:rsidRPr="00C868F2" w:rsidRDefault="008A030A" w:rsidP="009D1B1A">
            <w:pPr>
              <w:jc w:val="center"/>
              <w:rPr>
                <w:color w:val="000000"/>
              </w:rPr>
            </w:pPr>
          </w:p>
        </w:tc>
        <w:tc>
          <w:tcPr>
            <w:tcW w:w="6245" w:type="dxa"/>
            <w:tcBorders>
              <w:top w:val="nil"/>
              <w:left w:val="nil"/>
              <w:bottom w:val="nil"/>
              <w:right w:val="nil"/>
            </w:tcBorders>
            <w:shd w:val="clear" w:color="000000" w:fill="FFFFFF"/>
            <w:noWrap/>
            <w:vAlign w:val="center"/>
            <w:hideMark/>
          </w:tcPr>
          <w:p w14:paraId="6CDDB83C" w14:textId="74E6AB2B" w:rsidR="008A030A" w:rsidRPr="00C868F2" w:rsidRDefault="008A030A" w:rsidP="009D1B1A">
            <w:pPr>
              <w:jc w:val="center"/>
              <w:rPr>
                <w:color w:val="000000"/>
              </w:rPr>
            </w:pPr>
          </w:p>
        </w:tc>
        <w:tc>
          <w:tcPr>
            <w:tcW w:w="1202" w:type="dxa"/>
            <w:tcBorders>
              <w:top w:val="nil"/>
              <w:left w:val="nil"/>
              <w:bottom w:val="nil"/>
              <w:right w:val="nil"/>
            </w:tcBorders>
            <w:shd w:val="clear" w:color="000000" w:fill="FFFFFF"/>
            <w:noWrap/>
            <w:vAlign w:val="center"/>
            <w:hideMark/>
          </w:tcPr>
          <w:p w14:paraId="10F1D388" w14:textId="50418549" w:rsidR="008A030A" w:rsidRPr="00C868F2" w:rsidRDefault="008A030A" w:rsidP="009D1B1A">
            <w:pPr>
              <w:jc w:val="center"/>
              <w:rPr>
                <w:color w:val="000000"/>
              </w:rPr>
            </w:pPr>
          </w:p>
        </w:tc>
        <w:tc>
          <w:tcPr>
            <w:tcW w:w="1181" w:type="dxa"/>
            <w:tcBorders>
              <w:top w:val="nil"/>
              <w:left w:val="nil"/>
              <w:bottom w:val="nil"/>
              <w:right w:val="nil"/>
            </w:tcBorders>
            <w:shd w:val="clear" w:color="000000" w:fill="FFFFFF"/>
            <w:noWrap/>
            <w:vAlign w:val="center"/>
            <w:hideMark/>
          </w:tcPr>
          <w:p w14:paraId="284CB417" w14:textId="7CA31450" w:rsidR="008A030A" w:rsidRPr="00C868F2" w:rsidRDefault="008A030A" w:rsidP="009D1B1A">
            <w:pPr>
              <w:jc w:val="center"/>
              <w:rPr>
                <w:color w:val="000000"/>
              </w:rPr>
            </w:pPr>
          </w:p>
        </w:tc>
      </w:tr>
      <w:tr w:rsidR="008A030A" w:rsidRPr="00C868F2" w14:paraId="2EBAE1EE" w14:textId="77777777" w:rsidTr="009D1B1A">
        <w:trPr>
          <w:trHeight w:val="337"/>
          <w:jc w:val="center"/>
        </w:trPr>
        <w:tc>
          <w:tcPr>
            <w:tcW w:w="940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CCE6B0" w14:textId="77777777" w:rsidR="008A030A" w:rsidRPr="00C868F2" w:rsidRDefault="008A030A" w:rsidP="009D1B1A">
            <w:pPr>
              <w:jc w:val="center"/>
              <w:rPr>
                <w:b/>
                <w:bCs/>
                <w:color w:val="000000"/>
              </w:rPr>
            </w:pPr>
            <w:r w:rsidRPr="00C868F2">
              <w:rPr>
                <w:b/>
                <w:bCs/>
                <w:color w:val="000000"/>
              </w:rPr>
              <w:t>Lower Bound (Decreased 50%)</w:t>
            </w:r>
          </w:p>
        </w:tc>
      </w:tr>
      <w:tr w:rsidR="008A030A" w:rsidRPr="00C868F2" w14:paraId="4EA84295"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A21D4" w14:textId="77777777" w:rsidR="008A030A" w:rsidRPr="00C868F2" w:rsidRDefault="008A030A" w:rsidP="009D1B1A">
            <w:pPr>
              <w:jc w:val="center"/>
              <w:rPr>
                <w:b/>
                <w:bCs/>
                <w:color w:val="000000"/>
              </w:rPr>
            </w:pPr>
            <w:r w:rsidRPr="00C868F2">
              <w:rPr>
                <w:b/>
                <w:bCs/>
                <w:color w:val="000000"/>
              </w:rPr>
              <w:t>Variable</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AEF6" w14:textId="77777777" w:rsidR="008A030A" w:rsidRPr="00C868F2" w:rsidRDefault="008A030A" w:rsidP="009D1B1A">
            <w:pPr>
              <w:jc w:val="center"/>
              <w:rPr>
                <w:b/>
                <w:bCs/>
                <w:color w:val="000000"/>
              </w:rPr>
            </w:pPr>
            <w:r w:rsidRPr="00C868F2">
              <w:rPr>
                <w:b/>
                <w:bCs/>
                <w:color w:val="000000"/>
              </w:rPr>
              <w:t>Description</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4F141" w14:textId="77777777" w:rsidR="008A030A" w:rsidRPr="00C868F2" w:rsidRDefault="008A030A" w:rsidP="009D1B1A">
            <w:pPr>
              <w:jc w:val="center"/>
              <w:rPr>
                <w:b/>
                <w:bCs/>
                <w:color w:val="000000"/>
              </w:rPr>
            </w:pPr>
            <w:r w:rsidRPr="00C868F2">
              <w:rPr>
                <w:b/>
                <w:bCs/>
                <w:color w:val="000000"/>
              </w:rPr>
              <w:t>Value</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814F0" w14:textId="77777777" w:rsidR="008A030A" w:rsidRPr="00C868F2" w:rsidRDefault="008A030A" w:rsidP="009D1B1A">
            <w:pPr>
              <w:jc w:val="center"/>
              <w:rPr>
                <w:b/>
                <w:bCs/>
                <w:color w:val="000000"/>
              </w:rPr>
            </w:pPr>
            <w:r w:rsidRPr="00C868F2">
              <w:rPr>
                <w:b/>
                <w:bCs/>
                <w:color w:val="000000"/>
              </w:rPr>
              <w:t>Source</w:t>
            </w:r>
          </w:p>
        </w:tc>
      </w:tr>
      <w:tr w:rsidR="008A030A" w:rsidRPr="00C868F2" w14:paraId="29AA4EF9"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0F30A9" w14:textId="77777777" w:rsidR="008A030A" w:rsidRPr="00C868F2" w:rsidRDefault="008A030A" w:rsidP="009D1B1A">
            <w:pPr>
              <w:jc w:val="center"/>
              <w:rPr>
                <w:i/>
                <w:iCs/>
                <w:color w:val="000000"/>
              </w:rPr>
            </w:pPr>
            <w:r w:rsidRPr="00C868F2">
              <w:rPr>
                <w:i/>
                <w:iCs/>
                <w:color w:val="000000"/>
              </w:rPr>
              <w:t>SOD</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CA97C3" w14:textId="77777777" w:rsidR="008A030A" w:rsidRPr="00C868F2" w:rsidRDefault="008A030A" w:rsidP="009D1B1A">
            <w:pPr>
              <w:jc w:val="center"/>
              <w:rPr>
                <w:color w:val="000000"/>
              </w:rPr>
            </w:pPr>
            <w:r w:rsidRPr="00C868F2">
              <w:rPr>
                <w:color w:val="000000"/>
              </w:rPr>
              <w:t>value of averted overdoses</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2D01E9" w14:textId="77777777" w:rsidR="008A030A" w:rsidRPr="00C868F2" w:rsidRDefault="008A030A" w:rsidP="009D1B1A">
            <w:pPr>
              <w:jc w:val="center"/>
              <w:rPr>
                <w:b/>
                <w:bCs/>
                <w:color w:val="000000"/>
              </w:rPr>
            </w:pPr>
            <w:r w:rsidRPr="00C868F2">
              <w:rPr>
                <w:b/>
                <w:bCs/>
                <w:color w:val="000000"/>
              </w:rPr>
              <w:t>$4,215,751.51</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05AF1AF8" w14:textId="77777777" w:rsidR="008A030A" w:rsidRPr="00C868F2" w:rsidRDefault="008A030A" w:rsidP="009D1B1A">
            <w:pPr>
              <w:jc w:val="center"/>
              <w:rPr>
                <w:color w:val="000000"/>
              </w:rPr>
            </w:pPr>
            <w:r w:rsidRPr="00C868F2">
              <w:rPr>
                <w:color w:val="000000"/>
              </w:rPr>
              <w:t>(Irwin et al., 2017)</w:t>
            </w:r>
          </w:p>
        </w:tc>
      </w:tr>
      <w:tr w:rsidR="008A030A" w:rsidRPr="00C868F2" w14:paraId="6680BFEA"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466C0" w14:textId="77777777" w:rsidR="008A030A" w:rsidRPr="00C868F2" w:rsidRDefault="008A030A" w:rsidP="009D1B1A">
            <w:pPr>
              <w:jc w:val="center"/>
              <w:rPr>
                <w:i/>
                <w:iCs/>
                <w:color w:val="000000"/>
              </w:rPr>
            </w:pPr>
            <w:r w:rsidRPr="00C868F2">
              <w:rPr>
                <w:i/>
                <w:iCs/>
                <w:color w:val="000000"/>
              </w:rPr>
              <w:t>r</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8162" w14:textId="77777777" w:rsidR="008A030A" w:rsidRPr="00C868F2" w:rsidRDefault="008A030A" w:rsidP="009D1B1A">
            <w:pPr>
              <w:jc w:val="center"/>
              <w:rPr>
                <w:color w:val="000000"/>
              </w:rPr>
            </w:pPr>
            <w:r w:rsidRPr="00C868F2">
              <w:rPr>
                <w:color w:val="000000"/>
              </w:rPr>
              <w:t>rate of overdose death reduction expected within 500 m</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57D5" w14:textId="77777777" w:rsidR="008A030A" w:rsidRPr="00C868F2" w:rsidRDefault="008A030A" w:rsidP="009D1B1A">
            <w:pPr>
              <w:jc w:val="center"/>
              <w:rPr>
                <w:color w:val="000000"/>
              </w:rPr>
            </w:pPr>
            <w:r w:rsidRPr="00C868F2">
              <w:rPr>
                <w:color w:val="000000"/>
              </w:rPr>
              <w:t>25.70%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609C47F1" w14:textId="77777777" w:rsidR="008A030A" w:rsidRPr="00C868F2" w:rsidRDefault="008A030A" w:rsidP="009D1B1A">
            <w:pPr>
              <w:jc w:val="center"/>
              <w:rPr>
                <w:color w:val="000000"/>
              </w:rPr>
            </w:pPr>
            <w:r w:rsidRPr="00C868F2">
              <w:rPr>
                <w:color w:val="000000"/>
              </w:rPr>
              <w:t>(Irwin et al., 2017)</w:t>
            </w:r>
          </w:p>
        </w:tc>
      </w:tr>
      <w:tr w:rsidR="008A030A" w:rsidRPr="00C868F2" w14:paraId="001ABBAD"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4F6C44" w14:textId="77777777" w:rsidR="008A030A" w:rsidRPr="00C868F2" w:rsidRDefault="008A030A" w:rsidP="009D1B1A">
            <w:pPr>
              <w:jc w:val="center"/>
              <w:rPr>
                <w:i/>
                <w:iCs/>
                <w:color w:val="000000"/>
              </w:rPr>
            </w:pPr>
            <w:r w:rsidRPr="00C868F2">
              <w:rPr>
                <w:i/>
                <w:iCs/>
                <w:color w:val="000000"/>
              </w:rPr>
              <w:t>n</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F95B00" w14:textId="77777777" w:rsidR="008A030A" w:rsidRPr="00C868F2" w:rsidRDefault="008A030A" w:rsidP="009D1B1A">
            <w:pPr>
              <w:jc w:val="center"/>
              <w:rPr>
                <w:color w:val="000000"/>
              </w:rPr>
            </w:pPr>
            <w:r w:rsidRPr="00C868F2">
              <w:rPr>
                <w:color w:val="000000"/>
              </w:rPr>
              <w:t>share of naloxone administrations concentrated within a 500 meter radius in Baltimore</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24D0DC" w14:textId="77777777" w:rsidR="008A030A" w:rsidRPr="00C868F2" w:rsidRDefault="008A030A" w:rsidP="009D1B1A">
            <w:pPr>
              <w:jc w:val="center"/>
              <w:rPr>
                <w:color w:val="000000"/>
              </w:rPr>
            </w:pPr>
            <w:r w:rsidRPr="00C868F2">
              <w:rPr>
                <w:color w:val="000000"/>
              </w:rPr>
              <w:t>5.31%</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216D7B2A" w14:textId="77777777" w:rsidR="008A030A" w:rsidRPr="00C868F2" w:rsidRDefault="008A030A" w:rsidP="009D1B1A">
            <w:pPr>
              <w:jc w:val="center"/>
              <w:rPr>
                <w:color w:val="000000"/>
              </w:rPr>
            </w:pPr>
            <w:r w:rsidRPr="00C868F2">
              <w:rPr>
                <w:color w:val="000000"/>
              </w:rPr>
              <w:t>Calculated by author</w:t>
            </w:r>
          </w:p>
        </w:tc>
      </w:tr>
      <w:tr w:rsidR="008A030A" w:rsidRPr="00C868F2" w14:paraId="2E88E3A8"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7EEB" w14:textId="77777777" w:rsidR="008A030A" w:rsidRPr="00C868F2" w:rsidRDefault="008A030A" w:rsidP="009D1B1A">
            <w:pPr>
              <w:jc w:val="center"/>
              <w:rPr>
                <w:i/>
                <w:iCs/>
                <w:color w:val="000000"/>
              </w:rPr>
            </w:pPr>
            <w:r w:rsidRPr="00C868F2">
              <w:rPr>
                <w:i/>
                <w:iCs/>
                <w:color w:val="000000"/>
              </w:rPr>
              <w:t>D</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B127" w14:textId="174F3641" w:rsidR="008A030A" w:rsidRPr="00C868F2" w:rsidRDefault="008A030A" w:rsidP="009D1B1A">
            <w:pPr>
              <w:jc w:val="center"/>
              <w:rPr>
                <w:color w:val="000000"/>
              </w:rPr>
            </w:pPr>
            <w:r w:rsidRPr="00C868F2">
              <w:rPr>
                <w:color w:val="000000"/>
              </w:rPr>
              <w:t>total number of opioid related overdose deaths in Baltimore</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D460" w14:textId="77777777" w:rsidR="008A030A" w:rsidRPr="00C868F2" w:rsidRDefault="008A030A" w:rsidP="009D1B1A">
            <w:pPr>
              <w:jc w:val="center"/>
              <w:rPr>
                <w:color w:val="000000"/>
              </w:rPr>
            </w:pPr>
            <w:r w:rsidRPr="00C868F2">
              <w:rPr>
                <w:color w:val="000000"/>
              </w:rPr>
              <w:t>482</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7A872AFB" w14:textId="54E11263" w:rsidR="008A030A" w:rsidRPr="00C868F2" w:rsidRDefault="008A030A" w:rsidP="009D1B1A">
            <w:pPr>
              <w:jc w:val="center"/>
              <w:rPr>
                <w:color w:val="000000"/>
              </w:rPr>
            </w:pPr>
          </w:p>
        </w:tc>
      </w:tr>
      <w:tr w:rsidR="008A030A" w:rsidRPr="00C868F2" w14:paraId="0D2E5D54"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928344" w14:textId="77777777" w:rsidR="008A030A" w:rsidRPr="00C868F2" w:rsidRDefault="008A030A" w:rsidP="009D1B1A">
            <w:pPr>
              <w:jc w:val="center"/>
              <w:rPr>
                <w:i/>
                <w:iCs/>
                <w:color w:val="000000"/>
              </w:rPr>
            </w:pPr>
            <w:r w:rsidRPr="00C868F2">
              <w:rPr>
                <w:i/>
                <w:iCs/>
                <w:color w:val="000000"/>
              </w:rPr>
              <w:t>V</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C29C60" w14:textId="77777777" w:rsidR="008A030A" w:rsidRPr="00C868F2" w:rsidRDefault="008A030A" w:rsidP="009D1B1A">
            <w:pPr>
              <w:jc w:val="center"/>
              <w:rPr>
                <w:color w:val="000000"/>
              </w:rPr>
            </w:pPr>
            <w:r w:rsidRPr="00C868F2">
              <w:rPr>
                <w:color w:val="000000"/>
              </w:rPr>
              <w:t>value of a single life saved</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F5CC18" w14:textId="77777777" w:rsidR="008A030A" w:rsidRPr="00C868F2" w:rsidRDefault="008A030A" w:rsidP="009D1B1A">
            <w:pPr>
              <w:jc w:val="center"/>
              <w:rPr>
                <w:color w:val="000000"/>
              </w:rPr>
            </w:pPr>
            <w:r w:rsidRPr="00C868F2">
              <w:rPr>
                <w:color w:val="000000"/>
              </w:rPr>
              <w:t>$640,914.83</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0FA3778F" w14:textId="77777777" w:rsidR="008A030A" w:rsidRPr="00C868F2" w:rsidRDefault="008A030A" w:rsidP="009D1B1A">
            <w:pPr>
              <w:jc w:val="center"/>
              <w:rPr>
                <w:color w:val="000000"/>
              </w:rPr>
            </w:pPr>
            <w:r w:rsidRPr="00C868F2">
              <w:rPr>
                <w:color w:val="000000"/>
              </w:rPr>
              <w:t>Calculated by author</w:t>
            </w:r>
          </w:p>
        </w:tc>
      </w:tr>
      <w:tr w:rsidR="008A030A" w:rsidRPr="00C868F2" w14:paraId="0108B4CC"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F11B8" w14:textId="77777777" w:rsidR="008A030A" w:rsidRPr="00C868F2" w:rsidRDefault="008A030A" w:rsidP="009D1B1A">
            <w:pPr>
              <w:jc w:val="center"/>
              <w:rPr>
                <w:i/>
                <w:iCs/>
                <w:color w:val="000000"/>
              </w:rPr>
            </w:pPr>
            <w:r w:rsidRPr="00C868F2">
              <w:rPr>
                <w:i/>
                <w:iCs/>
                <w:color w:val="000000"/>
              </w:rPr>
              <w:t>N</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8E25" w14:textId="77777777" w:rsidR="008A030A" w:rsidRPr="00C868F2" w:rsidRDefault="008A030A" w:rsidP="009D1B1A">
            <w:pPr>
              <w:jc w:val="center"/>
              <w:rPr>
                <w:color w:val="000000"/>
              </w:rPr>
            </w:pPr>
            <w:r w:rsidRPr="00C868F2">
              <w:rPr>
                <w:color w:val="000000"/>
              </w:rPr>
              <w:t>average number of years until retirement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F42A" w14:textId="77777777" w:rsidR="008A030A" w:rsidRPr="00C868F2" w:rsidRDefault="008A030A" w:rsidP="009D1B1A">
            <w:pPr>
              <w:jc w:val="center"/>
              <w:rPr>
                <w:color w:val="000000"/>
              </w:rPr>
            </w:pPr>
            <w:r w:rsidRPr="00C868F2">
              <w:rPr>
                <w:color w:val="000000"/>
              </w:rPr>
              <w:t>30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607B71D" w14:textId="77777777" w:rsidR="008A030A" w:rsidRPr="00C868F2" w:rsidRDefault="008A030A" w:rsidP="009D1B1A">
            <w:pPr>
              <w:jc w:val="center"/>
              <w:rPr>
                <w:color w:val="000000"/>
              </w:rPr>
            </w:pPr>
            <w:r w:rsidRPr="00C868F2">
              <w:rPr>
                <w:color w:val="000000"/>
              </w:rPr>
              <w:t>(Irwin et al., 2017)</w:t>
            </w:r>
          </w:p>
        </w:tc>
      </w:tr>
      <w:tr w:rsidR="008A030A" w:rsidRPr="00C868F2" w14:paraId="50981FE3"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0CA0BE" w14:textId="77777777" w:rsidR="008A030A" w:rsidRPr="00C868F2" w:rsidRDefault="008A030A" w:rsidP="009D1B1A">
            <w:pPr>
              <w:jc w:val="center"/>
              <w:rPr>
                <w:i/>
                <w:iCs/>
                <w:color w:val="000000"/>
              </w:rPr>
            </w:pPr>
            <w:r w:rsidRPr="00C868F2">
              <w:rPr>
                <w:i/>
                <w:iCs/>
                <w:color w:val="000000"/>
              </w:rPr>
              <w:t>W</w:t>
            </w:r>
          </w:p>
        </w:tc>
        <w:tc>
          <w:tcPr>
            <w:tcW w:w="624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7F806C" w14:textId="77777777" w:rsidR="008A030A" w:rsidRPr="00C868F2" w:rsidRDefault="008A030A" w:rsidP="009D1B1A">
            <w:pPr>
              <w:jc w:val="center"/>
              <w:rPr>
                <w:color w:val="000000"/>
              </w:rPr>
            </w:pPr>
            <w:r w:rsidRPr="00C868F2">
              <w:rPr>
                <w:color w:val="000000"/>
              </w:rPr>
              <w:t>median per capita income</w:t>
            </w:r>
          </w:p>
        </w:tc>
        <w:tc>
          <w:tcPr>
            <w:tcW w:w="120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6EAE03" w14:textId="598B3156" w:rsidR="008A030A" w:rsidRPr="00C868F2" w:rsidRDefault="008A030A" w:rsidP="009D1B1A">
            <w:pPr>
              <w:jc w:val="center"/>
              <w:rPr>
                <w:color w:val="000000"/>
              </w:rPr>
            </w:pPr>
            <w:r w:rsidRPr="00C868F2">
              <w:rPr>
                <w:color w:val="000000"/>
              </w:rPr>
              <w:t>$32,699</w:t>
            </w:r>
          </w:p>
        </w:tc>
        <w:tc>
          <w:tcPr>
            <w:tcW w:w="1181" w:type="dxa"/>
            <w:tcBorders>
              <w:top w:val="single" w:sz="4" w:space="0" w:color="auto"/>
              <w:left w:val="nil"/>
              <w:bottom w:val="single" w:sz="4" w:space="0" w:color="auto"/>
              <w:right w:val="single" w:sz="4" w:space="0" w:color="auto"/>
            </w:tcBorders>
            <w:shd w:val="clear" w:color="D9D9D9" w:fill="D9D9D9"/>
            <w:vAlign w:val="center"/>
            <w:hideMark/>
          </w:tcPr>
          <w:p w14:paraId="64168FD1" w14:textId="77777777" w:rsidR="008A030A" w:rsidRPr="00C868F2" w:rsidRDefault="008A030A" w:rsidP="009D1B1A">
            <w:pPr>
              <w:jc w:val="center"/>
              <w:rPr>
                <w:color w:val="000000"/>
              </w:rPr>
            </w:pPr>
            <w:r w:rsidRPr="00C868F2">
              <w:rPr>
                <w:color w:val="000000"/>
              </w:rPr>
              <w:t>Census Bureau</w:t>
            </w:r>
          </w:p>
        </w:tc>
      </w:tr>
      <w:tr w:rsidR="008A030A" w:rsidRPr="00C868F2" w14:paraId="1BFE4C35" w14:textId="77777777" w:rsidTr="009D1B1A">
        <w:trPr>
          <w:trHeight w:val="337"/>
          <w:jc w:val="center"/>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34EF" w14:textId="77777777" w:rsidR="008A030A" w:rsidRPr="00C868F2" w:rsidRDefault="008A030A" w:rsidP="009D1B1A">
            <w:pPr>
              <w:jc w:val="center"/>
              <w:rPr>
                <w:i/>
                <w:iCs/>
                <w:color w:val="000000"/>
              </w:rPr>
            </w:pPr>
            <w:r w:rsidRPr="00C868F2">
              <w:rPr>
                <w:i/>
                <w:iCs/>
                <w:color w:val="000000"/>
              </w:rPr>
              <w:t>R</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D20" w14:textId="4BF0941F" w:rsidR="008A030A" w:rsidRPr="00C868F2" w:rsidRDefault="008A030A" w:rsidP="009D1B1A">
            <w:pPr>
              <w:jc w:val="center"/>
              <w:rPr>
                <w:color w:val="000000"/>
              </w:rPr>
            </w:pPr>
            <w:r w:rsidRPr="00C868F2">
              <w:rPr>
                <w:color w:val="000000"/>
              </w:rPr>
              <w:t>discount rate</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3A877" w14:textId="77777777" w:rsidR="008A030A" w:rsidRPr="00C868F2" w:rsidRDefault="008A030A" w:rsidP="009D1B1A">
            <w:pPr>
              <w:jc w:val="center"/>
              <w:rPr>
                <w:color w:val="000000"/>
              </w:rPr>
            </w:pPr>
            <w:r w:rsidRPr="00C868F2">
              <w:rPr>
                <w:color w:val="000000"/>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2E740" w14:textId="676F47F8" w:rsidR="008A030A" w:rsidRPr="00C868F2" w:rsidRDefault="008A030A" w:rsidP="009D1B1A">
            <w:pPr>
              <w:jc w:val="center"/>
              <w:rPr>
                <w:color w:val="000000"/>
              </w:rPr>
            </w:pPr>
          </w:p>
        </w:tc>
      </w:tr>
    </w:tbl>
    <w:p w14:paraId="7C0209A2" w14:textId="1521352C" w:rsidR="008A030A" w:rsidRPr="00C868F2" w:rsidRDefault="008A030A" w:rsidP="009D1B1A">
      <w:pPr>
        <w:spacing w:line="480" w:lineRule="auto"/>
        <w:jc w:val="center"/>
        <w:rPr>
          <w:b/>
          <w:bCs/>
          <w:color w:val="000000" w:themeColor="text1"/>
        </w:rPr>
      </w:pPr>
    </w:p>
    <w:p w14:paraId="62F02F9C" w14:textId="77777777" w:rsidR="00F04F2F" w:rsidRPr="00C868F2" w:rsidRDefault="00F04F2F" w:rsidP="009D1B1A">
      <w:pPr>
        <w:spacing w:line="480" w:lineRule="auto"/>
        <w:jc w:val="center"/>
        <w:rPr>
          <w:b/>
          <w:bCs/>
          <w:color w:val="000000" w:themeColor="text1"/>
        </w:rPr>
      </w:pPr>
    </w:p>
    <w:p w14:paraId="6AABE692" w14:textId="77777777" w:rsidR="00F04F2F" w:rsidRPr="00C868F2" w:rsidRDefault="00F04F2F" w:rsidP="009D1B1A">
      <w:pPr>
        <w:spacing w:line="480" w:lineRule="auto"/>
        <w:jc w:val="center"/>
        <w:rPr>
          <w:b/>
          <w:bCs/>
          <w:color w:val="000000" w:themeColor="text1"/>
        </w:rPr>
      </w:pPr>
    </w:p>
    <w:p w14:paraId="63AEE014" w14:textId="77777777" w:rsidR="00F04F2F" w:rsidRPr="00C868F2" w:rsidRDefault="00F04F2F" w:rsidP="009D1B1A">
      <w:pPr>
        <w:spacing w:line="480" w:lineRule="auto"/>
        <w:jc w:val="center"/>
        <w:rPr>
          <w:b/>
          <w:bCs/>
          <w:color w:val="000000" w:themeColor="text1"/>
        </w:rPr>
      </w:pPr>
    </w:p>
    <w:p w14:paraId="36019FF1" w14:textId="2F6C014C" w:rsidR="008A030A" w:rsidRPr="00C868F2" w:rsidRDefault="008A030A" w:rsidP="009D1B1A">
      <w:pPr>
        <w:spacing w:line="480" w:lineRule="auto"/>
        <w:rPr>
          <w:b/>
          <w:bCs/>
          <w:color w:val="000000" w:themeColor="text1"/>
        </w:rPr>
      </w:pPr>
      <w:r w:rsidRPr="00C868F2">
        <w:rPr>
          <w:b/>
          <w:bCs/>
          <w:color w:val="000000" w:themeColor="text1"/>
        </w:rPr>
        <w:lastRenderedPageBreak/>
        <w:t xml:space="preserve">Appendix </w:t>
      </w:r>
      <w:r w:rsidR="00433AA4">
        <w:rPr>
          <w:b/>
          <w:bCs/>
          <w:color w:val="000000" w:themeColor="text1"/>
        </w:rPr>
        <w:t>I</w:t>
      </w:r>
    </w:p>
    <w:tbl>
      <w:tblPr>
        <w:tblW w:w="9391" w:type="dxa"/>
        <w:jc w:val="center"/>
        <w:tblLook w:val="04A0" w:firstRow="1" w:lastRow="0" w:firstColumn="1" w:lastColumn="0" w:noHBand="0" w:noVBand="1"/>
      </w:tblPr>
      <w:tblGrid>
        <w:gridCol w:w="1110"/>
        <w:gridCol w:w="5527"/>
        <w:gridCol w:w="1416"/>
        <w:gridCol w:w="2051"/>
      </w:tblGrid>
      <w:tr w:rsidR="008A030A" w:rsidRPr="00C868F2" w14:paraId="38A929F0" w14:textId="77777777" w:rsidTr="009D1B1A">
        <w:trPr>
          <w:trHeight w:val="317"/>
          <w:jc w:val="center"/>
        </w:trPr>
        <w:tc>
          <w:tcPr>
            <w:tcW w:w="93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9C5D03" w14:textId="10B0C164" w:rsidR="008A030A" w:rsidRPr="00C868F2" w:rsidRDefault="008A030A" w:rsidP="009D1B1A">
            <w:pPr>
              <w:jc w:val="center"/>
              <w:rPr>
                <w:b/>
                <w:bCs/>
                <w:color w:val="000000"/>
              </w:rPr>
            </w:pPr>
            <w:r w:rsidRPr="00C868F2">
              <w:rPr>
                <w:b/>
                <w:bCs/>
                <w:color w:val="000000"/>
              </w:rPr>
              <w:t>Upper Bound for Averted Ambulance Deployments (Increased 50%)</w:t>
            </w:r>
          </w:p>
        </w:tc>
      </w:tr>
      <w:tr w:rsidR="008A030A" w:rsidRPr="00C868F2" w14:paraId="532D612F"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AA624" w14:textId="77777777" w:rsidR="008A030A" w:rsidRPr="00C868F2" w:rsidRDefault="008A030A" w:rsidP="009D1B1A">
            <w:pPr>
              <w:jc w:val="center"/>
              <w:rPr>
                <w:b/>
                <w:bCs/>
                <w:color w:val="000000"/>
              </w:rPr>
            </w:pPr>
            <w:r w:rsidRPr="00C868F2">
              <w:rPr>
                <w:b/>
                <w:bCs/>
                <w:color w:val="000000"/>
              </w:rPr>
              <w:t>Variable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97A2" w14:textId="77777777" w:rsidR="008A030A" w:rsidRPr="00C868F2" w:rsidRDefault="008A030A" w:rsidP="009D1B1A">
            <w:pPr>
              <w:jc w:val="center"/>
              <w:rPr>
                <w:b/>
                <w:bCs/>
                <w:color w:val="000000"/>
              </w:rPr>
            </w:pPr>
            <w:r w:rsidRPr="00C868F2">
              <w:rPr>
                <w:b/>
                <w:bCs/>
                <w:color w:val="000000"/>
              </w:rPr>
              <w:t>Description</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9F28E" w14:textId="77777777" w:rsidR="008A030A" w:rsidRPr="00C868F2" w:rsidRDefault="008A030A" w:rsidP="009D1B1A">
            <w:pPr>
              <w:jc w:val="center"/>
              <w:rPr>
                <w:b/>
                <w:bCs/>
                <w:color w:val="000000"/>
              </w:rPr>
            </w:pPr>
            <w:r w:rsidRPr="00C868F2">
              <w:rPr>
                <w:b/>
                <w:bCs/>
                <w:color w:val="000000"/>
              </w:rPr>
              <w:t>Value</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49AD6C0" w14:textId="77777777" w:rsidR="008A030A" w:rsidRPr="00C868F2" w:rsidRDefault="008A030A" w:rsidP="009D1B1A">
            <w:pPr>
              <w:jc w:val="center"/>
              <w:rPr>
                <w:b/>
                <w:bCs/>
                <w:color w:val="000000"/>
              </w:rPr>
            </w:pPr>
            <w:r w:rsidRPr="00C868F2">
              <w:rPr>
                <w:b/>
                <w:bCs/>
                <w:color w:val="000000"/>
              </w:rPr>
              <w:t>Source</w:t>
            </w:r>
          </w:p>
        </w:tc>
      </w:tr>
      <w:tr w:rsidR="008A030A" w:rsidRPr="00C868F2" w14:paraId="35E5094F"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F63553" w14:textId="77777777" w:rsidR="008A030A" w:rsidRPr="00C868F2" w:rsidRDefault="008A030A" w:rsidP="009D1B1A">
            <w:pPr>
              <w:jc w:val="center"/>
              <w:rPr>
                <w:i/>
                <w:iCs/>
                <w:color w:val="000000"/>
              </w:rPr>
            </w:pPr>
            <w:r w:rsidRPr="00C868F2">
              <w:rPr>
                <w:i/>
                <w:iCs/>
                <w:color w:val="000000"/>
              </w:rPr>
              <w:t>Sa</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685E30" w14:textId="77777777" w:rsidR="008A030A" w:rsidRPr="00C868F2" w:rsidRDefault="008A030A" w:rsidP="009D1B1A">
            <w:pPr>
              <w:jc w:val="center"/>
              <w:rPr>
                <w:color w:val="000000"/>
              </w:rPr>
            </w:pPr>
            <w:r w:rsidRPr="00C868F2">
              <w:rPr>
                <w:color w:val="000000"/>
              </w:rPr>
              <w:t>annual savings due to the SCS reducing ambulance calls for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F21148" w14:textId="4301512E" w:rsidR="008A030A" w:rsidRPr="00C868F2" w:rsidRDefault="008A030A" w:rsidP="009D1B1A">
            <w:pPr>
              <w:jc w:val="center"/>
              <w:rPr>
                <w:b/>
                <w:bCs/>
                <w:color w:val="000000"/>
              </w:rPr>
            </w:pPr>
            <w:r w:rsidRPr="00C868F2">
              <w:rPr>
                <w:b/>
                <w:bCs/>
                <w:color w:val="000000"/>
              </w:rPr>
              <w:t>$622,680.46</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2D8DD9B0" w14:textId="77777777" w:rsidR="008A030A" w:rsidRPr="00C868F2" w:rsidRDefault="008A030A" w:rsidP="009D1B1A">
            <w:pPr>
              <w:jc w:val="center"/>
              <w:rPr>
                <w:color w:val="000000"/>
              </w:rPr>
            </w:pPr>
            <w:r w:rsidRPr="00C868F2">
              <w:rPr>
                <w:color w:val="000000"/>
              </w:rPr>
              <w:t>(Irwin et al., 2017)</w:t>
            </w:r>
          </w:p>
        </w:tc>
      </w:tr>
      <w:tr w:rsidR="008A030A" w:rsidRPr="00C868F2" w14:paraId="665DB310"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E368" w14:textId="77777777" w:rsidR="008A030A" w:rsidRPr="00C868F2" w:rsidRDefault="008A030A" w:rsidP="009D1B1A">
            <w:pPr>
              <w:jc w:val="center"/>
              <w:rPr>
                <w:i/>
                <w:iCs/>
                <w:color w:val="000000"/>
              </w:rPr>
            </w:pPr>
            <w:r w:rsidRPr="00C868F2">
              <w:rPr>
                <w:i/>
                <w:iCs/>
                <w:color w:val="000000"/>
              </w:rPr>
              <w:t>I</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AE01A" w14:textId="77777777" w:rsidR="008A030A" w:rsidRPr="00C868F2" w:rsidRDefault="008A030A" w:rsidP="009D1B1A">
            <w:pPr>
              <w:jc w:val="center"/>
              <w:rPr>
                <w:color w:val="000000"/>
              </w:rPr>
            </w:pPr>
            <w:r w:rsidRPr="00C868F2">
              <w:rPr>
                <w:color w:val="000000"/>
              </w:rPr>
              <w:t>annual number of injections in the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1EAF" w14:textId="77777777" w:rsidR="008A030A" w:rsidRPr="00C868F2" w:rsidRDefault="008A030A" w:rsidP="009D1B1A">
            <w:pPr>
              <w:jc w:val="center"/>
              <w:rPr>
                <w:color w:val="000000"/>
              </w:rPr>
            </w:pPr>
            <w:r w:rsidRPr="00C868F2">
              <w:rPr>
                <w:color w:val="000000"/>
              </w:rPr>
              <w:t>170,731</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9CA063A" w14:textId="223BEB5E"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3E20DE02"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AB5E68" w14:textId="77777777" w:rsidR="008A030A" w:rsidRPr="00C868F2" w:rsidRDefault="008A030A" w:rsidP="009D1B1A">
            <w:pPr>
              <w:jc w:val="center"/>
              <w:rPr>
                <w:i/>
                <w:iCs/>
                <w:color w:val="000000"/>
              </w:rPr>
            </w:pPr>
            <w:r w:rsidRPr="00C868F2">
              <w:rPr>
                <w:i/>
                <w:iCs/>
                <w:color w:val="000000"/>
              </w:rPr>
              <w:t>o</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517D58" w14:textId="77777777" w:rsidR="008A030A" w:rsidRPr="00C868F2" w:rsidRDefault="008A030A" w:rsidP="009D1B1A">
            <w:pPr>
              <w:jc w:val="center"/>
              <w:rPr>
                <w:color w:val="000000"/>
              </w:rPr>
            </w:pPr>
            <w:r w:rsidRPr="00C868F2">
              <w:rPr>
                <w:color w:val="000000"/>
              </w:rPr>
              <w:t>the per-injection rate of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427055" w14:textId="77777777" w:rsidR="008A030A" w:rsidRPr="00C868F2" w:rsidRDefault="008A030A" w:rsidP="009D1B1A">
            <w:pPr>
              <w:jc w:val="center"/>
              <w:rPr>
                <w:color w:val="000000"/>
              </w:rPr>
            </w:pPr>
            <w:r w:rsidRPr="00C868F2">
              <w:rPr>
                <w:color w:val="000000"/>
              </w:rPr>
              <w:t>0.77%</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4CDC6523" w14:textId="652E3B05"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374C2EED"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1DAF5" w14:textId="77777777" w:rsidR="008A030A" w:rsidRPr="00C868F2" w:rsidRDefault="008A030A" w:rsidP="009D1B1A">
            <w:pPr>
              <w:jc w:val="center"/>
              <w:rPr>
                <w:i/>
                <w:iCs/>
                <w:color w:val="000000"/>
              </w:rPr>
            </w:pPr>
            <w:r w:rsidRPr="00C868F2">
              <w:rPr>
                <w:i/>
                <w:iCs/>
                <w:color w:val="000000"/>
              </w:rPr>
              <w:t>C0</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98F85" w14:textId="2494384A" w:rsidR="008A030A" w:rsidRPr="00C868F2" w:rsidRDefault="008A030A" w:rsidP="009D1B1A">
            <w:pPr>
              <w:jc w:val="center"/>
              <w:rPr>
                <w:color w:val="000000"/>
              </w:rPr>
            </w:pPr>
            <w:r w:rsidRPr="00C868F2">
              <w:rPr>
                <w:color w:val="000000"/>
              </w:rPr>
              <w:t>overdose ambulance calls outside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3A2BA" w14:textId="77777777" w:rsidR="008A030A" w:rsidRPr="00C868F2" w:rsidRDefault="008A030A" w:rsidP="009D1B1A">
            <w:pPr>
              <w:jc w:val="center"/>
              <w:rPr>
                <w:color w:val="000000"/>
              </w:rPr>
            </w:pPr>
            <w:r w:rsidRPr="00C868F2">
              <w:rPr>
                <w:color w:val="000000"/>
              </w:rPr>
              <w:t>45.90%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476A95D" w14:textId="77777777" w:rsidR="008A030A" w:rsidRPr="00C868F2" w:rsidRDefault="008A030A" w:rsidP="009D1B1A">
            <w:pPr>
              <w:jc w:val="center"/>
              <w:rPr>
                <w:color w:val="000000"/>
              </w:rPr>
            </w:pPr>
            <w:r w:rsidRPr="00C868F2">
              <w:rPr>
                <w:color w:val="000000"/>
              </w:rPr>
              <w:t>Pollini et al., 2006)</w:t>
            </w:r>
          </w:p>
        </w:tc>
      </w:tr>
      <w:tr w:rsidR="008A030A" w:rsidRPr="00C868F2" w14:paraId="7532E6F0"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B10149" w14:textId="77777777" w:rsidR="008A030A" w:rsidRPr="00C868F2" w:rsidRDefault="008A030A" w:rsidP="009D1B1A">
            <w:pPr>
              <w:jc w:val="center"/>
              <w:rPr>
                <w:i/>
                <w:iCs/>
                <w:color w:val="000000"/>
              </w:rPr>
            </w:pPr>
            <w:r w:rsidRPr="00C868F2">
              <w:rPr>
                <w:i/>
                <w:iCs/>
                <w:color w:val="000000"/>
              </w:rPr>
              <w:t>Ci</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8AF010" w14:textId="65403BE8" w:rsidR="008A030A" w:rsidRPr="00C868F2" w:rsidRDefault="008A030A" w:rsidP="009D1B1A">
            <w:pPr>
              <w:jc w:val="center"/>
              <w:rPr>
                <w:color w:val="000000"/>
              </w:rPr>
            </w:pPr>
            <w:r w:rsidRPr="00C868F2">
              <w:rPr>
                <w:color w:val="000000"/>
              </w:rPr>
              <w:t>overdose ambulance calls inside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286589" w14:textId="77777777" w:rsidR="008A030A" w:rsidRPr="00C868F2" w:rsidRDefault="008A030A" w:rsidP="009D1B1A">
            <w:pPr>
              <w:jc w:val="center"/>
              <w:rPr>
                <w:color w:val="000000"/>
              </w:rPr>
            </w:pPr>
            <w:r w:rsidRPr="00C868F2">
              <w:rPr>
                <w:color w:val="000000"/>
              </w:rPr>
              <w:t>0.79%</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2ACC284D" w14:textId="77777777" w:rsidR="008A030A" w:rsidRPr="00C868F2" w:rsidRDefault="008A030A" w:rsidP="009D1B1A">
            <w:pPr>
              <w:jc w:val="center"/>
              <w:rPr>
                <w:color w:val="000000"/>
              </w:rPr>
            </w:pPr>
            <w:r w:rsidRPr="00C868F2">
              <w:rPr>
                <w:color w:val="000000"/>
              </w:rPr>
              <w:t>(Irwin et al., 2017)</w:t>
            </w:r>
          </w:p>
        </w:tc>
      </w:tr>
      <w:tr w:rsidR="008A030A" w:rsidRPr="00C868F2" w14:paraId="7B6257D9"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84A4" w14:textId="77777777" w:rsidR="008A030A" w:rsidRPr="00C868F2" w:rsidRDefault="008A030A" w:rsidP="009D1B1A">
            <w:pPr>
              <w:jc w:val="center"/>
              <w:rPr>
                <w:i/>
                <w:iCs/>
                <w:color w:val="000000"/>
              </w:rPr>
            </w:pPr>
            <w:r w:rsidRPr="00C868F2">
              <w:rPr>
                <w:i/>
                <w:iCs/>
                <w:color w:val="000000"/>
              </w:rPr>
              <w:t>A</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7605E" w14:textId="6C4728FE" w:rsidR="008A030A" w:rsidRPr="00C868F2" w:rsidRDefault="008A030A" w:rsidP="009D1B1A">
            <w:pPr>
              <w:jc w:val="center"/>
              <w:rPr>
                <w:color w:val="000000"/>
              </w:rPr>
            </w:pPr>
            <w:r w:rsidRPr="00C868F2">
              <w:rPr>
                <w:color w:val="000000"/>
              </w:rPr>
              <w:t>average cost of an overdose ambulance call</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D95B" w14:textId="00FC7FD4" w:rsidR="008A030A" w:rsidRPr="00C868F2" w:rsidRDefault="008A030A" w:rsidP="009D1B1A">
            <w:pPr>
              <w:jc w:val="center"/>
              <w:rPr>
                <w:color w:val="000000"/>
              </w:rPr>
            </w:pPr>
            <w:r w:rsidRPr="00C868F2">
              <w:rPr>
                <w:color w:val="000000"/>
              </w:rPr>
              <w:t>$700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D373E6A" w14:textId="77777777" w:rsidR="008A030A" w:rsidRPr="00C868F2" w:rsidRDefault="008A030A" w:rsidP="009D1B1A">
            <w:pPr>
              <w:jc w:val="center"/>
              <w:rPr>
                <w:color w:val="000000"/>
              </w:rPr>
            </w:pPr>
            <w:r w:rsidRPr="00C868F2">
              <w:rPr>
                <w:color w:val="000000"/>
              </w:rPr>
              <w:t>(Emergency Medical, 2022)</w:t>
            </w:r>
          </w:p>
        </w:tc>
      </w:tr>
      <w:tr w:rsidR="008A030A" w:rsidRPr="00C868F2" w14:paraId="2CBDBE91"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06D11D0B" w14:textId="77777777" w:rsidR="008A030A" w:rsidRPr="00C868F2" w:rsidRDefault="008A030A" w:rsidP="009D1B1A">
            <w:pPr>
              <w:jc w:val="center"/>
              <w:rPr>
                <w:color w:val="000000"/>
              </w:rPr>
            </w:pPr>
          </w:p>
        </w:tc>
        <w:tc>
          <w:tcPr>
            <w:tcW w:w="5527" w:type="dxa"/>
            <w:tcBorders>
              <w:top w:val="nil"/>
              <w:left w:val="nil"/>
              <w:bottom w:val="nil"/>
              <w:right w:val="nil"/>
            </w:tcBorders>
            <w:shd w:val="clear" w:color="auto" w:fill="auto"/>
            <w:noWrap/>
            <w:vAlign w:val="bottom"/>
            <w:hideMark/>
          </w:tcPr>
          <w:p w14:paraId="1F53D031"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6D66AD2F"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170EC58F" w14:textId="77777777" w:rsidR="008A030A" w:rsidRPr="00C868F2" w:rsidRDefault="008A030A" w:rsidP="009D1B1A">
            <w:pPr>
              <w:jc w:val="center"/>
            </w:pPr>
          </w:p>
        </w:tc>
      </w:tr>
      <w:tr w:rsidR="008A030A" w:rsidRPr="00C868F2" w14:paraId="5BCE86C2"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06447C53" w14:textId="77777777" w:rsidR="008A030A" w:rsidRPr="00C868F2" w:rsidRDefault="008A030A" w:rsidP="009D1B1A">
            <w:pPr>
              <w:jc w:val="center"/>
            </w:pPr>
          </w:p>
        </w:tc>
        <w:tc>
          <w:tcPr>
            <w:tcW w:w="5527" w:type="dxa"/>
            <w:tcBorders>
              <w:top w:val="nil"/>
              <w:left w:val="nil"/>
              <w:bottom w:val="nil"/>
              <w:right w:val="nil"/>
            </w:tcBorders>
            <w:shd w:val="clear" w:color="auto" w:fill="auto"/>
            <w:noWrap/>
            <w:vAlign w:val="bottom"/>
            <w:hideMark/>
          </w:tcPr>
          <w:p w14:paraId="0C621FBF"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2B68A094"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67E51E76" w14:textId="77777777" w:rsidR="008A030A" w:rsidRPr="00C868F2" w:rsidRDefault="008A030A" w:rsidP="009D1B1A">
            <w:pPr>
              <w:jc w:val="center"/>
            </w:pPr>
          </w:p>
        </w:tc>
      </w:tr>
      <w:tr w:rsidR="008A030A" w:rsidRPr="00C868F2" w14:paraId="3AFAE0E4" w14:textId="77777777" w:rsidTr="009D1B1A">
        <w:trPr>
          <w:trHeight w:val="317"/>
          <w:jc w:val="center"/>
        </w:trPr>
        <w:tc>
          <w:tcPr>
            <w:tcW w:w="93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149DEA" w14:textId="78893674" w:rsidR="008A030A" w:rsidRPr="00C868F2" w:rsidRDefault="008A030A" w:rsidP="009D1B1A">
            <w:pPr>
              <w:jc w:val="center"/>
              <w:rPr>
                <w:b/>
                <w:bCs/>
                <w:color w:val="000000"/>
              </w:rPr>
            </w:pPr>
            <w:r w:rsidRPr="00C868F2">
              <w:rPr>
                <w:b/>
                <w:bCs/>
                <w:color w:val="000000"/>
              </w:rPr>
              <w:t>Lower Bound for Averted Ambulance Deployments (Decreased 50%)</w:t>
            </w:r>
          </w:p>
        </w:tc>
      </w:tr>
      <w:tr w:rsidR="008A030A" w:rsidRPr="00C868F2" w14:paraId="0C30F1B9"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5E39" w14:textId="77777777" w:rsidR="008A030A" w:rsidRPr="00C868F2" w:rsidRDefault="008A030A" w:rsidP="009D1B1A">
            <w:pPr>
              <w:jc w:val="center"/>
              <w:rPr>
                <w:b/>
                <w:bCs/>
                <w:color w:val="000000"/>
              </w:rPr>
            </w:pPr>
            <w:r w:rsidRPr="00C868F2">
              <w:rPr>
                <w:b/>
                <w:bCs/>
                <w:color w:val="000000"/>
              </w:rPr>
              <w:t>Variable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90EB" w14:textId="77777777" w:rsidR="008A030A" w:rsidRPr="00C868F2" w:rsidRDefault="008A030A" w:rsidP="009D1B1A">
            <w:pPr>
              <w:jc w:val="center"/>
              <w:rPr>
                <w:b/>
                <w:bCs/>
                <w:color w:val="000000"/>
              </w:rPr>
            </w:pPr>
            <w:r w:rsidRPr="00C868F2">
              <w:rPr>
                <w:b/>
                <w:bCs/>
                <w:color w:val="000000"/>
              </w:rPr>
              <w:t>Description</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54389" w14:textId="77777777" w:rsidR="008A030A" w:rsidRPr="00C868F2" w:rsidRDefault="008A030A" w:rsidP="009D1B1A">
            <w:pPr>
              <w:jc w:val="center"/>
              <w:rPr>
                <w:b/>
                <w:bCs/>
                <w:color w:val="000000"/>
              </w:rPr>
            </w:pPr>
            <w:r w:rsidRPr="00C868F2">
              <w:rPr>
                <w:b/>
                <w:bCs/>
                <w:color w:val="000000"/>
              </w:rPr>
              <w:t>Value</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1FCD980" w14:textId="77777777" w:rsidR="008A030A" w:rsidRPr="00C868F2" w:rsidRDefault="008A030A" w:rsidP="009D1B1A">
            <w:pPr>
              <w:jc w:val="center"/>
              <w:rPr>
                <w:b/>
                <w:bCs/>
                <w:color w:val="000000"/>
              </w:rPr>
            </w:pPr>
            <w:r w:rsidRPr="00C868F2">
              <w:rPr>
                <w:b/>
                <w:bCs/>
                <w:color w:val="000000"/>
              </w:rPr>
              <w:t>Source</w:t>
            </w:r>
          </w:p>
        </w:tc>
      </w:tr>
      <w:tr w:rsidR="008A030A" w:rsidRPr="00C868F2" w14:paraId="04919058"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B6012D" w14:textId="77777777" w:rsidR="008A030A" w:rsidRPr="00C868F2" w:rsidRDefault="008A030A" w:rsidP="009D1B1A">
            <w:pPr>
              <w:jc w:val="center"/>
              <w:rPr>
                <w:i/>
                <w:iCs/>
                <w:color w:val="000000"/>
              </w:rPr>
            </w:pPr>
            <w:r w:rsidRPr="00C868F2">
              <w:rPr>
                <w:i/>
                <w:iCs/>
                <w:color w:val="000000"/>
              </w:rPr>
              <w:t>Sa</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57F34F" w14:textId="77777777" w:rsidR="008A030A" w:rsidRPr="00C868F2" w:rsidRDefault="008A030A" w:rsidP="009D1B1A">
            <w:pPr>
              <w:jc w:val="center"/>
              <w:rPr>
                <w:color w:val="000000"/>
              </w:rPr>
            </w:pPr>
            <w:r w:rsidRPr="00C868F2">
              <w:rPr>
                <w:color w:val="000000"/>
              </w:rPr>
              <w:t>annual savings due to the SCS reducing ambulance calls for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1E2758" w14:textId="71C09CB0" w:rsidR="008A030A" w:rsidRPr="00C868F2" w:rsidRDefault="008A030A" w:rsidP="009D1B1A">
            <w:pPr>
              <w:jc w:val="center"/>
              <w:rPr>
                <w:b/>
                <w:bCs/>
                <w:color w:val="000000"/>
              </w:rPr>
            </w:pPr>
            <w:r w:rsidRPr="00C868F2">
              <w:rPr>
                <w:b/>
                <w:bCs/>
                <w:color w:val="000000"/>
              </w:rPr>
              <w:t>$207,560.15</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49D8285F" w14:textId="77777777" w:rsidR="008A030A" w:rsidRPr="00C868F2" w:rsidRDefault="008A030A" w:rsidP="009D1B1A">
            <w:pPr>
              <w:jc w:val="center"/>
              <w:rPr>
                <w:color w:val="000000"/>
              </w:rPr>
            </w:pPr>
            <w:r w:rsidRPr="00C868F2">
              <w:rPr>
                <w:color w:val="000000"/>
              </w:rPr>
              <w:t>(Irwin et al., 2017)</w:t>
            </w:r>
          </w:p>
        </w:tc>
      </w:tr>
      <w:tr w:rsidR="008A030A" w:rsidRPr="00C868F2" w14:paraId="20EEC6D3"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2C8D" w14:textId="77777777" w:rsidR="008A030A" w:rsidRPr="00C868F2" w:rsidRDefault="008A030A" w:rsidP="009D1B1A">
            <w:pPr>
              <w:jc w:val="center"/>
              <w:rPr>
                <w:i/>
                <w:iCs/>
                <w:color w:val="000000"/>
              </w:rPr>
            </w:pPr>
            <w:r w:rsidRPr="00C868F2">
              <w:rPr>
                <w:i/>
                <w:iCs/>
                <w:color w:val="000000"/>
              </w:rPr>
              <w:t>I</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8F9FC" w14:textId="77777777" w:rsidR="008A030A" w:rsidRPr="00C868F2" w:rsidRDefault="008A030A" w:rsidP="009D1B1A">
            <w:pPr>
              <w:jc w:val="center"/>
              <w:rPr>
                <w:color w:val="000000"/>
              </w:rPr>
            </w:pPr>
            <w:r w:rsidRPr="00C868F2">
              <w:rPr>
                <w:color w:val="000000"/>
              </w:rPr>
              <w:t>annual number of injections in the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B0D72" w14:textId="77777777" w:rsidR="008A030A" w:rsidRPr="00C868F2" w:rsidRDefault="008A030A" w:rsidP="009D1B1A">
            <w:pPr>
              <w:jc w:val="center"/>
              <w:rPr>
                <w:color w:val="000000"/>
              </w:rPr>
            </w:pPr>
            <w:r w:rsidRPr="00C868F2">
              <w:rPr>
                <w:color w:val="000000"/>
              </w:rPr>
              <w:t>170,731</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2AF7A2D" w14:textId="10706F9D"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26914E26"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4E4228" w14:textId="77777777" w:rsidR="008A030A" w:rsidRPr="00C868F2" w:rsidRDefault="008A030A" w:rsidP="009D1B1A">
            <w:pPr>
              <w:jc w:val="center"/>
              <w:rPr>
                <w:i/>
                <w:iCs/>
                <w:color w:val="000000"/>
              </w:rPr>
            </w:pPr>
            <w:r w:rsidRPr="00C868F2">
              <w:rPr>
                <w:i/>
                <w:iCs/>
                <w:color w:val="000000"/>
              </w:rPr>
              <w:t>o</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4CB72B" w14:textId="77777777" w:rsidR="008A030A" w:rsidRPr="00C868F2" w:rsidRDefault="008A030A" w:rsidP="009D1B1A">
            <w:pPr>
              <w:jc w:val="center"/>
              <w:rPr>
                <w:color w:val="000000"/>
              </w:rPr>
            </w:pPr>
            <w:r w:rsidRPr="00C868F2">
              <w:rPr>
                <w:color w:val="000000"/>
              </w:rPr>
              <w:t>the per-injection rate of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1BE721" w14:textId="77777777" w:rsidR="008A030A" w:rsidRPr="00C868F2" w:rsidRDefault="008A030A" w:rsidP="009D1B1A">
            <w:pPr>
              <w:jc w:val="center"/>
              <w:rPr>
                <w:color w:val="000000"/>
              </w:rPr>
            </w:pPr>
            <w:r w:rsidRPr="00C868F2">
              <w:rPr>
                <w:color w:val="000000"/>
              </w:rPr>
              <w:t>0.77%</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077ECD29" w14:textId="146D1D43"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0E0DB0DA"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E0BF" w14:textId="77777777" w:rsidR="008A030A" w:rsidRPr="00C868F2" w:rsidRDefault="008A030A" w:rsidP="009D1B1A">
            <w:pPr>
              <w:jc w:val="center"/>
              <w:rPr>
                <w:i/>
                <w:iCs/>
                <w:color w:val="000000"/>
              </w:rPr>
            </w:pPr>
            <w:r w:rsidRPr="00C868F2">
              <w:rPr>
                <w:i/>
                <w:iCs/>
                <w:color w:val="000000"/>
              </w:rPr>
              <w:t>C0</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DCA2A" w14:textId="05480062" w:rsidR="008A030A" w:rsidRPr="00C868F2" w:rsidRDefault="008A030A" w:rsidP="009D1B1A">
            <w:pPr>
              <w:jc w:val="center"/>
              <w:rPr>
                <w:color w:val="000000"/>
              </w:rPr>
            </w:pPr>
            <w:r w:rsidRPr="00C868F2">
              <w:rPr>
                <w:color w:val="000000"/>
              </w:rPr>
              <w:t>overdose ambulance calls outside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91BD" w14:textId="77777777" w:rsidR="008A030A" w:rsidRPr="00C868F2" w:rsidRDefault="008A030A" w:rsidP="009D1B1A">
            <w:pPr>
              <w:jc w:val="center"/>
              <w:rPr>
                <w:color w:val="000000"/>
              </w:rPr>
            </w:pPr>
            <w:r w:rsidRPr="00C868F2">
              <w:rPr>
                <w:color w:val="000000"/>
              </w:rPr>
              <w:t>45.90%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B10C977" w14:textId="77777777" w:rsidR="008A030A" w:rsidRPr="00C868F2" w:rsidRDefault="008A030A" w:rsidP="009D1B1A">
            <w:pPr>
              <w:jc w:val="center"/>
              <w:rPr>
                <w:color w:val="000000"/>
              </w:rPr>
            </w:pPr>
            <w:r w:rsidRPr="00C868F2">
              <w:rPr>
                <w:color w:val="000000"/>
              </w:rPr>
              <w:t>Pollini et al., 2006)</w:t>
            </w:r>
          </w:p>
        </w:tc>
      </w:tr>
      <w:tr w:rsidR="008A030A" w:rsidRPr="00C868F2" w14:paraId="3D57A4B1"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464DC6" w14:textId="77777777" w:rsidR="008A030A" w:rsidRPr="00C868F2" w:rsidRDefault="008A030A" w:rsidP="009D1B1A">
            <w:pPr>
              <w:jc w:val="center"/>
              <w:rPr>
                <w:i/>
                <w:iCs/>
                <w:color w:val="000000"/>
              </w:rPr>
            </w:pPr>
            <w:r w:rsidRPr="00C868F2">
              <w:rPr>
                <w:i/>
                <w:iCs/>
                <w:color w:val="000000"/>
              </w:rPr>
              <w:t>Ci</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226FB6" w14:textId="36435298" w:rsidR="008A030A" w:rsidRPr="00C868F2" w:rsidRDefault="008A030A" w:rsidP="009D1B1A">
            <w:pPr>
              <w:jc w:val="center"/>
              <w:rPr>
                <w:color w:val="000000"/>
              </w:rPr>
            </w:pPr>
            <w:r w:rsidRPr="00C868F2">
              <w:rPr>
                <w:color w:val="000000"/>
              </w:rPr>
              <w:t>overdose ambulance calls inside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24573D" w14:textId="77777777" w:rsidR="008A030A" w:rsidRPr="00C868F2" w:rsidRDefault="008A030A" w:rsidP="009D1B1A">
            <w:pPr>
              <w:jc w:val="center"/>
              <w:rPr>
                <w:color w:val="000000"/>
              </w:rPr>
            </w:pPr>
            <w:r w:rsidRPr="00C868F2">
              <w:rPr>
                <w:color w:val="000000"/>
              </w:rPr>
              <w:t>0.79%</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3B336287" w14:textId="77777777" w:rsidR="008A030A" w:rsidRPr="00C868F2" w:rsidRDefault="008A030A" w:rsidP="009D1B1A">
            <w:pPr>
              <w:jc w:val="center"/>
              <w:rPr>
                <w:color w:val="000000"/>
              </w:rPr>
            </w:pPr>
            <w:r w:rsidRPr="00C868F2">
              <w:rPr>
                <w:color w:val="000000"/>
              </w:rPr>
              <w:t>(Irwin et al., 2017)</w:t>
            </w:r>
          </w:p>
        </w:tc>
      </w:tr>
      <w:tr w:rsidR="008A030A" w:rsidRPr="00C868F2" w14:paraId="553F48F4"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5F75C" w14:textId="77777777" w:rsidR="008A030A" w:rsidRPr="00C868F2" w:rsidRDefault="008A030A" w:rsidP="009D1B1A">
            <w:pPr>
              <w:jc w:val="center"/>
              <w:rPr>
                <w:i/>
                <w:iCs/>
                <w:color w:val="000000"/>
              </w:rPr>
            </w:pPr>
            <w:r w:rsidRPr="00C868F2">
              <w:rPr>
                <w:i/>
                <w:iCs/>
                <w:color w:val="000000"/>
              </w:rPr>
              <w:t>A</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7531" w14:textId="4FC46463" w:rsidR="008A030A" w:rsidRPr="00C868F2" w:rsidRDefault="008A030A" w:rsidP="009D1B1A">
            <w:pPr>
              <w:jc w:val="center"/>
              <w:rPr>
                <w:color w:val="000000"/>
              </w:rPr>
            </w:pPr>
            <w:r w:rsidRPr="00C868F2">
              <w:rPr>
                <w:color w:val="000000"/>
              </w:rPr>
              <w:t>average cost of an overdose ambulance call</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9A71" w14:textId="3C4C1BA2" w:rsidR="008A030A" w:rsidRPr="00C868F2" w:rsidRDefault="008A030A" w:rsidP="009D1B1A">
            <w:pPr>
              <w:jc w:val="center"/>
              <w:rPr>
                <w:color w:val="000000"/>
              </w:rPr>
            </w:pPr>
            <w:r w:rsidRPr="00C868F2">
              <w:rPr>
                <w:color w:val="000000"/>
              </w:rPr>
              <w:t>$700</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4149905" w14:textId="77777777" w:rsidR="008A030A" w:rsidRPr="00C868F2" w:rsidRDefault="008A030A" w:rsidP="009D1B1A">
            <w:pPr>
              <w:jc w:val="center"/>
              <w:rPr>
                <w:color w:val="000000"/>
              </w:rPr>
            </w:pPr>
            <w:r w:rsidRPr="00C868F2">
              <w:rPr>
                <w:color w:val="000000"/>
              </w:rPr>
              <w:t>(Emergency Medical, 2022)</w:t>
            </w:r>
          </w:p>
        </w:tc>
      </w:tr>
      <w:tr w:rsidR="008A030A" w:rsidRPr="00C868F2" w14:paraId="3B51C537"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77DEA775" w14:textId="77777777" w:rsidR="008A030A" w:rsidRPr="00C868F2" w:rsidRDefault="008A030A" w:rsidP="009D1B1A">
            <w:pPr>
              <w:jc w:val="center"/>
              <w:rPr>
                <w:color w:val="000000"/>
              </w:rPr>
            </w:pPr>
          </w:p>
        </w:tc>
        <w:tc>
          <w:tcPr>
            <w:tcW w:w="5527" w:type="dxa"/>
            <w:tcBorders>
              <w:top w:val="nil"/>
              <w:left w:val="nil"/>
              <w:bottom w:val="nil"/>
              <w:right w:val="nil"/>
            </w:tcBorders>
            <w:shd w:val="clear" w:color="auto" w:fill="auto"/>
            <w:noWrap/>
            <w:vAlign w:val="bottom"/>
            <w:hideMark/>
          </w:tcPr>
          <w:p w14:paraId="33CB2625"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13832FFD"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2AD4A885" w14:textId="77777777" w:rsidR="008A030A" w:rsidRPr="00C868F2" w:rsidRDefault="008A030A" w:rsidP="009D1B1A">
            <w:pPr>
              <w:jc w:val="center"/>
            </w:pPr>
          </w:p>
        </w:tc>
      </w:tr>
      <w:tr w:rsidR="008A030A" w:rsidRPr="00C868F2" w14:paraId="35D4ED4F"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4B07B316" w14:textId="77777777" w:rsidR="008A030A" w:rsidRPr="00C868F2" w:rsidRDefault="008A030A" w:rsidP="009D1B1A">
            <w:pPr>
              <w:jc w:val="center"/>
            </w:pPr>
          </w:p>
        </w:tc>
        <w:tc>
          <w:tcPr>
            <w:tcW w:w="5527" w:type="dxa"/>
            <w:tcBorders>
              <w:top w:val="nil"/>
              <w:left w:val="nil"/>
              <w:bottom w:val="nil"/>
              <w:right w:val="nil"/>
            </w:tcBorders>
            <w:shd w:val="clear" w:color="auto" w:fill="auto"/>
            <w:noWrap/>
            <w:vAlign w:val="bottom"/>
            <w:hideMark/>
          </w:tcPr>
          <w:p w14:paraId="016E203F"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78D7CEC6"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0A24837C" w14:textId="77777777" w:rsidR="008A030A" w:rsidRPr="00C868F2" w:rsidRDefault="008A030A" w:rsidP="009D1B1A">
            <w:pPr>
              <w:jc w:val="center"/>
            </w:pPr>
          </w:p>
        </w:tc>
      </w:tr>
      <w:tr w:rsidR="008A030A" w:rsidRPr="00C868F2" w14:paraId="042962D9"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44A0D18E" w14:textId="77777777" w:rsidR="008A030A" w:rsidRPr="00C868F2" w:rsidRDefault="008A030A" w:rsidP="009D1B1A">
            <w:pPr>
              <w:jc w:val="center"/>
            </w:pPr>
          </w:p>
        </w:tc>
        <w:tc>
          <w:tcPr>
            <w:tcW w:w="5527" w:type="dxa"/>
            <w:tcBorders>
              <w:top w:val="nil"/>
              <w:left w:val="nil"/>
              <w:bottom w:val="nil"/>
              <w:right w:val="nil"/>
            </w:tcBorders>
            <w:shd w:val="clear" w:color="auto" w:fill="auto"/>
            <w:noWrap/>
            <w:vAlign w:val="bottom"/>
            <w:hideMark/>
          </w:tcPr>
          <w:p w14:paraId="689416F7"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1441EE88"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406880FE" w14:textId="77777777" w:rsidR="008A030A" w:rsidRPr="00C868F2" w:rsidRDefault="008A030A" w:rsidP="009D1B1A">
            <w:pPr>
              <w:jc w:val="center"/>
            </w:pPr>
          </w:p>
        </w:tc>
      </w:tr>
      <w:tr w:rsidR="008A030A" w:rsidRPr="00C868F2" w14:paraId="21A52740" w14:textId="77777777" w:rsidTr="009D1B1A">
        <w:trPr>
          <w:trHeight w:val="317"/>
          <w:jc w:val="center"/>
        </w:trPr>
        <w:tc>
          <w:tcPr>
            <w:tcW w:w="93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C1D8C0" w14:textId="6D3EF8F6" w:rsidR="008A030A" w:rsidRPr="00C868F2" w:rsidRDefault="008A030A" w:rsidP="009D1B1A">
            <w:pPr>
              <w:jc w:val="center"/>
              <w:rPr>
                <w:b/>
                <w:bCs/>
                <w:color w:val="000000"/>
              </w:rPr>
            </w:pPr>
            <w:r w:rsidRPr="00C868F2">
              <w:rPr>
                <w:b/>
                <w:bCs/>
                <w:color w:val="000000"/>
              </w:rPr>
              <w:t>Upper Bound for Averted Emergency Room Visits (Increased 50%)</w:t>
            </w:r>
          </w:p>
        </w:tc>
      </w:tr>
      <w:tr w:rsidR="008A030A" w:rsidRPr="00C868F2" w14:paraId="3BA44F3F"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927F" w14:textId="77777777" w:rsidR="008A030A" w:rsidRPr="00C868F2" w:rsidRDefault="008A030A" w:rsidP="009D1B1A">
            <w:pPr>
              <w:jc w:val="center"/>
              <w:rPr>
                <w:b/>
                <w:bCs/>
                <w:color w:val="000000"/>
              </w:rPr>
            </w:pPr>
            <w:r w:rsidRPr="00C868F2">
              <w:rPr>
                <w:b/>
                <w:bCs/>
                <w:color w:val="000000"/>
              </w:rPr>
              <w:t>Variable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40095" w14:textId="77777777" w:rsidR="008A030A" w:rsidRPr="00C868F2" w:rsidRDefault="008A030A" w:rsidP="009D1B1A">
            <w:pPr>
              <w:jc w:val="center"/>
              <w:rPr>
                <w:b/>
                <w:bCs/>
                <w:color w:val="000000"/>
              </w:rPr>
            </w:pPr>
            <w:r w:rsidRPr="00C868F2">
              <w:rPr>
                <w:b/>
                <w:bCs/>
                <w:color w:val="000000"/>
              </w:rPr>
              <w:t>Description</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723EE" w14:textId="77777777" w:rsidR="008A030A" w:rsidRPr="00C868F2" w:rsidRDefault="008A030A" w:rsidP="009D1B1A">
            <w:pPr>
              <w:jc w:val="center"/>
              <w:rPr>
                <w:b/>
                <w:bCs/>
                <w:color w:val="000000"/>
              </w:rPr>
            </w:pPr>
            <w:r w:rsidRPr="00C868F2">
              <w:rPr>
                <w:b/>
                <w:bCs/>
                <w:color w:val="000000"/>
              </w:rPr>
              <w:t>Value</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44A2618" w14:textId="77777777" w:rsidR="008A030A" w:rsidRPr="00C868F2" w:rsidRDefault="008A030A" w:rsidP="009D1B1A">
            <w:pPr>
              <w:jc w:val="center"/>
              <w:rPr>
                <w:b/>
                <w:bCs/>
                <w:color w:val="000000"/>
              </w:rPr>
            </w:pPr>
            <w:r w:rsidRPr="00C868F2">
              <w:rPr>
                <w:b/>
                <w:bCs/>
                <w:color w:val="000000"/>
              </w:rPr>
              <w:t>Source</w:t>
            </w:r>
          </w:p>
        </w:tc>
      </w:tr>
      <w:tr w:rsidR="008A030A" w:rsidRPr="00C868F2" w14:paraId="5251F70E"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80E646" w14:textId="77777777" w:rsidR="008A030A" w:rsidRPr="00C868F2" w:rsidRDefault="008A030A" w:rsidP="009D1B1A">
            <w:pPr>
              <w:jc w:val="center"/>
              <w:rPr>
                <w:i/>
                <w:iCs/>
                <w:color w:val="000000"/>
              </w:rPr>
            </w:pPr>
            <w:r w:rsidRPr="00C868F2">
              <w:rPr>
                <w:i/>
                <w:iCs/>
                <w:color w:val="000000"/>
              </w:rPr>
              <w:t>Ser</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0EE2B8" w14:textId="77777777" w:rsidR="008A030A" w:rsidRPr="00C868F2" w:rsidRDefault="008A030A" w:rsidP="009D1B1A">
            <w:pPr>
              <w:jc w:val="center"/>
              <w:rPr>
                <w:color w:val="000000"/>
              </w:rPr>
            </w:pPr>
            <w:r w:rsidRPr="00C868F2">
              <w:rPr>
                <w:color w:val="000000"/>
              </w:rPr>
              <w:t>annual savings due to the SCS reducing emergency room visits for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1C9E23" w14:textId="4ECCDE62" w:rsidR="008A030A" w:rsidRPr="00C868F2" w:rsidRDefault="008A030A" w:rsidP="009D1B1A">
            <w:pPr>
              <w:jc w:val="center"/>
              <w:rPr>
                <w:b/>
                <w:bCs/>
                <w:color w:val="000000"/>
              </w:rPr>
            </w:pPr>
            <w:r w:rsidRPr="00C868F2">
              <w:rPr>
                <w:b/>
                <w:bCs/>
                <w:color w:val="000000"/>
              </w:rPr>
              <w:t>$860,010.51</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3BEB70C5" w14:textId="77777777" w:rsidR="008A030A" w:rsidRPr="00C868F2" w:rsidRDefault="008A030A" w:rsidP="009D1B1A">
            <w:pPr>
              <w:jc w:val="center"/>
              <w:rPr>
                <w:color w:val="000000"/>
              </w:rPr>
            </w:pPr>
            <w:r w:rsidRPr="00C868F2">
              <w:rPr>
                <w:color w:val="000000"/>
              </w:rPr>
              <w:t>(Irwin et al., 2017)</w:t>
            </w:r>
          </w:p>
        </w:tc>
      </w:tr>
      <w:tr w:rsidR="008A030A" w:rsidRPr="00C868F2" w14:paraId="4D81A7D8"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FA47C" w14:textId="77777777" w:rsidR="008A030A" w:rsidRPr="00C868F2" w:rsidRDefault="008A030A" w:rsidP="009D1B1A">
            <w:pPr>
              <w:jc w:val="center"/>
              <w:rPr>
                <w:i/>
                <w:iCs/>
                <w:color w:val="000000"/>
              </w:rPr>
            </w:pPr>
            <w:r w:rsidRPr="00C868F2">
              <w:rPr>
                <w:i/>
                <w:iCs/>
                <w:color w:val="000000"/>
              </w:rPr>
              <w:t>I</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5FF11" w14:textId="77777777" w:rsidR="008A030A" w:rsidRPr="00C868F2" w:rsidRDefault="008A030A" w:rsidP="009D1B1A">
            <w:pPr>
              <w:jc w:val="center"/>
              <w:rPr>
                <w:color w:val="000000"/>
              </w:rPr>
            </w:pPr>
            <w:r w:rsidRPr="00C868F2">
              <w:rPr>
                <w:color w:val="000000"/>
              </w:rPr>
              <w:t>annual number of injections in the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F6BB" w14:textId="77777777" w:rsidR="008A030A" w:rsidRPr="00C868F2" w:rsidRDefault="008A030A" w:rsidP="009D1B1A">
            <w:pPr>
              <w:jc w:val="center"/>
              <w:rPr>
                <w:color w:val="000000"/>
              </w:rPr>
            </w:pPr>
            <w:r w:rsidRPr="00C868F2">
              <w:rPr>
                <w:color w:val="000000"/>
              </w:rPr>
              <w:t>170,731</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0544FAE" w14:textId="1099AEAF"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52BA53C1"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10D6F3" w14:textId="77777777" w:rsidR="008A030A" w:rsidRPr="00C868F2" w:rsidRDefault="008A030A" w:rsidP="009D1B1A">
            <w:pPr>
              <w:jc w:val="center"/>
              <w:rPr>
                <w:i/>
                <w:iCs/>
                <w:color w:val="000000"/>
              </w:rPr>
            </w:pPr>
            <w:r w:rsidRPr="00C868F2">
              <w:rPr>
                <w:i/>
                <w:iCs/>
                <w:color w:val="000000"/>
              </w:rPr>
              <w:t>o</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12D4B5" w14:textId="77777777" w:rsidR="008A030A" w:rsidRPr="00C868F2" w:rsidRDefault="008A030A" w:rsidP="009D1B1A">
            <w:pPr>
              <w:jc w:val="center"/>
              <w:rPr>
                <w:color w:val="000000"/>
              </w:rPr>
            </w:pPr>
            <w:r w:rsidRPr="00C868F2">
              <w:rPr>
                <w:color w:val="000000"/>
              </w:rPr>
              <w:t>the per-injection rate of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7718F1" w14:textId="77777777" w:rsidR="008A030A" w:rsidRPr="00C868F2" w:rsidRDefault="008A030A" w:rsidP="009D1B1A">
            <w:pPr>
              <w:jc w:val="center"/>
              <w:rPr>
                <w:color w:val="000000"/>
              </w:rPr>
            </w:pPr>
            <w:r w:rsidRPr="00C868F2">
              <w:rPr>
                <w:color w:val="000000"/>
              </w:rPr>
              <w:t>0.77%</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0004C9B2" w14:textId="0F697C6F"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7E235A8C"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05C1" w14:textId="77777777" w:rsidR="008A030A" w:rsidRPr="00C868F2" w:rsidRDefault="008A030A" w:rsidP="009D1B1A">
            <w:pPr>
              <w:jc w:val="center"/>
              <w:rPr>
                <w:i/>
                <w:iCs/>
                <w:color w:val="000000"/>
              </w:rPr>
            </w:pPr>
            <w:r w:rsidRPr="00C868F2">
              <w:rPr>
                <w:i/>
                <w:iCs/>
                <w:color w:val="000000"/>
              </w:rPr>
              <w:t>t0</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5A15F" w14:textId="77777777" w:rsidR="008A030A" w:rsidRPr="00C868F2" w:rsidRDefault="008A030A" w:rsidP="009D1B1A">
            <w:pPr>
              <w:jc w:val="center"/>
              <w:rPr>
                <w:color w:val="000000"/>
              </w:rPr>
            </w:pPr>
            <w:r w:rsidRPr="00C868F2">
              <w:rPr>
                <w:color w:val="000000"/>
              </w:rPr>
              <w:t>rates of ER visit for overdose when the overdose occurs outside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6E57" w14:textId="77777777" w:rsidR="008A030A" w:rsidRPr="00C868F2" w:rsidRDefault="008A030A" w:rsidP="009D1B1A">
            <w:pPr>
              <w:jc w:val="center"/>
              <w:rPr>
                <w:color w:val="000000"/>
              </w:rPr>
            </w:pPr>
            <w:r w:rsidRPr="00C868F2">
              <w:rPr>
                <w:color w:val="000000"/>
              </w:rPr>
              <w:t>33%</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ED1B540" w14:textId="77777777" w:rsidR="008A030A" w:rsidRPr="00C868F2" w:rsidRDefault="008A030A" w:rsidP="009D1B1A">
            <w:pPr>
              <w:jc w:val="center"/>
              <w:rPr>
                <w:color w:val="000000"/>
              </w:rPr>
            </w:pPr>
            <w:r w:rsidRPr="00C868F2">
              <w:rPr>
                <w:color w:val="000000"/>
              </w:rPr>
              <w:t>(Pollini et al., 2006)</w:t>
            </w:r>
          </w:p>
        </w:tc>
      </w:tr>
      <w:tr w:rsidR="008A030A" w:rsidRPr="00C868F2" w14:paraId="20FE8159"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55A845" w14:textId="77777777" w:rsidR="008A030A" w:rsidRPr="00C868F2" w:rsidRDefault="008A030A" w:rsidP="009D1B1A">
            <w:pPr>
              <w:jc w:val="center"/>
              <w:rPr>
                <w:i/>
                <w:iCs/>
                <w:color w:val="000000"/>
              </w:rPr>
            </w:pPr>
            <w:r w:rsidRPr="00C868F2">
              <w:rPr>
                <w:i/>
                <w:iCs/>
                <w:color w:val="000000"/>
              </w:rPr>
              <w:t>ti</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2518D6" w14:textId="77777777" w:rsidR="008A030A" w:rsidRPr="00C868F2" w:rsidRDefault="008A030A" w:rsidP="009D1B1A">
            <w:pPr>
              <w:jc w:val="center"/>
              <w:rPr>
                <w:color w:val="000000"/>
              </w:rPr>
            </w:pPr>
            <w:r w:rsidRPr="00C868F2">
              <w:rPr>
                <w:color w:val="000000"/>
              </w:rPr>
              <w:t>using ambulance call rate as an upper bound</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36A54F" w14:textId="77777777" w:rsidR="008A030A" w:rsidRPr="00C868F2" w:rsidRDefault="008A030A" w:rsidP="009D1B1A">
            <w:pPr>
              <w:jc w:val="center"/>
              <w:rPr>
                <w:color w:val="000000"/>
              </w:rPr>
            </w:pPr>
            <w:r w:rsidRPr="00C868F2">
              <w:rPr>
                <w:color w:val="000000"/>
              </w:rPr>
              <w:t>0.79%</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277079D4" w14:textId="77777777" w:rsidR="008A030A" w:rsidRPr="00C868F2" w:rsidRDefault="008A030A" w:rsidP="009D1B1A">
            <w:pPr>
              <w:jc w:val="center"/>
              <w:rPr>
                <w:color w:val="000000"/>
              </w:rPr>
            </w:pPr>
            <w:r w:rsidRPr="00C868F2">
              <w:rPr>
                <w:color w:val="000000"/>
              </w:rPr>
              <w:t>(Irwin et al., 2017)</w:t>
            </w:r>
          </w:p>
        </w:tc>
      </w:tr>
      <w:tr w:rsidR="008A030A" w:rsidRPr="00C868F2" w14:paraId="1CCF1CDD"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0A2C" w14:textId="77777777" w:rsidR="008A030A" w:rsidRPr="00C868F2" w:rsidRDefault="008A030A" w:rsidP="009D1B1A">
            <w:pPr>
              <w:jc w:val="center"/>
              <w:rPr>
                <w:i/>
                <w:iCs/>
                <w:color w:val="000000"/>
              </w:rPr>
            </w:pPr>
            <w:r w:rsidRPr="00C868F2">
              <w:rPr>
                <w:i/>
                <w:iCs/>
                <w:color w:val="000000"/>
              </w:rPr>
              <w:t>F</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427D4" w14:textId="247C28D9" w:rsidR="008A030A" w:rsidRPr="00C868F2" w:rsidRDefault="008A030A" w:rsidP="009D1B1A">
            <w:pPr>
              <w:jc w:val="center"/>
              <w:rPr>
                <w:color w:val="000000"/>
              </w:rPr>
            </w:pPr>
            <w:r w:rsidRPr="00C868F2">
              <w:rPr>
                <w:color w:val="000000"/>
              </w:rPr>
              <w:t>the average cost of an overdose emergency room visit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D4CB" w14:textId="4A37DF1A" w:rsidR="008A030A" w:rsidRPr="00C868F2" w:rsidRDefault="008A030A" w:rsidP="009D1B1A">
            <w:pPr>
              <w:jc w:val="center"/>
              <w:rPr>
                <w:color w:val="000000"/>
              </w:rPr>
            </w:pPr>
            <w:r w:rsidRPr="00C868F2">
              <w:rPr>
                <w:color w:val="000000"/>
              </w:rPr>
              <w:t>$1,354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958555A" w14:textId="77777777" w:rsidR="008A030A" w:rsidRPr="00C868F2" w:rsidRDefault="008A030A" w:rsidP="009D1B1A">
            <w:pPr>
              <w:jc w:val="center"/>
              <w:rPr>
                <w:color w:val="000000"/>
              </w:rPr>
            </w:pPr>
            <w:r w:rsidRPr="00C868F2">
              <w:rPr>
                <w:color w:val="000000"/>
              </w:rPr>
              <w:t>(Rienzi, 2014)</w:t>
            </w:r>
          </w:p>
        </w:tc>
      </w:tr>
      <w:tr w:rsidR="008A030A" w:rsidRPr="00C868F2" w14:paraId="0FE3F026"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6777AC28" w14:textId="77777777" w:rsidR="008A030A" w:rsidRDefault="008A030A" w:rsidP="009D1B1A">
            <w:pPr>
              <w:jc w:val="center"/>
              <w:rPr>
                <w:color w:val="000000"/>
              </w:rPr>
            </w:pPr>
          </w:p>
          <w:p w14:paraId="5093027B" w14:textId="66124F43" w:rsidR="009B293E" w:rsidRPr="00C868F2" w:rsidRDefault="009B293E" w:rsidP="009D1B1A">
            <w:pPr>
              <w:jc w:val="center"/>
              <w:rPr>
                <w:color w:val="000000"/>
              </w:rPr>
            </w:pPr>
          </w:p>
        </w:tc>
        <w:tc>
          <w:tcPr>
            <w:tcW w:w="5527" w:type="dxa"/>
            <w:tcBorders>
              <w:top w:val="nil"/>
              <w:left w:val="nil"/>
              <w:bottom w:val="nil"/>
              <w:right w:val="nil"/>
            </w:tcBorders>
            <w:shd w:val="clear" w:color="auto" w:fill="auto"/>
            <w:noWrap/>
            <w:vAlign w:val="bottom"/>
            <w:hideMark/>
          </w:tcPr>
          <w:p w14:paraId="32D30B5E"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6567D117"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5ACD452F" w14:textId="77777777" w:rsidR="008A030A" w:rsidRPr="00C868F2" w:rsidRDefault="008A030A" w:rsidP="009D1B1A">
            <w:pPr>
              <w:jc w:val="center"/>
            </w:pPr>
          </w:p>
        </w:tc>
      </w:tr>
      <w:tr w:rsidR="008A030A" w:rsidRPr="00C868F2" w14:paraId="444B36B6"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68844F28" w14:textId="77777777" w:rsidR="008A030A" w:rsidRDefault="008A030A" w:rsidP="009D1B1A">
            <w:pPr>
              <w:jc w:val="center"/>
            </w:pPr>
          </w:p>
          <w:p w14:paraId="36808DA3" w14:textId="46C401C2" w:rsidR="00433AA4" w:rsidRPr="00C868F2" w:rsidRDefault="00433AA4" w:rsidP="009D1B1A">
            <w:pPr>
              <w:jc w:val="center"/>
            </w:pPr>
          </w:p>
        </w:tc>
        <w:tc>
          <w:tcPr>
            <w:tcW w:w="5527" w:type="dxa"/>
            <w:tcBorders>
              <w:top w:val="nil"/>
              <w:left w:val="nil"/>
              <w:bottom w:val="nil"/>
              <w:right w:val="nil"/>
            </w:tcBorders>
            <w:shd w:val="clear" w:color="auto" w:fill="auto"/>
            <w:noWrap/>
            <w:vAlign w:val="bottom"/>
            <w:hideMark/>
          </w:tcPr>
          <w:p w14:paraId="4CAD082D" w14:textId="77777777" w:rsidR="008A030A" w:rsidRDefault="008A030A" w:rsidP="009D1B1A">
            <w:pPr>
              <w:jc w:val="center"/>
            </w:pPr>
          </w:p>
          <w:p w14:paraId="7CC68A04" w14:textId="2DD12CB6" w:rsidR="00194A07" w:rsidRPr="00C868F2" w:rsidRDefault="00194A07" w:rsidP="009D1B1A">
            <w:pPr>
              <w:jc w:val="center"/>
            </w:pPr>
          </w:p>
        </w:tc>
        <w:tc>
          <w:tcPr>
            <w:tcW w:w="1015" w:type="dxa"/>
            <w:tcBorders>
              <w:top w:val="nil"/>
              <w:left w:val="nil"/>
              <w:bottom w:val="nil"/>
              <w:right w:val="nil"/>
            </w:tcBorders>
            <w:shd w:val="clear" w:color="auto" w:fill="auto"/>
            <w:noWrap/>
            <w:vAlign w:val="bottom"/>
            <w:hideMark/>
          </w:tcPr>
          <w:p w14:paraId="67A9B98E"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75407165" w14:textId="77777777" w:rsidR="008A030A" w:rsidRPr="00C868F2" w:rsidRDefault="008A030A" w:rsidP="009D1B1A">
            <w:pPr>
              <w:jc w:val="center"/>
            </w:pPr>
          </w:p>
        </w:tc>
      </w:tr>
      <w:tr w:rsidR="008A030A" w:rsidRPr="00C868F2" w14:paraId="5F219C77" w14:textId="77777777" w:rsidTr="009D1B1A">
        <w:trPr>
          <w:trHeight w:val="317"/>
          <w:jc w:val="center"/>
        </w:trPr>
        <w:tc>
          <w:tcPr>
            <w:tcW w:w="93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7ECA3F" w14:textId="53029B39" w:rsidR="008A030A" w:rsidRPr="00C868F2" w:rsidRDefault="008A030A" w:rsidP="009D1B1A">
            <w:pPr>
              <w:jc w:val="center"/>
              <w:rPr>
                <w:b/>
                <w:bCs/>
                <w:color w:val="000000"/>
              </w:rPr>
            </w:pPr>
            <w:r w:rsidRPr="00C868F2">
              <w:rPr>
                <w:b/>
                <w:bCs/>
                <w:color w:val="000000"/>
              </w:rPr>
              <w:lastRenderedPageBreak/>
              <w:t>Lower Bound for Averted Emergency Room Visits (Decreased 50%)</w:t>
            </w:r>
          </w:p>
        </w:tc>
      </w:tr>
      <w:tr w:rsidR="008A030A" w:rsidRPr="00C868F2" w14:paraId="6C219E5F"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694F" w14:textId="77777777" w:rsidR="008A030A" w:rsidRPr="00C868F2" w:rsidRDefault="008A030A" w:rsidP="009D1B1A">
            <w:pPr>
              <w:jc w:val="center"/>
              <w:rPr>
                <w:b/>
                <w:bCs/>
                <w:color w:val="000000"/>
              </w:rPr>
            </w:pPr>
            <w:r w:rsidRPr="00C868F2">
              <w:rPr>
                <w:b/>
                <w:bCs/>
                <w:color w:val="000000"/>
              </w:rPr>
              <w:t>Variable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0BAA3" w14:textId="77777777" w:rsidR="008A030A" w:rsidRPr="00C868F2" w:rsidRDefault="008A030A" w:rsidP="009D1B1A">
            <w:pPr>
              <w:jc w:val="center"/>
              <w:rPr>
                <w:b/>
                <w:bCs/>
                <w:color w:val="000000"/>
              </w:rPr>
            </w:pPr>
            <w:r w:rsidRPr="00C868F2">
              <w:rPr>
                <w:b/>
                <w:bCs/>
                <w:color w:val="000000"/>
              </w:rPr>
              <w:t>Description</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4EF3B" w14:textId="77777777" w:rsidR="008A030A" w:rsidRPr="00C868F2" w:rsidRDefault="008A030A" w:rsidP="009D1B1A">
            <w:pPr>
              <w:jc w:val="center"/>
              <w:rPr>
                <w:b/>
                <w:bCs/>
                <w:color w:val="000000"/>
              </w:rPr>
            </w:pPr>
            <w:r w:rsidRPr="00C868F2">
              <w:rPr>
                <w:b/>
                <w:bCs/>
                <w:color w:val="000000"/>
              </w:rPr>
              <w:t>Value</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D3A998E" w14:textId="77777777" w:rsidR="008A030A" w:rsidRPr="00C868F2" w:rsidRDefault="008A030A" w:rsidP="009D1B1A">
            <w:pPr>
              <w:jc w:val="center"/>
              <w:rPr>
                <w:b/>
                <w:bCs/>
                <w:color w:val="000000"/>
              </w:rPr>
            </w:pPr>
            <w:r w:rsidRPr="00C868F2">
              <w:rPr>
                <w:b/>
                <w:bCs/>
                <w:color w:val="000000"/>
              </w:rPr>
              <w:t>Source</w:t>
            </w:r>
          </w:p>
        </w:tc>
      </w:tr>
      <w:tr w:rsidR="008A030A" w:rsidRPr="00C868F2" w14:paraId="20B24F27"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C58EC8" w14:textId="77777777" w:rsidR="008A030A" w:rsidRPr="00C868F2" w:rsidRDefault="008A030A" w:rsidP="009D1B1A">
            <w:pPr>
              <w:jc w:val="center"/>
              <w:rPr>
                <w:i/>
                <w:iCs/>
                <w:color w:val="000000"/>
              </w:rPr>
            </w:pPr>
            <w:r w:rsidRPr="00C868F2">
              <w:rPr>
                <w:i/>
                <w:iCs/>
                <w:color w:val="000000"/>
              </w:rPr>
              <w:t>Ser</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037AA1" w14:textId="77777777" w:rsidR="008A030A" w:rsidRPr="00C868F2" w:rsidRDefault="008A030A" w:rsidP="009D1B1A">
            <w:pPr>
              <w:jc w:val="center"/>
              <w:rPr>
                <w:color w:val="000000"/>
              </w:rPr>
            </w:pPr>
            <w:r w:rsidRPr="00C868F2">
              <w:rPr>
                <w:color w:val="000000"/>
              </w:rPr>
              <w:t>annual savings due to the SCS reducing emergency room visits for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844284" w14:textId="5C76D337" w:rsidR="008A030A" w:rsidRPr="00C868F2" w:rsidRDefault="008A030A" w:rsidP="009D1B1A">
            <w:pPr>
              <w:jc w:val="center"/>
              <w:rPr>
                <w:b/>
                <w:bCs/>
                <w:color w:val="000000"/>
              </w:rPr>
            </w:pPr>
            <w:r w:rsidRPr="00C868F2">
              <w:rPr>
                <w:b/>
                <w:bCs/>
                <w:color w:val="000000"/>
              </w:rPr>
              <w:t>$286,670.17</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52F87521" w14:textId="77777777" w:rsidR="008A030A" w:rsidRPr="00C868F2" w:rsidRDefault="008A030A" w:rsidP="009D1B1A">
            <w:pPr>
              <w:jc w:val="center"/>
              <w:rPr>
                <w:color w:val="000000"/>
              </w:rPr>
            </w:pPr>
            <w:r w:rsidRPr="00C868F2">
              <w:rPr>
                <w:color w:val="000000"/>
              </w:rPr>
              <w:t>(Irwin et al., 2017)</w:t>
            </w:r>
          </w:p>
        </w:tc>
      </w:tr>
      <w:tr w:rsidR="008A030A" w:rsidRPr="00C868F2" w14:paraId="6355BF50"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4EAD" w14:textId="77777777" w:rsidR="008A030A" w:rsidRPr="00C868F2" w:rsidRDefault="008A030A" w:rsidP="009D1B1A">
            <w:pPr>
              <w:jc w:val="center"/>
              <w:rPr>
                <w:i/>
                <w:iCs/>
                <w:color w:val="000000"/>
              </w:rPr>
            </w:pPr>
            <w:r w:rsidRPr="00C868F2">
              <w:rPr>
                <w:i/>
                <w:iCs/>
                <w:color w:val="000000"/>
              </w:rPr>
              <w:t>I</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E35EF" w14:textId="77777777" w:rsidR="008A030A" w:rsidRPr="00C868F2" w:rsidRDefault="008A030A" w:rsidP="009D1B1A">
            <w:pPr>
              <w:jc w:val="center"/>
              <w:rPr>
                <w:color w:val="000000"/>
              </w:rPr>
            </w:pPr>
            <w:r w:rsidRPr="00C868F2">
              <w:rPr>
                <w:color w:val="000000"/>
              </w:rPr>
              <w:t>annual number of injections in the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1206" w14:textId="77777777" w:rsidR="008A030A" w:rsidRPr="00C868F2" w:rsidRDefault="008A030A" w:rsidP="009D1B1A">
            <w:pPr>
              <w:jc w:val="center"/>
              <w:rPr>
                <w:color w:val="000000"/>
              </w:rPr>
            </w:pPr>
            <w:r w:rsidRPr="00C868F2">
              <w:rPr>
                <w:color w:val="000000"/>
              </w:rPr>
              <w:t>170,731</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40C8684A" w14:textId="4CF550F9"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1F8E1DCE"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99577F" w14:textId="77777777" w:rsidR="008A030A" w:rsidRPr="00C868F2" w:rsidRDefault="008A030A" w:rsidP="009D1B1A">
            <w:pPr>
              <w:jc w:val="center"/>
              <w:rPr>
                <w:i/>
                <w:iCs/>
                <w:color w:val="000000"/>
              </w:rPr>
            </w:pPr>
            <w:r w:rsidRPr="00C868F2">
              <w:rPr>
                <w:i/>
                <w:iCs/>
                <w:color w:val="000000"/>
              </w:rPr>
              <w:t>o</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BE9181" w14:textId="77777777" w:rsidR="008A030A" w:rsidRPr="00C868F2" w:rsidRDefault="008A030A" w:rsidP="009D1B1A">
            <w:pPr>
              <w:jc w:val="center"/>
              <w:rPr>
                <w:color w:val="000000"/>
              </w:rPr>
            </w:pPr>
            <w:r w:rsidRPr="00C868F2">
              <w:rPr>
                <w:color w:val="000000"/>
              </w:rPr>
              <w:t>the per-injection rate of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E0F122" w14:textId="77777777" w:rsidR="008A030A" w:rsidRPr="00C868F2" w:rsidRDefault="008A030A" w:rsidP="009D1B1A">
            <w:pPr>
              <w:jc w:val="center"/>
              <w:rPr>
                <w:color w:val="000000"/>
              </w:rPr>
            </w:pPr>
            <w:r w:rsidRPr="00C868F2">
              <w:rPr>
                <w:color w:val="000000"/>
              </w:rPr>
              <w:t>0.77%</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498F7526" w14:textId="28197D32"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25C6AF56"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2A00" w14:textId="77777777" w:rsidR="008A030A" w:rsidRPr="00C868F2" w:rsidRDefault="008A030A" w:rsidP="009D1B1A">
            <w:pPr>
              <w:jc w:val="center"/>
              <w:rPr>
                <w:i/>
                <w:iCs/>
                <w:color w:val="000000"/>
              </w:rPr>
            </w:pPr>
            <w:r w:rsidRPr="00C868F2">
              <w:rPr>
                <w:i/>
                <w:iCs/>
                <w:color w:val="000000"/>
              </w:rPr>
              <w:t>t0</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A0463" w14:textId="77777777" w:rsidR="008A030A" w:rsidRPr="00C868F2" w:rsidRDefault="008A030A" w:rsidP="009D1B1A">
            <w:pPr>
              <w:jc w:val="center"/>
              <w:rPr>
                <w:color w:val="000000"/>
              </w:rPr>
            </w:pPr>
            <w:r w:rsidRPr="00C868F2">
              <w:rPr>
                <w:color w:val="000000"/>
              </w:rPr>
              <w:t>rates of ER visit for overdose when the overdose occurs outside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72143" w14:textId="77777777" w:rsidR="008A030A" w:rsidRPr="00C868F2" w:rsidRDefault="008A030A" w:rsidP="009D1B1A">
            <w:pPr>
              <w:jc w:val="center"/>
              <w:rPr>
                <w:color w:val="000000"/>
              </w:rPr>
            </w:pPr>
            <w:r w:rsidRPr="00C868F2">
              <w:rPr>
                <w:color w:val="000000"/>
              </w:rPr>
              <w:t>33%</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763ABE7" w14:textId="77777777" w:rsidR="008A030A" w:rsidRPr="00C868F2" w:rsidRDefault="008A030A" w:rsidP="009D1B1A">
            <w:pPr>
              <w:jc w:val="center"/>
              <w:rPr>
                <w:color w:val="000000"/>
              </w:rPr>
            </w:pPr>
            <w:r w:rsidRPr="00C868F2">
              <w:rPr>
                <w:color w:val="000000"/>
              </w:rPr>
              <w:t>Pollini et al., 2006)</w:t>
            </w:r>
          </w:p>
        </w:tc>
      </w:tr>
      <w:tr w:rsidR="008A030A" w:rsidRPr="00C868F2" w14:paraId="29CDB7EC"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4137BB" w14:textId="77777777" w:rsidR="008A030A" w:rsidRPr="00C868F2" w:rsidRDefault="008A030A" w:rsidP="009D1B1A">
            <w:pPr>
              <w:jc w:val="center"/>
              <w:rPr>
                <w:i/>
                <w:iCs/>
                <w:color w:val="000000"/>
              </w:rPr>
            </w:pPr>
            <w:r w:rsidRPr="00C868F2">
              <w:rPr>
                <w:i/>
                <w:iCs/>
                <w:color w:val="000000"/>
              </w:rPr>
              <w:t>ti</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03D155" w14:textId="77777777" w:rsidR="008A030A" w:rsidRPr="00C868F2" w:rsidRDefault="008A030A" w:rsidP="009D1B1A">
            <w:pPr>
              <w:jc w:val="center"/>
              <w:rPr>
                <w:color w:val="000000"/>
              </w:rPr>
            </w:pPr>
            <w:r w:rsidRPr="00C868F2">
              <w:rPr>
                <w:color w:val="000000"/>
              </w:rPr>
              <w:t>using ambulance call rate as an upper bound</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827FE5" w14:textId="77777777" w:rsidR="008A030A" w:rsidRPr="00C868F2" w:rsidRDefault="008A030A" w:rsidP="009D1B1A">
            <w:pPr>
              <w:jc w:val="center"/>
              <w:rPr>
                <w:color w:val="000000"/>
              </w:rPr>
            </w:pPr>
            <w:r w:rsidRPr="00C868F2">
              <w:rPr>
                <w:color w:val="000000"/>
              </w:rPr>
              <w:t>0.79%</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4571621C" w14:textId="77777777" w:rsidR="008A030A" w:rsidRPr="00C868F2" w:rsidRDefault="008A030A" w:rsidP="009D1B1A">
            <w:pPr>
              <w:jc w:val="center"/>
              <w:rPr>
                <w:color w:val="000000"/>
              </w:rPr>
            </w:pPr>
            <w:r w:rsidRPr="00C868F2">
              <w:rPr>
                <w:color w:val="000000"/>
              </w:rPr>
              <w:t>(Irwin et al., 2017)</w:t>
            </w:r>
          </w:p>
        </w:tc>
      </w:tr>
      <w:tr w:rsidR="008A030A" w:rsidRPr="00C868F2" w14:paraId="472B506C"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93DA" w14:textId="77777777" w:rsidR="008A030A" w:rsidRPr="00C868F2" w:rsidRDefault="008A030A" w:rsidP="009D1B1A">
            <w:pPr>
              <w:jc w:val="center"/>
              <w:rPr>
                <w:i/>
                <w:iCs/>
                <w:color w:val="000000"/>
              </w:rPr>
            </w:pPr>
            <w:r w:rsidRPr="00C868F2">
              <w:rPr>
                <w:i/>
                <w:iCs/>
                <w:color w:val="000000"/>
              </w:rPr>
              <w:t>F</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5F819" w14:textId="5591DEF6" w:rsidR="008A030A" w:rsidRPr="00C868F2" w:rsidRDefault="008A030A" w:rsidP="009D1B1A">
            <w:pPr>
              <w:jc w:val="center"/>
              <w:rPr>
                <w:color w:val="000000"/>
              </w:rPr>
            </w:pPr>
            <w:r w:rsidRPr="00C868F2">
              <w:rPr>
                <w:color w:val="000000"/>
              </w:rPr>
              <w:t>the average cost of an overdose emergency room visit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B21E" w14:textId="5823787B" w:rsidR="008A030A" w:rsidRPr="00C868F2" w:rsidRDefault="008A030A" w:rsidP="009D1B1A">
            <w:pPr>
              <w:jc w:val="center"/>
              <w:rPr>
                <w:color w:val="000000"/>
              </w:rPr>
            </w:pPr>
            <w:r w:rsidRPr="00C868F2">
              <w:rPr>
                <w:color w:val="000000"/>
              </w:rPr>
              <w:t>$1,354</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90D1D56" w14:textId="77777777" w:rsidR="008A030A" w:rsidRPr="00C868F2" w:rsidRDefault="008A030A" w:rsidP="009D1B1A">
            <w:pPr>
              <w:jc w:val="center"/>
              <w:rPr>
                <w:color w:val="000000"/>
              </w:rPr>
            </w:pPr>
            <w:r w:rsidRPr="00C868F2">
              <w:rPr>
                <w:color w:val="000000"/>
              </w:rPr>
              <w:t>(Rienzi, 2014)</w:t>
            </w:r>
          </w:p>
        </w:tc>
      </w:tr>
      <w:tr w:rsidR="008A030A" w:rsidRPr="00C868F2" w14:paraId="0649538A"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63B91374" w14:textId="77777777" w:rsidR="008A030A" w:rsidRPr="00C868F2" w:rsidRDefault="008A030A" w:rsidP="009D1B1A">
            <w:pPr>
              <w:jc w:val="center"/>
              <w:rPr>
                <w:color w:val="000000"/>
              </w:rPr>
            </w:pPr>
          </w:p>
        </w:tc>
        <w:tc>
          <w:tcPr>
            <w:tcW w:w="5527" w:type="dxa"/>
            <w:tcBorders>
              <w:top w:val="nil"/>
              <w:left w:val="nil"/>
              <w:bottom w:val="nil"/>
              <w:right w:val="nil"/>
            </w:tcBorders>
            <w:shd w:val="clear" w:color="auto" w:fill="auto"/>
            <w:noWrap/>
            <w:vAlign w:val="bottom"/>
            <w:hideMark/>
          </w:tcPr>
          <w:p w14:paraId="4E2C2946"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0F383DFF"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7BAF11C3" w14:textId="77777777" w:rsidR="008A030A" w:rsidRPr="00C868F2" w:rsidRDefault="008A030A" w:rsidP="009D1B1A">
            <w:pPr>
              <w:jc w:val="center"/>
            </w:pPr>
          </w:p>
        </w:tc>
      </w:tr>
      <w:tr w:rsidR="008A030A" w:rsidRPr="00C868F2" w14:paraId="620EF34C"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4616859D" w14:textId="77777777" w:rsidR="008A030A" w:rsidRPr="00C868F2" w:rsidRDefault="008A030A" w:rsidP="009D1B1A">
            <w:pPr>
              <w:jc w:val="center"/>
            </w:pPr>
          </w:p>
        </w:tc>
        <w:tc>
          <w:tcPr>
            <w:tcW w:w="5527" w:type="dxa"/>
            <w:tcBorders>
              <w:top w:val="nil"/>
              <w:left w:val="nil"/>
              <w:bottom w:val="nil"/>
              <w:right w:val="nil"/>
            </w:tcBorders>
            <w:shd w:val="clear" w:color="auto" w:fill="auto"/>
            <w:noWrap/>
            <w:vAlign w:val="bottom"/>
            <w:hideMark/>
          </w:tcPr>
          <w:p w14:paraId="69109F84"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3DC46FBB"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33FF3E8A" w14:textId="77777777" w:rsidR="008A030A" w:rsidRPr="00C868F2" w:rsidRDefault="008A030A" w:rsidP="009D1B1A">
            <w:pPr>
              <w:jc w:val="center"/>
            </w:pPr>
          </w:p>
        </w:tc>
      </w:tr>
      <w:tr w:rsidR="008A030A" w:rsidRPr="00C868F2" w14:paraId="2BDE1FB9"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7298892B" w14:textId="77777777" w:rsidR="008A030A" w:rsidRPr="00C868F2" w:rsidRDefault="008A030A" w:rsidP="009D1B1A">
            <w:pPr>
              <w:jc w:val="center"/>
            </w:pPr>
          </w:p>
        </w:tc>
        <w:tc>
          <w:tcPr>
            <w:tcW w:w="5527" w:type="dxa"/>
            <w:tcBorders>
              <w:top w:val="nil"/>
              <w:left w:val="nil"/>
              <w:bottom w:val="nil"/>
              <w:right w:val="nil"/>
            </w:tcBorders>
            <w:shd w:val="clear" w:color="auto" w:fill="auto"/>
            <w:noWrap/>
            <w:vAlign w:val="bottom"/>
            <w:hideMark/>
          </w:tcPr>
          <w:p w14:paraId="60D3194D"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1D7E815B"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1935467E" w14:textId="77777777" w:rsidR="008A030A" w:rsidRPr="00C868F2" w:rsidRDefault="008A030A" w:rsidP="009D1B1A">
            <w:pPr>
              <w:jc w:val="center"/>
            </w:pPr>
          </w:p>
        </w:tc>
      </w:tr>
      <w:tr w:rsidR="008A030A" w:rsidRPr="00C868F2" w14:paraId="0CD08894" w14:textId="77777777" w:rsidTr="009D1B1A">
        <w:trPr>
          <w:trHeight w:val="317"/>
          <w:jc w:val="center"/>
        </w:trPr>
        <w:tc>
          <w:tcPr>
            <w:tcW w:w="93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3CEC8" w14:textId="7F7A0AF0" w:rsidR="008A030A" w:rsidRPr="00C868F2" w:rsidRDefault="008A030A" w:rsidP="009D1B1A">
            <w:pPr>
              <w:jc w:val="center"/>
              <w:rPr>
                <w:b/>
                <w:bCs/>
                <w:color w:val="000000"/>
              </w:rPr>
            </w:pPr>
            <w:r w:rsidRPr="00C868F2">
              <w:rPr>
                <w:b/>
                <w:bCs/>
                <w:color w:val="000000"/>
              </w:rPr>
              <w:t>Upper Bound for Averted Inpatient Hospital Stay Days (Increased 50%)</w:t>
            </w:r>
          </w:p>
        </w:tc>
      </w:tr>
      <w:tr w:rsidR="008A030A" w:rsidRPr="00C868F2" w14:paraId="416BE083"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458E7" w14:textId="77777777" w:rsidR="008A030A" w:rsidRPr="00C868F2" w:rsidRDefault="008A030A" w:rsidP="009D1B1A">
            <w:pPr>
              <w:jc w:val="center"/>
              <w:rPr>
                <w:b/>
                <w:bCs/>
                <w:color w:val="000000"/>
              </w:rPr>
            </w:pPr>
            <w:r w:rsidRPr="00C868F2">
              <w:rPr>
                <w:b/>
                <w:bCs/>
                <w:color w:val="000000"/>
              </w:rPr>
              <w:t>Variable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662B" w14:textId="77777777" w:rsidR="008A030A" w:rsidRPr="00C868F2" w:rsidRDefault="008A030A" w:rsidP="009D1B1A">
            <w:pPr>
              <w:jc w:val="center"/>
              <w:rPr>
                <w:b/>
                <w:bCs/>
                <w:color w:val="000000"/>
              </w:rPr>
            </w:pPr>
            <w:r w:rsidRPr="00C868F2">
              <w:rPr>
                <w:b/>
                <w:bCs/>
                <w:color w:val="000000"/>
              </w:rPr>
              <w:t>Description</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47B3" w14:textId="77777777" w:rsidR="008A030A" w:rsidRPr="00C868F2" w:rsidRDefault="008A030A" w:rsidP="009D1B1A">
            <w:pPr>
              <w:jc w:val="center"/>
              <w:rPr>
                <w:b/>
                <w:bCs/>
                <w:color w:val="000000"/>
              </w:rPr>
            </w:pPr>
            <w:r w:rsidRPr="00C868F2">
              <w:rPr>
                <w:b/>
                <w:bCs/>
                <w:color w:val="000000"/>
              </w:rPr>
              <w:t>Value</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3A329431" w14:textId="77777777" w:rsidR="008A030A" w:rsidRPr="00C868F2" w:rsidRDefault="008A030A" w:rsidP="009D1B1A">
            <w:pPr>
              <w:jc w:val="center"/>
              <w:rPr>
                <w:b/>
                <w:bCs/>
                <w:color w:val="000000"/>
              </w:rPr>
            </w:pPr>
            <w:r w:rsidRPr="00C868F2">
              <w:rPr>
                <w:b/>
                <w:bCs/>
                <w:color w:val="000000"/>
              </w:rPr>
              <w:t>Source</w:t>
            </w:r>
          </w:p>
        </w:tc>
      </w:tr>
      <w:tr w:rsidR="008A030A" w:rsidRPr="00C868F2" w14:paraId="0F851A4B"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90CAB8" w14:textId="77777777" w:rsidR="008A030A" w:rsidRPr="00C868F2" w:rsidRDefault="008A030A" w:rsidP="009D1B1A">
            <w:pPr>
              <w:jc w:val="center"/>
              <w:rPr>
                <w:i/>
                <w:iCs/>
                <w:color w:val="000000"/>
              </w:rPr>
            </w:pPr>
            <w:r w:rsidRPr="00C868F2">
              <w:rPr>
                <w:i/>
                <w:iCs/>
                <w:color w:val="000000"/>
              </w:rPr>
              <w:t>Sh</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BDD978" w14:textId="77777777" w:rsidR="008A030A" w:rsidRPr="00C868F2" w:rsidRDefault="008A030A" w:rsidP="009D1B1A">
            <w:pPr>
              <w:jc w:val="center"/>
              <w:rPr>
                <w:color w:val="000000"/>
              </w:rPr>
            </w:pPr>
            <w:r w:rsidRPr="00C868F2">
              <w:rPr>
                <w:color w:val="000000"/>
              </w:rPr>
              <w:t>annual savings due to the SCS reducing hospitalizations for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4CCE9F" w14:textId="63D1DCD9" w:rsidR="008A030A" w:rsidRPr="00C868F2" w:rsidRDefault="008A030A" w:rsidP="009D1B1A">
            <w:pPr>
              <w:jc w:val="center"/>
              <w:rPr>
                <w:b/>
                <w:bCs/>
                <w:color w:val="000000"/>
              </w:rPr>
            </w:pPr>
            <w:r w:rsidRPr="00C868F2">
              <w:rPr>
                <w:b/>
                <w:bCs/>
                <w:color w:val="000000"/>
              </w:rPr>
              <w:t>$597,290.11</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129F9789" w14:textId="77777777" w:rsidR="008A030A" w:rsidRPr="00C868F2" w:rsidRDefault="008A030A" w:rsidP="009D1B1A">
            <w:pPr>
              <w:jc w:val="center"/>
              <w:rPr>
                <w:color w:val="000000"/>
              </w:rPr>
            </w:pPr>
            <w:r w:rsidRPr="00C868F2">
              <w:rPr>
                <w:color w:val="000000"/>
              </w:rPr>
              <w:t>(Irwin et al., 2017)</w:t>
            </w:r>
          </w:p>
        </w:tc>
      </w:tr>
      <w:tr w:rsidR="008A030A" w:rsidRPr="00C868F2" w14:paraId="5D73D572"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E7994" w14:textId="77777777" w:rsidR="008A030A" w:rsidRPr="00C868F2" w:rsidRDefault="008A030A" w:rsidP="009D1B1A">
            <w:pPr>
              <w:jc w:val="center"/>
              <w:rPr>
                <w:i/>
                <w:iCs/>
                <w:color w:val="000000"/>
              </w:rPr>
            </w:pPr>
            <w:r w:rsidRPr="00C868F2">
              <w:rPr>
                <w:i/>
                <w:iCs/>
                <w:color w:val="000000"/>
              </w:rPr>
              <w:t>I</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DD6F" w14:textId="77777777" w:rsidR="008A030A" w:rsidRPr="00C868F2" w:rsidRDefault="008A030A" w:rsidP="009D1B1A">
            <w:pPr>
              <w:jc w:val="center"/>
              <w:rPr>
                <w:color w:val="000000"/>
              </w:rPr>
            </w:pPr>
            <w:r w:rsidRPr="00C868F2">
              <w:rPr>
                <w:color w:val="000000"/>
              </w:rPr>
              <w:t>annual number of injections in the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DCDC9" w14:textId="77777777" w:rsidR="008A030A" w:rsidRPr="00C868F2" w:rsidRDefault="008A030A" w:rsidP="009D1B1A">
            <w:pPr>
              <w:jc w:val="center"/>
              <w:rPr>
                <w:color w:val="000000"/>
              </w:rPr>
            </w:pPr>
            <w:r w:rsidRPr="00C868F2">
              <w:rPr>
                <w:color w:val="000000"/>
              </w:rPr>
              <w:t>170,731</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D3C4D72" w14:textId="048E2EE7"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61241BA9"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D057BF" w14:textId="77777777" w:rsidR="008A030A" w:rsidRPr="00C868F2" w:rsidRDefault="008A030A" w:rsidP="009D1B1A">
            <w:pPr>
              <w:jc w:val="center"/>
              <w:rPr>
                <w:i/>
                <w:iCs/>
                <w:color w:val="000000"/>
              </w:rPr>
            </w:pPr>
            <w:r w:rsidRPr="00C868F2">
              <w:rPr>
                <w:i/>
                <w:iCs/>
                <w:color w:val="000000"/>
              </w:rPr>
              <w:t>o</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C3125A" w14:textId="77777777" w:rsidR="008A030A" w:rsidRPr="00C868F2" w:rsidRDefault="008A030A" w:rsidP="009D1B1A">
            <w:pPr>
              <w:jc w:val="center"/>
              <w:rPr>
                <w:color w:val="000000"/>
              </w:rPr>
            </w:pPr>
            <w:r w:rsidRPr="00C868F2">
              <w:rPr>
                <w:color w:val="000000"/>
              </w:rPr>
              <w:t>the per-injection rate of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A3E9F9" w14:textId="77777777" w:rsidR="008A030A" w:rsidRPr="00C868F2" w:rsidRDefault="008A030A" w:rsidP="009D1B1A">
            <w:pPr>
              <w:jc w:val="center"/>
              <w:rPr>
                <w:color w:val="000000"/>
              </w:rPr>
            </w:pPr>
            <w:r w:rsidRPr="00C868F2">
              <w:rPr>
                <w:color w:val="000000"/>
              </w:rPr>
              <w:t>0.77%</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4F53E925" w14:textId="61A7DFCE"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24E2FBF5"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1FD3" w14:textId="77777777" w:rsidR="008A030A" w:rsidRPr="00C868F2" w:rsidRDefault="008A030A" w:rsidP="009D1B1A">
            <w:pPr>
              <w:jc w:val="center"/>
              <w:rPr>
                <w:i/>
                <w:iCs/>
                <w:color w:val="000000"/>
              </w:rPr>
            </w:pPr>
            <w:r w:rsidRPr="00C868F2">
              <w:rPr>
                <w:i/>
                <w:iCs/>
                <w:color w:val="000000"/>
              </w:rPr>
              <w:t>a0</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BE0A" w14:textId="77777777" w:rsidR="008A030A" w:rsidRPr="00C868F2" w:rsidRDefault="008A030A" w:rsidP="009D1B1A">
            <w:pPr>
              <w:jc w:val="center"/>
              <w:rPr>
                <w:color w:val="000000"/>
              </w:rPr>
            </w:pPr>
            <w:r w:rsidRPr="00C868F2">
              <w:rPr>
                <w:color w:val="000000"/>
              </w:rPr>
              <w:t>rates of hospitalization for overdose when the overdose occurs outside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A5E0D" w14:textId="77777777" w:rsidR="008A030A" w:rsidRPr="00C868F2" w:rsidRDefault="008A030A" w:rsidP="009D1B1A">
            <w:pPr>
              <w:jc w:val="center"/>
              <w:rPr>
                <w:color w:val="000000"/>
              </w:rPr>
            </w:pPr>
            <w:r w:rsidRPr="00C868F2">
              <w:rPr>
                <w:color w:val="000000"/>
              </w:rPr>
              <w:t>12%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1DA6D917" w14:textId="77777777" w:rsidR="008A030A" w:rsidRPr="00C868F2" w:rsidRDefault="008A030A" w:rsidP="009D1B1A">
            <w:pPr>
              <w:jc w:val="center"/>
              <w:rPr>
                <w:color w:val="000000"/>
              </w:rPr>
            </w:pPr>
            <w:r w:rsidRPr="00C868F2">
              <w:rPr>
                <w:color w:val="000000"/>
              </w:rPr>
              <w:t>Pollini et al., 2006)</w:t>
            </w:r>
          </w:p>
        </w:tc>
      </w:tr>
      <w:tr w:rsidR="008A030A" w:rsidRPr="00C868F2" w14:paraId="037683CC"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E8AD1D" w14:textId="77777777" w:rsidR="008A030A" w:rsidRPr="00C868F2" w:rsidRDefault="008A030A" w:rsidP="009D1B1A">
            <w:pPr>
              <w:jc w:val="center"/>
              <w:rPr>
                <w:i/>
                <w:iCs/>
                <w:color w:val="000000"/>
              </w:rPr>
            </w:pPr>
            <w:r w:rsidRPr="00C868F2">
              <w:rPr>
                <w:i/>
                <w:iCs/>
                <w:color w:val="000000"/>
              </w:rPr>
              <w:t>ai</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45F379" w14:textId="77777777" w:rsidR="008A030A" w:rsidRPr="00C868F2" w:rsidRDefault="008A030A" w:rsidP="009D1B1A">
            <w:pPr>
              <w:jc w:val="center"/>
              <w:rPr>
                <w:color w:val="000000"/>
              </w:rPr>
            </w:pPr>
            <w:r w:rsidRPr="00C868F2">
              <w:rPr>
                <w:color w:val="000000"/>
              </w:rPr>
              <w:t>using ambulance call rate as an upper bound</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9A3CCD" w14:textId="77777777" w:rsidR="008A030A" w:rsidRPr="00C868F2" w:rsidRDefault="008A030A" w:rsidP="009D1B1A">
            <w:pPr>
              <w:jc w:val="center"/>
              <w:rPr>
                <w:color w:val="000000"/>
              </w:rPr>
            </w:pPr>
            <w:r w:rsidRPr="00C868F2">
              <w:rPr>
                <w:color w:val="000000"/>
              </w:rPr>
              <w:t>0.79%</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311B6821" w14:textId="77777777" w:rsidR="008A030A" w:rsidRPr="00C868F2" w:rsidRDefault="008A030A" w:rsidP="009D1B1A">
            <w:pPr>
              <w:jc w:val="center"/>
              <w:rPr>
                <w:color w:val="000000"/>
              </w:rPr>
            </w:pPr>
            <w:r w:rsidRPr="00C868F2">
              <w:rPr>
                <w:color w:val="000000"/>
              </w:rPr>
              <w:t>(Irwin et al., 2017)</w:t>
            </w:r>
          </w:p>
        </w:tc>
      </w:tr>
      <w:tr w:rsidR="008A030A" w:rsidRPr="00C868F2" w14:paraId="5D94FC2E"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D95C" w14:textId="77777777" w:rsidR="008A030A" w:rsidRPr="00C868F2" w:rsidRDefault="008A030A" w:rsidP="009D1B1A">
            <w:pPr>
              <w:jc w:val="center"/>
              <w:rPr>
                <w:i/>
                <w:iCs/>
                <w:color w:val="000000"/>
              </w:rPr>
            </w:pPr>
            <w:r w:rsidRPr="00C868F2">
              <w:rPr>
                <w:i/>
                <w:iCs/>
                <w:color w:val="000000"/>
              </w:rPr>
              <w:t>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9DB9" w14:textId="05126CB1" w:rsidR="008A030A" w:rsidRPr="00C868F2" w:rsidRDefault="008A030A" w:rsidP="009D1B1A">
            <w:pPr>
              <w:jc w:val="center"/>
              <w:rPr>
                <w:color w:val="000000"/>
              </w:rPr>
            </w:pPr>
            <w:r w:rsidRPr="00C868F2">
              <w:rPr>
                <w:color w:val="000000"/>
              </w:rPr>
              <w:t>the average cost of an overdose emergency room visit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CB36D" w14:textId="2EE07F72" w:rsidR="008A030A" w:rsidRPr="00C868F2" w:rsidRDefault="008A030A" w:rsidP="009D1B1A">
            <w:pPr>
              <w:jc w:val="center"/>
              <w:rPr>
                <w:color w:val="000000"/>
              </w:rPr>
            </w:pPr>
            <w:r w:rsidRPr="00C868F2">
              <w:rPr>
                <w:color w:val="000000"/>
              </w:rPr>
              <w:t>$2,702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63AC21AE" w14:textId="77777777" w:rsidR="008A030A" w:rsidRPr="00C868F2" w:rsidRDefault="008A030A" w:rsidP="009D1B1A">
            <w:pPr>
              <w:jc w:val="center"/>
              <w:rPr>
                <w:color w:val="000000"/>
              </w:rPr>
            </w:pPr>
            <w:r w:rsidRPr="00C868F2">
              <w:rPr>
                <w:color w:val="000000"/>
              </w:rPr>
              <w:t>(Ellison, n.d.)</w:t>
            </w:r>
          </w:p>
        </w:tc>
      </w:tr>
      <w:tr w:rsidR="008A030A" w:rsidRPr="00C868F2" w14:paraId="2E9B6E66"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379B6719" w14:textId="77777777" w:rsidR="008A030A" w:rsidRPr="00C868F2" w:rsidRDefault="008A030A" w:rsidP="009D1B1A">
            <w:pPr>
              <w:jc w:val="center"/>
              <w:rPr>
                <w:color w:val="000000"/>
              </w:rPr>
            </w:pPr>
          </w:p>
        </w:tc>
        <w:tc>
          <w:tcPr>
            <w:tcW w:w="5527" w:type="dxa"/>
            <w:tcBorders>
              <w:top w:val="nil"/>
              <w:left w:val="nil"/>
              <w:bottom w:val="nil"/>
              <w:right w:val="nil"/>
            </w:tcBorders>
            <w:shd w:val="clear" w:color="auto" w:fill="auto"/>
            <w:noWrap/>
            <w:vAlign w:val="bottom"/>
            <w:hideMark/>
          </w:tcPr>
          <w:p w14:paraId="5FCF039F"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23CAC6ED"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353E359C" w14:textId="77777777" w:rsidR="008A030A" w:rsidRPr="00C868F2" w:rsidRDefault="008A030A" w:rsidP="009D1B1A">
            <w:pPr>
              <w:jc w:val="center"/>
            </w:pPr>
          </w:p>
        </w:tc>
      </w:tr>
      <w:tr w:rsidR="008A030A" w:rsidRPr="00C868F2" w14:paraId="6A23C4A7" w14:textId="77777777" w:rsidTr="009D1B1A">
        <w:trPr>
          <w:trHeight w:val="317"/>
          <w:jc w:val="center"/>
        </w:trPr>
        <w:tc>
          <w:tcPr>
            <w:tcW w:w="796" w:type="dxa"/>
            <w:tcBorders>
              <w:top w:val="nil"/>
              <w:left w:val="nil"/>
              <w:bottom w:val="nil"/>
              <w:right w:val="nil"/>
            </w:tcBorders>
            <w:shd w:val="clear" w:color="auto" w:fill="auto"/>
            <w:noWrap/>
            <w:vAlign w:val="bottom"/>
            <w:hideMark/>
          </w:tcPr>
          <w:p w14:paraId="1BE718E5" w14:textId="77777777" w:rsidR="008A030A" w:rsidRPr="00C868F2" w:rsidRDefault="008A030A" w:rsidP="009D1B1A">
            <w:pPr>
              <w:jc w:val="center"/>
            </w:pPr>
          </w:p>
        </w:tc>
        <w:tc>
          <w:tcPr>
            <w:tcW w:w="5527" w:type="dxa"/>
            <w:tcBorders>
              <w:top w:val="nil"/>
              <w:left w:val="nil"/>
              <w:bottom w:val="nil"/>
              <w:right w:val="nil"/>
            </w:tcBorders>
            <w:shd w:val="clear" w:color="auto" w:fill="auto"/>
            <w:noWrap/>
            <w:vAlign w:val="bottom"/>
            <w:hideMark/>
          </w:tcPr>
          <w:p w14:paraId="0BB2DADE" w14:textId="77777777" w:rsidR="008A030A" w:rsidRPr="00C868F2" w:rsidRDefault="008A030A" w:rsidP="009D1B1A">
            <w:pPr>
              <w:jc w:val="center"/>
            </w:pPr>
          </w:p>
        </w:tc>
        <w:tc>
          <w:tcPr>
            <w:tcW w:w="1015" w:type="dxa"/>
            <w:tcBorders>
              <w:top w:val="nil"/>
              <w:left w:val="nil"/>
              <w:bottom w:val="nil"/>
              <w:right w:val="nil"/>
            </w:tcBorders>
            <w:shd w:val="clear" w:color="auto" w:fill="auto"/>
            <w:noWrap/>
            <w:vAlign w:val="bottom"/>
            <w:hideMark/>
          </w:tcPr>
          <w:p w14:paraId="678329AC" w14:textId="77777777" w:rsidR="008A030A" w:rsidRPr="00C868F2" w:rsidRDefault="008A030A" w:rsidP="009D1B1A">
            <w:pPr>
              <w:jc w:val="center"/>
            </w:pPr>
          </w:p>
        </w:tc>
        <w:tc>
          <w:tcPr>
            <w:tcW w:w="2051" w:type="dxa"/>
            <w:tcBorders>
              <w:top w:val="nil"/>
              <w:left w:val="nil"/>
              <w:bottom w:val="nil"/>
              <w:right w:val="nil"/>
            </w:tcBorders>
            <w:shd w:val="clear" w:color="auto" w:fill="auto"/>
            <w:noWrap/>
            <w:vAlign w:val="bottom"/>
            <w:hideMark/>
          </w:tcPr>
          <w:p w14:paraId="2DE2A013" w14:textId="77777777" w:rsidR="008A030A" w:rsidRPr="00C868F2" w:rsidRDefault="008A030A" w:rsidP="009D1B1A">
            <w:pPr>
              <w:jc w:val="center"/>
            </w:pPr>
          </w:p>
        </w:tc>
      </w:tr>
      <w:tr w:rsidR="008A030A" w:rsidRPr="00C868F2" w14:paraId="1497869D" w14:textId="77777777" w:rsidTr="009D1B1A">
        <w:trPr>
          <w:trHeight w:val="317"/>
          <w:jc w:val="center"/>
        </w:trPr>
        <w:tc>
          <w:tcPr>
            <w:tcW w:w="93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3C2D01" w14:textId="3A67534F" w:rsidR="008A030A" w:rsidRPr="00C868F2" w:rsidRDefault="008A030A" w:rsidP="009D1B1A">
            <w:pPr>
              <w:jc w:val="center"/>
              <w:rPr>
                <w:b/>
                <w:bCs/>
                <w:color w:val="000000"/>
              </w:rPr>
            </w:pPr>
            <w:r w:rsidRPr="00C868F2">
              <w:rPr>
                <w:b/>
                <w:bCs/>
                <w:color w:val="000000"/>
              </w:rPr>
              <w:t>Lower Bound for Averted Inpatient Hospital Stay Days (Decreased 50%)</w:t>
            </w:r>
          </w:p>
        </w:tc>
      </w:tr>
      <w:tr w:rsidR="008A030A" w:rsidRPr="00C868F2" w14:paraId="5106F2D1"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3E345" w14:textId="77777777" w:rsidR="008A030A" w:rsidRPr="00C868F2" w:rsidRDefault="008A030A" w:rsidP="009D1B1A">
            <w:pPr>
              <w:jc w:val="center"/>
              <w:rPr>
                <w:b/>
                <w:bCs/>
                <w:color w:val="000000"/>
              </w:rPr>
            </w:pPr>
            <w:r w:rsidRPr="00C868F2">
              <w:rPr>
                <w:b/>
                <w:bCs/>
                <w:color w:val="000000"/>
              </w:rPr>
              <w:t>Variable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8450" w14:textId="77777777" w:rsidR="008A030A" w:rsidRPr="00C868F2" w:rsidRDefault="008A030A" w:rsidP="009D1B1A">
            <w:pPr>
              <w:jc w:val="center"/>
              <w:rPr>
                <w:b/>
                <w:bCs/>
                <w:color w:val="000000"/>
              </w:rPr>
            </w:pPr>
            <w:r w:rsidRPr="00C868F2">
              <w:rPr>
                <w:b/>
                <w:bCs/>
                <w:color w:val="000000"/>
              </w:rPr>
              <w:t>Description</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DE62" w14:textId="77777777" w:rsidR="008A030A" w:rsidRPr="00C868F2" w:rsidRDefault="008A030A" w:rsidP="009D1B1A">
            <w:pPr>
              <w:jc w:val="center"/>
              <w:rPr>
                <w:b/>
                <w:bCs/>
                <w:color w:val="000000"/>
              </w:rPr>
            </w:pPr>
            <w:r w:rsidRPr="00C868F2">
              <w:rPr>
                <w:b/>
                <w:bCs/>
                <w:color w:val="000000"/>
              </w:rPr>
              <w:t>Value</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29522FF7" w14:textId="77777777" w:rsidR="008A030A" w:rsidRPr="00C868F2" w:rsidRDefault="008A030A" w:rsidP="009D1B1A">
            <w:pPr>
              <w:jc w:val="center"/>
              <w:rPr>
                <w:b/>
                <w:bCs/>
                <w:color w:val="000000"/>
              </w:rPr>
            </w:pPr>
            <w:r w:rsidRPr="00C868F2">
              <w:rPr>
                <w:b/>
                <w:bCs/>
                <w:color w:val="000000"/>
              </w:rPr>
              <w:t>Source</w:t>
            </w:r>
          </w:p>
        </w:tc>
      </w:tr>
      <w:tr w:rsidR="008A030A" w:rsidRPr="00C868F2" w14:paraId="0AABBB5E"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9E1ED6" w14:textId="77777777" w:rsidR="008A030A" w:rsidRPr="00C868F2" w:rsidRDefault="008A030A" w:rsidP="009D1B1A">
            <w:pPr>
              <w:jc w:val="center"/>
              <w:rPr>
                <w:i/>
                <w:iCs/>
                <w:color w:val="000000"/>
              </w:rPr>
            </w:pPr>
            <w:r w:rsidRPr="00C868F2">
              <w:rPr>
                <w:i/>
                <w:iCs/>
                <w:color w:val="000000"/>
              </w:rPr>
              <w:t>Sh</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11A23A" w14:textId="77777777" w:rsidR="008A030A" w:rsidRPr="00C868F2" w:rsidRDefault="008A030A" w:rsidP="009D1B1A">
            <w:pPr>
              <w:jc w:val="center"/>
              <w:rPr>
                <w:color w:val="000000"/>
              </w:rPr>
            </w:pPr>
            <w:r w:rsidRPr="00C868F2">
              <w:rPr>
                <w:color w:val="000000"/>
              </w:rPr>
              <w:t>annual savings due to the SCS reducing hospitalizations for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896489" w14:textId="7585F447" w:rsidR="008A030A" w:rsidRPr="00C868F2" w:rsidRDefault="008A030A" w:rsidP="009D1B1A">
            <w:pPr>
              <w:jc w:val="center"/>
              <w:rPr>
                <w:b/>
                <w:bCs/>
                <w:color w:val="000000"/>
              </w:rPr>
            </w:pPr>
            <w:r w:rsidRPr="00C868F2">
              <w:rPr>
                <w:b/>
                <w:bCs/>
                <w:color w:val="000000"/>
              </w:rPr>
              <w:t>$199,096.70</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63E2B0F6" w14:textId="77777777" w:rsidR="008A030A" w:rsidRPr="00C868F2" w:rsidRDefault="008A030A" w:rsidP="009D1B1A">
            <w:pPr>
              <w:jc w:val="center"/>
              <w:rPr>
                <w:color w:val="000000"/>
              </w:rPr>
            </w:pPr>
            <w:r w:rsidRPr="00C868F2">
              <w:rPr>
                <w:color w:val="000000"/>
              </w:rPr>
              <w:t>(Irwin et al., 2017)</w:t>
            </w:r>
          </w:p>
        </w:tc>
      </w:tr>
      <w:tr w:rsidR="008A030A" w:rsidRPr="00C868F2" w14:paraId="5817CEAF"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FAB22" w14:textId="77777777" w:rsidR="008A030A" w:rsidRPr="00C868F2" w:rsidRDefault="008A030A" w:rsidP="009D1B1A">
            <w:pPr>
              <w:jc w:val="center"/>
              <w:rPr>
                <w:i/>
                <w:iCs/>
                <w:color w:val="000000"/>
              </w:rPr>
            </w:pPr>
            <w:r w:rsidRPr="00C868F2">
              <w:rPr>
                <w:i/>
                <w:iCs/>
                <w:color w:val="000000"/>
              </w:rPr>
              <w:t>I</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53B14" w14:textId="77777777" w:rsidR="008A030A" w:rsidRPr="00C868F2" w:rsidRDefault="008A030A" w:rsidP="009D1B1A">
            <w:pPr>
              <w:jc w:val="center"/>
              <w:rPr>
                <w:color w:val="000000"/>
              </w:rPr>
            </w:pPr>
            <w:r w:rsidRPr="00C868F2">
              <w:rPr>
                <w:color w:val="000000"/>
              </w:rPr>
              <w:t>annual number of injections in the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82E54" w14:textId="77777777" w:rsidR="008A030A" w:rsidRPr="00C868F2" w:rsidRDefault="008A030A" w:rsidP="009D1B1A">
            <w:pPr>
              <w:jc w:val="center"/>
              <w:rPr>
                <w:color w:val="000000"/>
              </w:rPr>
            </w:pPr>
            <w:r w:rsidRPr="00C868F2">
              <w:rPr>
                <w:color w:val="000000"/>
              </w:rPr>
              <w:t>170,731</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56E631F8" w14:textId="7941BA0B"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1E4E0F13"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60F661" w14:textId="77777777" w:rsidR="008A030A" w:rsidRPr="00C868F2" w:rsidRDefault="008A030A" w:rsidP="009D1B1A">
            <w:pPr>
              <w:jc w:val="center"/>
              <w:rPr>
                <w:i/>
                <w:iCs/>
                <w:color w:val="000000"/>
              </w:rPr>
            </w:pPr>
            <w:r w:rsidRPr="00C868F2">
              <w:rPr>
                <w:i/>
                <w:iCs/>
                <w:color w:val="000000"/>
              </w:rPr>
              <w:t>o</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D8A2CF" w14:textId="77777777" w:rsidR="008A030A" w:rsidRPr="00C868F2" w:rsidRDefault="008A030A" w:rsidP="009D1B1A">
            <w:pPr>
              <w:jc w:val="center"/>
              <w:rPr>
                <w:color w:val="000000"/>
              </w:rPr>
            </w:pPr>
            <w:r w:rsidRPr="00C868F2">
              <w:rPr>
                <w:color w:val="000000"/>
              </w:rPr>
              <w:t>the per-injection rate of overdose</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EAA230" w14:textId="77777777" w:rsidR="008A030A" w:rsidRPr="00C868F2" w:rsidRDefault="008A030A" w:rsidP="009D1B1A">
            <w:pPr>
              <w:jc w:val="center"/>
              <w:rPr>
                <w:color w:val="000000"/>
              </w:rPr>
            </w:pPr>
            <w:r w:rsidRPr="00C868F2">
              <w:rPr>
                <w:color w:val="000000"/>
              </w:rPr>
              <w:t>0.77%</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575CCDBF" w14:textId="1E50CD25" w:rsidR="008A030A" w:rsidRPr="00C868F2" w:rsidRDefault="008A030A" w:rsidP="009D1B1A">
            <w:pPr>
              <w:jc w:val="center"/>
              <w:rPr>
                <w:color w:val="000000"/>
              </w:rPr>
            </w:pPr>
            <w:r w:rsidRPr="00C868F2">
              <w:rPr>
                <w:color w:val="000000"/>
              </w:rPr>
              <w:t>(</w:t>
            </w:r>
            <w:r w:rsidR="00B512DB">
              <w:rPr>
                <w:color w:val="000000"/>
              </w:rPr>
              <w:t>Insite</w:t>
            </w:r>
            <w:r w:rsidRPr="00C868F2">
              <w:rPr>
                <w:color w:val="000000"/>
              </w:rPr>
              <w:t>, 2019)</w:t>
            </w:r>
          </w:p>
        </w:tc>
      </w:tr>
      <w:tr w:rsidR="008A030A" w:rsidRPr="00C868F2" w14:paraId="689E6BAD"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51AF4" w14:textId="77777777" w:rsidR="008A030A" w:rsidRPr="00C868F2" w:rsidRDefault="008A030A" w:rsidP="009D1B1A">
            <w:pPr>
              <w:jc w:val="center"/>
              <w:rPr>
                <w:i/>
                <w:iCs/>
                <w:color w:val="000000"/>
              </w:rPr>
            </w:pPr>
            <w:r w:rsidRPr="00C868F2">
              <w:rPr>
                <w:i/>
                <w:iCs/>
                <w:color w:val="000000"/>
              </w:rPr>
              <w:t>a0</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7CE51" w14:textId="77777777" w:rsidR="008A030A" w:rsidRPr="00C868F2" w:rsidRDefault="008A030A" w:rsidP="009D1B1A">
            <w:pPr>
              <w:jc w:val="center"/>
              <w:rPr>
                <w:color w:val="000000"/>
              </w:rPr>
            </w:pPr>
            <w:r w:rsidRPr="00C868F2">
              <w:rPr>
                <w:color w:val="000000"/>
              </w:rPr>
              <w:t>rates of hospitalization for overdose when the overdose occurs outside SCS</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2E4CD" w14:textId="77777777" w:rsidR="008A030A" w:rsidRPr="00C868F2" w:rsidRDefault="008A030A" w:rsidP="009D1B1A">
            <w:pPr>
              <w:jc w:val="center"/>
              <w:rPr>
                <w:color w:val="000000"/>
              </w:rPr>
            </w:pPr>
            <w:r w:rsidRPr="00C868F2">
              <w:rPr>
                <w:color w:val="000000"/>
              </w:rPr>
              <w:t>12%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06904B1E" w14:textId="77777777" w:rsidR="008A030A" w:rsidRPr="00C868F2" w:rsidRDefault="008A030A" w:rsidP="009D1B1A">
            <w:pPr>
              <w:jc w:val="center"/>
              <w:rPr>
                <w:color w:val="000000"/>
              </w:rPr>
            </w:pPr>
            <w:r w:rsidRPr="00C868F2">
              <w:rPr>
                <w:color w:val="000000"/>
              </w:rPr>
              <w:t>Pollini et al., 2006)</w:t>
            </w:r>
          </w:p>
        </w:tc>
      </w:tr>
      <w:tr w:rsidR="008A030A" w:rsidRPr="00C868F2" w14:paraId="04318DFE"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95CB61" w14:textId="77777777" w:rsidR="008A030A" w:rsidRPr="00C868F2" w:rsidRDefault="008A030A" w:rsidP="009D1B1A">
            <w:pPr>
              <w:jc w:val="center"/>
              <w:rPr>
                <w:i/>
                <w:iCs/>
                <w:color w:val="000000"/>
              </w:rPr>
            </w:pPr>
            <w:r w:rsidRPr="00C868F2">
              <w:rPr>
                <w:i/>
                <w:iCs/>
                <w:color w:val="000000"/>
              </w:rPr>
              <w:t>ai</w:t>
            </w:r>
          </w:p>
        </w:tc>
        <w:tc>
          <w:tcPr>
            <w:tcW w:w="552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A8018F" w14:textId="77777777" w:rsidR="008A030A" w:rsidRPr="00C868F2" w:rsidRDefault="008A030A" w:rsidP="009D1B1A">
            <w:pPr>
              <w:jc w:val="center"/>
              <w:rPr>
                <w:color w:val="000000"/>
              </w:rPr>
            </w:pPr>
            <w:r w:rsidRPr="00C868F2">
              <w:rPr>
                <w:color w:val="000000"/>
              </w:rPr>
              <w:t>using ambulance call rate as an upper bound</w:t>
            </w:r>
          </w:p>
        </w:tc>
        <w:tc>
          <w:tcPr>
            <w:tcW w:w="101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50A311" w14:textId="77777777" w:rsidR="008A030A" w:rsidRPr="00C868F2" w:rsidRDefault="008A030A" w:rsidP="009D1B1A">
            <w:pPr>
              <w:jc w:val="center"/>
              <w:rPr>
                <w:color w:val="000000"/>
              </w:rPr>
            </w:pPr>
            <w:r w:rsidRPr="00C868F2">
              <w:rPr>
                <w:color w:val="000000"/>
              </w:rPr>
              <w:t>0.79%</w:t>
            </w:r>
          </w:p>
        </w:tc>
        <w:tc>
          <w:tcPr>
            <w:tcW w:w="2051" w:type="dxa"/>
            <w:tcBorders>
              <w:top w:val="single" w:sz="4" w:space="0" w:color="auto"/>
              <w:left w:val="nil"/>
              <w:bottom w:val="single" w:sz="4" w:space="0" w:color="auto"/>
              <w:right w:val="single" w:sz="4" w:space="0" w:color="auto"/>
            </w:tcBorders>
            <w:shd w:val="clear" w:color="D9D9D9" w:fill="D9D9D9"/>
            <w:noWrap/>
            <w:vAlign w:val="center"/>
            <w:hideMark/>
          </w:tcPr>
          <w:p w14:paraId="2D8C8E08" w14:textId="77777777" w:rsidR="008A030A" w:rsidRPr="00C868F2" w:rsidRDefault="008A030A" w:rsidP="009D1B1A">
            <w:pPr>
              <w:jc w:val="center"/>
              <w:rPr>
                <w:color w:val="000000"/>
              </w:rPr>
            </w:pPr>
            <w:r w:rsidRPr="00C868F2">
              <w:rPr>
                <w:color w:val="000000"/>
              </w:rPr>
              <w:t>(Irwin et al., 2017)</w:t>
            </w:r>
          </w:p>
        </w:tc>
      </w:tr>
      <w:tr w:rsidR="008A030A" w:rsidRPr="00C868F2" w14:paraId="78FF7EBE" w14:textId="77777777" w:rsidTr="009D1B1A">
        <w:trPr>
          <w:trHeight w:val="317"/>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10EE1" w14:textId="77777777" w:rsidR="008A030A" w:rsidRPr="00C868F2" w:rsidRDefault="008A030A" w:rsidP="009D1B1A">
            <w:pPr>
              <w:jc w:val="center"/>
              <w:rPr>
                <w:i/>
                <w:iCs/>
                <w:color w:val="000000"/>
              </w:rPr>
            </w:pPr>
            <w:r w:rsidRPr="00C868F2">
              <w:rPr>
                <w:i/>
                <w:iCs/>
                <w:color w:val="000000"/>
              </w:rPr>
              <w:t>E</w:t>
            </w:r>
          </w:p>
        </w:tc>
        <w:tc>
          <w:tcPr>
            <w:tcW w:w="5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4C421" w14:textId="2EF94D04" w:rsidR="008A030A" w:rsidRPr="00C868F2" w:rsidRDefault="008A030A" w:rsidP="009D1B1A">
            <w:pPr>
              <w:jc w:val="center"/>
              <w:rPr>
                <w:color w:val="000000"/>
              </w:rPr>
            </w:pPr>
            <w:r w:rsidRPr="00C868F2">
              <w:rPr>
                <w:color w:val="000000"/>
              </w:rPr>
              <w:t>the average cost of an overdose emergency room visit</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4D92A" w14:textId="2D0C6ACC" w:rsidR="008A030A" w:rsidRPr="00C868F2" w:rsidRDefault="008A030A" w:rsidP="009D1B1A">
            <w:pPr>
              <w:jc w:val="center"/>
              <w:rPr>
                <w:color w:val="000000"/>
              </w:rPr>
            </w:pPr>
            <w:r w:rsidRPr="00C868F2">
              <w:rPr>
                <w:color w:val="000000"/>
              </w:rPr>
              <w:t>$2,702</w:t>
            </w:r>
          </w:p>
        </w:tc>
        <w:tc>
          <w:tcPr>
            <w:tcW w:w="2051" w:type="dxa"/>
            <w:tcBorders>
              <w:top w:val="single" w:sz="4" w:space="0" w:color="auto"/>
              <w:left w:val="nil"/>
              <w:bottom w:val="single" w:sz="4" w:space="0" w:color="auto"/>
              <w:right w:val="single" w:sz="4" w:space="0" w:color="auto"/>
            </w:tcBorders>
            <w:shd w:val="clear" w:color="auto" w:fill="auto"/>
            <w:noWrap/>
            <w:vAlign w:val="center"/>
            <w:hideMark/>
          </w:tcPr>
          <w:p w14:paraId="78ABFC6B" w14:textId="77777777" w:rsidR="008A030A" w:rsidRPr="00C868F2" w:rsidRDefault="008A030A" w:rsidP="009D1B1A">
            <w:pPr>
              <w:jc w:val="center"/>
              <w:rPr>
                <w:color w:val="000000"/>
              </w:rPr>
            </w:pPr>
            <w:r w:rsidRPr="00C868F2">
              <w:rPr>
                <w:color w:val="000000"/>
              </w:rPr>
              <w:t>(Ellison, n.d.)</w:t>
            </w:r>
          </w:p>
        </w:tc>
      </w:tr>
    </w:tbl>
    <w:p w14:paraId="25551A90" w14:textId="6FE0AD02" w:rsidR="00F04F2F" w:rsidRPr="00C868F2" w:rsidRDefault="00F04F2F" w:rsidP="009D1B1A">
      <w:pPr>
        <w:spacing w:line="480" w:lineRule="auto"/>
        <w:jc w:val="center"/>
        <w:rPr>
          <w:b/>
          <w:bCs/>
          <w:color w:val="000000" w:themeColor="text1"/>
        </w:rPr>
      </w:pPr>
    </w:p>
    <w:p w14:paraId="195A118D" w14:textId="2F601063" w:rsidR="009D1B1A" w:rsidRPr="00C868F2" w:rsidRDefault="009D1B1A" w:rsidP="009D1B1A">
      <w:pPr>
        <w:spacing w:line="480" w:lineRule="auto"/>
        <w:jc w:val="center"/>
        <w:rPr>
          <w:b/>
          <w:bCs/>
          <w:color w:val="000000" w:themeColor="text1"/>
        </w:rPr>
      </w:pPr>
    </w:p>
    <w:p w14:paraId="1361685B" w14:textId="1AED1BFD" w:rsidR="009D1B1A" w:rsidRPr="00C868F2" w:rsidRDefault="009D1B1A" w:rsidP="009D1B1A">
      <w:pPr>
        <w:spacing w:line="480" w:lineRule="auto"/>
        <w:jc w:val="center"/>
        <w:rPr>
          <w:b/>
          <w:bCs/>
          <w:color w:val="000000" w:themeColor="text1"/>
        </w:rPr>
      </w:pPr>
    </w:p>
    <w:p w14:paraId="155783D7" w14:textId="77777777" w:rsidR="009D1B1A" w:rsidRPr="00C868F2" w:rsidRDefault="009D1B1A" w:rsidP="009D1B1A">
      <w:pPr>
        <w:spacing w:line="480" w:lineRule="auto"/>
        <w:jc w:val="center"/>
        <w:rPr>
          <w:b/>
          <w:bCs/>
          <w:color w:val="000000" w:themeColor="text1"/>
        </w:rPr>
      </w:pPr>
    </w:p>
    <w:p w14:paraId="29CC6376" w14:textId="46A09B38" w:rsidR="00F04F2F" w:rsidRPr="00C868F2" w:rsidRDefault="00F04F2F" w:rsidP="009D1B1A">
      <w:pPr>
        <w:spacing w:line="480" w:lineRule="auto"/>
        <w:rPr>
          <w:b/>
          <w:bCs/>
          <w:color w:val="000000" w:themeColor="text1"/>
        </w:rPr>
      </w:pPr>
      <w:r w:rsidRPr="00C868F2">
        <w:rPr>
          <w:b/>
          <w:bCs/>
          <w:color w:val="000000" w:themeColor="text1"/>
        </w:rPr>
        <w:lastRenderedPageBreak/>
        <w:t xml:space="preserve">Appendix </w:t>
      </w:r>
      <w:r w:rsidR="00433AA4">
        <w:rPr>
          <w:b/>
          <w:bCs/>
          <w:color w:val="000000" w:themeColor="text1"/>
        </w:rPr>
        <w:t>J</w:t>
      </w:r>
    </w:p>
    <w:tbl>
      <w:tblPr>
        <w:tblW w:w="10556" w:type="dxa"/>
        <w:jc w:val="center"/>
        <w:tblLook w:val="04A0" w:firstRow="1" w:lastRow="0" w:firstColumn="1" w:lastColumn="0" w:noHBand="0" w:noVBand="1"/>
      </w:tblPr>
      <w:tblGrid>
        <w:gridCol w:w="1110"/>
        <w:gridCol w:w="5969"/>
        <w:gridCol w:w="1596"/>
        <w:gridCol w:w="1881"/>
      </w:tblGrid>
      <w:tr w:rsidR="00F04F2F" w:rsidRPr="00C868F2" w14:paraId="503145A2" w14:textId="77777777" w:rsidTr="009D1B1A">
        <w:trPr>
          <w:trHeight w:val="299"/>
          <w:jc w:val="center"/>
        </w:trPr>
        <w:tc>
          <w:tcPr>
            <w:tcW w:w="105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4B48B6" w14:textId="77777777" w:rsidR="00F04F2F" w:rsidRPr="00C868F2" w:rsidRDefault="00F04F2F" w:rsidP="009D1B1A">
            <w:pPr>
              <w:jc w:val="center"/>
              <w:rPr>
                <w:b/>
                <w:bCs/>
                <w:color w:val="000000"/>
              </w:rPr>
            </w:pPr>
            <w:r w:rsidRPr="00C868F2">
              <w:rPr>
                <w:b/>
                <w:bCs/>
                <w:color w:val="000000"/>
              </w:rPr>
              <w:t>Upper Bound (Increased 50%)</w:t>
            </w:r>
          </w:p>
        </w:tc>
      </w:tr>
      <w:tr w:rsidR="00F04F2F" w:rsidRPr="00C868F2" w14:paraId="24F764B9"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0D4937B0" w14:textId="77777777" w:rsidR="00F04F2F" w:rsidRPr="00C868F2" w:rsidRDefault="00F04F2F" w:rsidP="009D1B1A">
            <w:pPr>
              <w:jc w:val="center"/>
              <w:rPr>
                <w:b/>
                <w:bCs/>
                <w:color w:val="000000"/>
              </w:rPr>
            </w:pPr>
            <w:r w:rsidRPr="00C868F2">
              <w:rPr>
                <w:b/>
                <w:bCs/>
                <w:color w:val="000000"/>
              </w:rPr>
              <w:t>Variable</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1AA0" w14:textId="77777777" w:rsidR="00F04F2F" w:rsidRPr="00C868F2" w:rsidRDefault="00F04F2F" w:rsidP="009D1B1A">
            <w:pPr>
              <w:jc w:val="center"/>
              <w:rPr>
                <w:b/>
                <w:bCs/>
                <w:color w:val="000000"/>
              </w:rPr>
            </w:pPr>
            <w:r w:rsidRPr="00C868F2">
              <w:rPr>
                <w:b/>
                <w:bCs/>
                <w:color w:val="000000"/>
              </w:rPr>
              <w:t>Description</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5519" w14:textId="77777777" w:rsidR="00F04F2F" w:rsidRPr="00C868F2" w:rsidRDefault="00F04F2F" w:rsidP="009D1B1A">
            <w:pPr>
              <w:jc w:val="center"/>
              <w:rPr>
                <w:b/>
                <w:bCs/>
                <w:color w:val="000000"/>
              </w:rPr>
            </w:pPr>
            <w:r w:rsidRPr="00C868F2">
              <w:rPr>
                <w:b/>
                <w:bCs/>
                <w:color w:val="000000"/>
              </w:rPr>
              <w:t>Value</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8C48" w14:textId="77777777" w:rsidR="00F04F2F" w:rsidRPr="00C868F2" w:rsidRDefault="00F04F2F" w:rsidP="009D1B1A">
            <w:pPr>
              <w:jc w:val="center"/>
              <w:rPr>
                <w:b/>
                <w:bCs/>
                <w:color w:val="000000"/>
              </w:rPr>
            </w:pPr>
            <w:r w:rsidRPr="00C868F2">
              <w:rPr>
                <w:b/>
                <w:bCs/>
                <w:color w:val="000000"/>
              </w:rPr>
              <w:t>Source</w:t>
            </w:r>
          </w:p>
        </w:tc>
      </w:tr>
      <w:tr w:rsidR="00F04F2F" w:rsidRPr="00C868F2" w14:paraId="25679623"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1DFDA62" w14:textId="77777777" w:rsidR="00F04F2F" w:rsidRPr="00C868F2" w:rsidRDefault="00F04F2F" w:rsidP="009D1B1A">
            <w:pPr>
              <w:jc w:val="center"/>
              <w:rPr>
                <w:i/>
                <w:iCs/>
                <w:color w:val="000000"/>
              </w:rPr>
            </w:pPr>
            <w:r w:rsidRPr="00C868F2">
              <w:rPr>
                <w:i/>
                <w:iCs/>
                <w:color w:val="000000"/>
              </w:rPr>
              <w:t>Smat</w:t>
            </w:r>
          </w:p>
        </w:tc>
        <w:tc>
          <w:tcPr>
            <w:tcW w:w="596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C9BEE3" w14:textId="5069CD81" w:rsidR="00F04F2F" w:rsidRPr="00C868F2" w:rsidRDefault="00F04F2F" w:rsidP="009D1B1A">
            <w:pPr>
              <w:jc w:val="center"/>
              <w:rPr>
                <w:color w:val="000000"/>
              </w:rPr>
            </w:pPr>
            <w:r w:rsidRPr="00C868F2">
              <w:rPr>
                <w:color w:val="000000"/>
              </w:rPr>
              <w:t>annual health care and crime savings</w:t>
            </w:r>
          </w:p>
        </w:tc>
        <w:tc>
          <w:tcPr>
            <w:tcW w:w="159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ACE9C6" w14:textId="77777777" w:rsidR="00F04F2F" w:rsidRPr="00C868F2" w:rsidRDefault="00F04F2F" w:rsidP="009D1B1A">
            <w:pPr>
              <w:jc w:val="center"/>
              <w:rPr>
                <w:b/>
                <w:bCs/>
                <w:color w:val="000000"/>
              </w:rPr>
            </w:pPr>
            <w:r w:rsidRPr="00C868F2">
              <w:rPr>
                <w:b/>
                <w:bCs/>
                <w:color w:val="000000"/>
              </w:rPr>
              <w:t>$1,414,683.90</w:t>
            </w:r>
          </w:p>
        </w:tc>
        <w:tc>
          <w:tcPr>
            <w:tcW w:w="1881" w:type="dxa"/>
            <w:tcBorders>
              <w:top w:val="single" w:sz="4" w:space="0" w:color="auto"/>
              <w:left w:val="nil"/>
              <w:bottom w:val="single" w:sz="4" w:space="0" w:color="auto"/>
              <w:right w:val="single" w:sz="4" w:space="0" w:color="auto"/>
            </w:tcBorders>
            <w:shd w:val="clear" w:color="D9D9D9" w:fill="D9D9D9"/>
            <w:noWrap/>
            <w:vAlign w:val="center"/>
            <w:hideMark/>
          </w:tcPr>
          <w:p w14:paraId="5D912C91" w14:textId="77777777" w:rsidR="00F04F2F" w:rsidRPr="00C868F2" w:rsidRDefault="00F04F2F" w:rsidP="009D1B1A">
            <w:pPr>
              <w:jc w:val="center"/>
              <w:rPr>
                <w:color w:val="000000"/>
              </w:rPr>
            </w:pPr>
            <w:r w:rsidRPr="00C868F2">
              <w:rPr>
                <w:color w:val="000000"/>
              </w:rPr>
              <w:t>(Irwin et al., 2017)</w:t>
            </w:r>
          </w:p>
        </w:tc>
      </w:tr>
      <w:tr w:rsidR="00F04F2F" w:rsidRPr="00C868F2" w14:paraId="000B4932"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1F77FEE" w14:textId="77777777" w:rsidR="00F04F2F" w:rsidRPr="00C868F2" w:rsidRDefault="00F04F2F" w:rsidP="009D1B1A">
            <w:pPr>
              <w:jc w:val="center"/>
              <w:rPr>
                <w:i/>
                <w:iCs/>
                <w:color w:val="000000"/>
              </w:rPr>
            </w:pPr>
            <w:r w:rsidRPr="00C868F2">
              <w:rPr>
                <w:i/>
                <w:iCs/>
                <w:color w:val="000000"/>
              </w:rPr>
              <w:t>N</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7E50" w14:textId="0EB199D4" w:rsidR="00F04F2F" w:rsidRPr="00C868F2" w:rsidRDefault="00F04F2F" w:rsidP="009D1B1A">
            <w:pPr>
              <w:jc w:val="center"/>
              <w:rPr>
                <w:color w:val="000000"/>
              </w:rPr>
            </w:pPr>
            <w:r w:rsidRPr="00C868F2">
              <w:rPr>
                <w:color w:val="000000"/>
              </w:rPr>
              <w:t xml:space="preserve">number of monthly unique </w:t>
            </w:r>
            <w:r w:rsidR="00B512DB">
              <w:rPr>
                <w:color w:val="000000"/>
              </w:rPr>
              <w:t>Insite</w:t>
            </w:r>
            <w:r w:rsidRPr="00C868F2">
              <w:rPr>
                <w:color w:val="000000"/>
              </w:rPr>
              <w:t xml:space="preserve"> injection room clients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AD63" w14:textId="77777777" w:rsidR="00F04F2F" w:rsidRPr="00C868F2" w:rsidRDefault="00F04F2F" w:rsidP="009D1B1A">
            <w:pPr>
              <w:jc w:val="center"/>
              <w:rPr>
                <w:color w:val="000000"/>
              </w:rPr>
            </w:pPr>
            <w:r w:rsidRPr="00C868F2">
              <w:rPr>
                <w:color w:val="000000"/>
              </w:rPr>
              <w:t>2100</w:t>
            </w:r>
          </w:p>
        </w:tc>
        <w:tc>
          <w:tcPr>
            <w:tcW w:w="1881" w:type="dxa"/>
            <w:tcBorders>
              <w:top w:val="nil"/>
              <w:left w:val="nil"/>
              <w:bottom w:val="single" w:sz="4" w:space="0" w:color="auto"/>
              <w:right w:val="single" w:sz="4" w:space="0" w:color="auto"/>
            </w:tcBorders>
            <w:shd w:val="clear" w:color="auto" w:fill="auto"/>
            <w:noWrap/>
            <w:vAlign w:val="center"/>
            <w:hideMark/>
          </w:tcPr>
          <w:p w14:paraId="78A57F23" w14:textId="77777777" w:rsidR="00F04F2F" w:rsidRPr="00C868F2" w:rsidRDefault="00F04F2F" w:rsidP="009D1B1A">
            <w:pPr>
              <w:jc w:val="center"/>
              <w:rPr>
                <w:color w:val="000000"/>
              </w:rPr>
            </w:pPr>
            <w:r w:rsidRPr="00C868F2">
              <w:rPr>
                <w:color w:val="000000"/>
              </w:rPr>
              <w:t>(Irwin et al., 2017)</w:t>
            </w:r>
          </w:p>
        </w:tc>
      </w:tr>
      <w:tr w:rsidR="00F04F2F" w:rsidRPr="00C868F2" w14:paraId="15660FE9"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4C03B0CC" w14:textId="77777777" w:rsidR="00F04F2F" w:rsidRPr="00C868F2" w:rsidRDefault="00F04F2F" w:rsidP="009D1B1A">
            <w:pPr>
              <w:jc w:val="center"/>
              <w:rPr>
                <w:i/>
                <w:iCs/>
                <w:color w:val="000000"/>
              </w:rPr>
            </w:pPr>
            <w:r w:rsidRPr="00C868F2">
              <w:rPr>
                <w:i/>
                <w:iCs/>
                <w:color w:val="000000"/>
              </w:rPr>
              <w:t>r</w:t>
            </w:r>
          </w:p>
        </w:tc>
        <w:tc>
          <w:tcPr>
            <w:tcW w:w="596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A24D57" w14:textId="53DBB250" w:rsidR="00F04F2F" w:rsidRPr="00C868F2" w:rsidRDefault="00944B71" w:rsidP="009D1B1A">
            <w:pPr>
              <w:jc w:val="center"/>
              <w:rPr>
                <w:color w:val="000000"/>
              </w:rPr>
            </w:pPr>
            <w:r w:rsidRPr="00C868F2">
              <w:rPr>
                <w:color w:val="000000"/>
              </w:rPr>
              <w:t>%</w:t>
            </w:r>
            <w:r w:rsidR="00F04F2F" w:rsidRPr="00C868F2">
              <w:rPr>
                <w:color w:val="000000"/>
              </w:rPr>
              <w:t>of SCS users who access MAT as a result of SCS referrals</w:t>
            </w:r>
          </w:p>
        </w:tc>
        <w:tc>
          <w:tcPr>
            <w:tcW w:w="159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7DD1CF" w14:textId="77777777" w:rsidR="00F04F2F" w:rsidRPr="00C868F2" w:rsidRDefault="00F04F2F" w:rsidP="009D1B1A">
            <w:pPr>
              <w:jc w:val="center"/>
              <w:rPr>
                <w:color w:val="000000"/>
              </w:rPr>
            </w:pPr>
            <w:r w:rsidRPr="00C868F2">
              <w:rPr>
                <w:color w:val="000000"/>
              </w:rPr>
              <w:t>5.78%</w:t>
            </w:r>
          </w:p>
        </w:tc>
        <w:tc>
          <w:tcPr>
            <w:tcW w:w="1881" w:type="dxa"/>
            <w:tcBorders>
              <w:top w:val="nil"/>
              <w:left w:val="nil"/>
              <w:bottom w:val="single" w:sz="4" w:space="0" w:color="auto"/>
              <w:right w:val="single" w:sz="4" w:space="0" w:color="auto"/>
            </w:tcBorders>
            <w:shd w:val="clear" w:color="D9D9D9" w:fill="D9D9D9"/>
            <w:noWrap/>
            <w:vAlign w:val="center"/>
            <w:hideMark/>
          </w:tcPr>
          <w:p w14:paraId="72E6A573" w14:textId="77777777" w:rsidR="00F04F2F" w:rsidRPr="00C868F2" w:rsidRDefault="00F04F2F" w:rsidP="009D1B1A">
            <w:pPr>
              <w:jc w:val="center"/>
              <w:rPr>
                <w:color w:val="000000"/>
              </w:rPr>
            </w:pPr>
            <w:r w:rsidRPr="00C868F2">
              <w:rPr>
                <w:color w:val="000000"/>
              </w:rPr>
              <w:t>(MSIC, 2003)</w:t>
            </w:r>
          </w:p>
        </w:tc>
      </w:tr>
      <w:tr w:rsidR="00F04F2F" w:rsidRPr="00C868F2" w14:paraId="4F395D0C"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077D1D1D" w14:textId="77777777" w:rsidR="00F04F2F" w:rsidRPr="00C868F2" w:rsidRDefault="00F04F2F" w:rsidP="009D1B1A">
            <w:pPr>
              <w:jc w:val="center"/>
              <w:rPr>
                <w:i/>
                <w:iCs/>
                <w:color w:val="000000"/>
              </w:rPr>
            </w:pPr>
            <w:r w:rsidRPr="00C868F2">
              <w:rPr>
                <w:i/>
                <w:iCs/>
                <w:color w:val="000000"/>
              </w:rPr>
              <w:t>f</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28F3D" w14:textId="5BAE96BA" w:rsidR="00F04F2F" w:rsidRPr="00C868F2" w:rsidRDefault="00F04F2F" w:rsidP="009D1B1A">
            <w:pPr>
              <w:jc w:val="center"/>
              <w:rPr>
                <w:color w:val="000000"/>
              </w:rPr>
            </w:pPr>
            <w:r w:rsidRPr="00C868F2">
              <w:rPr>
                <w:color w:val="000000"/>
              </w:rPr>
              <w:t xml:space="preserve">treatment retention factor (low and high end 37% </w:t>
            </w:r>
            <w:r w:rsidR="00376B24" w:rsidRPr="00C868F2">
              <w:rPr>
                <w:color w:val="000000"/>
              </w:rPr>
              <w:t>-</w:t>
            </w:r>
            <w:r w:rsidRPr="00C868F2">
              <w:rPr>
                <w:color w:val="000000"/>
              </w:rPr>
              <w:t>94%)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E0FB8" w14:textId="77777777" w:rsidR="00F04F2F" w:rsidRPr="00C868F2" w:rsidRDefault="00F04F2F" w:rsidP="009D1B1A">
            <w:pPr>
              <w:jc w:val="center"/>
              <w:rPr>
                <w:color w:val="000000"/>
              </w:rPr>
            </w:pPr>
            <w:r w:rsidRPr="00C868F2">
              <w:rPr>
                <w:color w:val="000000"/>
              </w:rPr>
              <w:t>37%</w:t>
            </w:r>
          </w:p>
        </w:tc>
        <w:tc>
          <w:tcPr>
            <w:tcW w:w="1881" w:type="dxa"/>
            <w:tcBorders>
              <w:top w:val="nil"/>
              <w:left w:val="nil"/>
              <w:bottom w:val="single" w:sz="4" w:space="0" w:color="auto"/>
              <w:right w:val="single" w:sz="4" w:space="0" w:color="auto"/>
            </w:tcBorders>
            <w:shd w:val="clear" w:color="auto" w:fill="auto"/>
            <w:noWrap/>
            <w:vAlign w:val="center"/>
            <w:hideMark/>
          </w:tcPr>
          <w:p w14:paraId="513DE9A6" w14:textId="77777777" w:rsidR="00F04F2F" w:rsidRPr="00C868F2" w:rsidRDefault="00F04F2F" w:rsidP="009D1B1A">
            <w:pPr>
              <w:jc w:val="center"/>
              <w:rPr>
                <w:color w:val="000000"/>
              </w:rPr>
            </w:pPr>
            <w:r w:rsidRPr="00C868F2">
              <w:rPr>
                <w:color w:val="000000"/>
              </w:rPr>
              <w:t>(Timko, et al., 2015)</w:t>
            </w:r>
          </w:p>
        </w:tc>
      </w:tr>
      <w:tr w:rsidR="00F04F2F" w:rsidRPr="00C868F2" w14:paraId="7C4EE4F3"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6B363BB" w14:textId="77777777" w:rsidR="00F04F2F" w:rsidRPr="00C868F2" w:rsidRDefault="00F04F2F" w:rsidP="009D1B1A">
            <w:pPr>
              <w:jc w:val="center"/>
              <w:rPr>
                <w:i/>
                <w:iCs/>
                <w:color w:val="000000"/>
              </w:rPr>
            </w:pPr>
            <w:r w:rsidRPr="00C868F2">
              <w:rPr>
                <w:i/>
                <w:iCs/>
                <w:color w:val="000000"/>
              </w:rPr>
              <w:t>b</w:t>
            </w:r>
          </w:p>
        </w:tc>
        <w:tc>
          <w:tcPr>
            <w:tcW w:w="596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05FCFD" w14:textId="77777777" w:rsidR="00F04F2F" w:rsidRPr="00C868F2" w:rsidRDefault="00F04F2F" w:rsidP="009D1B1A">
            <w:pPr>
              <w:jc w:val="center"/>
              <w:rPr>
                <w:color w:val="000000"/>
              </w:rPr>
            </w:pPr>
            <w:r w:rsidRPr="00C868F2">
              <w:rPr>
                <w:color w:val="000000"/>
              </w:rPr>
              <w:t>cost benefit ratio for MAT</w:t>
            </w:r>
          </w:p>
        </w:tc>
        <w:tc>
          <w:tcPr>
            <w:tcW w:w="159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C739A4" w14:textId="77777777" w:rsidR="00F04F2F" w:rsidRPr="00C868F2" w:rsidRDefault="00F04F2F" w:rsidP="009D1B1A">
            <w:pPr>
              <w:jc w:val="center"/>
              <w:rPr>
                <w:color w:val="000000"/>
              </w:rPr>
            </w:pPr>
            <w:r w:rsidRPr="00C868F2">
              <w:rPr>
                <w:color w:val="000000"/>
              </w:rPr>
              <w:t>4.5</w:t>
            </w:r>
          </w:p>
        </w:tc>
        <w:tc>
          <w:tcPr>
            <w:tcW w:w="1881" w:type="dxa"/>
            <w:tcBorders>
              <w:top w:val="nil"/>
              <w:left w:val="nil"/>
              <w:bottom w:val="single" w:sz="4" w:space="0" w:color="auto"/>
              <w:right w:val="single" w:sz="4" w:space="0" w:color="auto"/>
            </w:tcBorders>
            <w:shd w:val="clear" w:color="D9D9D9" w:fill="D9D9D9"/>
            <w:noWrap/>
            <w:vAlign w:val="center"/>
            <w:hideMark/>
          </w:tcPr>
          <w:p w14:paraId="18FB5093" w14:textId="77777777" w:rsidR="00F04F2F" w:rsidRPr="00C868F2" w:rsidRDefault="00F04F2F" w:rsidP="009D1B1A">
            <w:pPr>
              <w:jc w:val="center"/>
              <w:rPr>
                <w:color w:val="000000"/>
              </w:rPr>
            </w:pPr>
            <w:r w:rsidRPr="00C868F2">
              <w:rPr>
                <w:color w:val="000000"/>
              </w:rPr>
              <w:t>(Irwin et al., 2017)</w:t>
            </w:r>
          </w:p>
        </w:tc>
      </w:tr>
      <w:tr w:rsidR="00F04F2F" w:rsidRPr="00C868F2" w14:paraId="351B010B"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9B23E67" w14:textId="77777777" w:rsidR="00F04F2F" w:rsidRPr="00C868F2" w:rsidRDefault="00F04F2F" w:rsidP="009D1B1A">
            <w:pPr>
              <w:jc w:val="center"/>
              <w:rPr>
                <w:i/>
                <w:iCs/>
                <w:color w:val="000000"/>
              </w:rPr>
            </w:pPr>
            <w:r w:rsidRPr="00C868F2">
              <w:rPr>
                <w:i/>
                <w:iCs/>
                <w:color w:val="000000"/>
              </w:rPr>
              <w:t>T</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E6A2" w14:textId="77777777" w:rsidR="00F04F2F" w:rsidRPr="00C868F2" w:rsidRDefault="00F04F2F" w:rsidP="009D1B1A">
            <w:pPr>
              <w:jc w:val="center"/>
              <w:rPr>
                <w:color w:val="000000"/>
              </w:rPr>
            </w:pPr>
            <w:r w:rsidRPr="00C868F2">
              <w:rPr>
                <w:color w:val="000000"/>
              </w:rPr>
              <w:t>average cost of 1 year of MAT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CC060" w14:textId="77777777" w:rsidR="00F04F2F" w:rsidRPr="00C868F2" w:rsidRDefault="00F04F2F" w:rsidP="009D1B1A">
            <w:pPr>
              <w:jc w:val="center"/>
              <w:rPr>
                <w:color w:val="000000"/>
              </w:rPr>
            </w:pPr>
            <w:r w:rsidRPr="00C868F2">
              <w:rPr>
                <w:color w:val="000000"/>
              </w:rPr>
              <w:t>$6,000.00</w:t>
            </w:r>
          </w:p>
        </w:tc>
        <w:tc>
          <w:tcPr>
            <w:tcW w:w="1881" w:type="dxa"/>
            <w:tcBorders>
              <w:top w:val="nil"/>
              <w:left w:val="nil"/>
              <w:bottom w:val="single" w:sz="4" w:space="0" w:color="auto"/>
              <w:right w:val="single" w:sz="4" w:space="0" w:color="auto"/>
            </w:tcBorders>
            <w:shd w:val="clear" w:color="auto" w:fill="auto"/>
            <w:noWrap/>
            <w:vAlign w:val="center"/>
            <w:hideMark/>
          </w:tcPr>
          <w:p w14:paraId="141CEF74" w14:textId="77777777" w:rsidR="00F04F2F" w:rsidRPr="00C868F2" w:rsidRDefault="00F04F2F" w:rsidP="009D1B1A">
            <w:pPr>
              <w:jc w:val="center"/>
              <w:rPr>
                <w:color w:val="000000"/>
              </w:rPr>
            </w:pPr>
            <w:r w:rsidRPr="00C868F2">
              <w:rPr>
                <w:color w:val="000000"/>
              </w:rPr>
              <w:t>(Thomas, 2022)</w:t>
            </w:r>
          </w:p>
        </w:tc>
      </w:tr>
      <w:tr w:rsidR="00F04F2F" w:rsidRPr="00C868F2" w14:paraId="35BC4A85" w14:textId="77777777" w:rsidTr="009D1B1A">
        <w:trPr>
          <w:trHeight w:val="299"/>
          <w:jc w:val="center"/>
        </w:trPr>
        <w:tc>
          <w:tcPr>
            <w:tcW w:w="1110" w:type="dxa"/>
            <w:tcBorders>
              <w:top w:val="nil"/>
              <w:left w:val="nil"/>
              <w:bottom w:val="nil"/>
              <w:right w:val="nil"/>
            </w:tcBorders>
            <w:shd w:val="clear" w:color="auto" w:fill="auto"/>
            <w:noWrap/>
            <w:vAlign w:val="bottom"/>
            <w:hideMark/>
          </w:tcPr>
          <w:p w14:paraId="6803DCE8" w14:textId="77777777" w:rsidR="00F04F2F" w:rsidRPr="00C868F2" w:rsidRDefault="00F04F2F" w:rsidP="009D1B1A">
            <w:pPr>
              <w:jc w:val="center"/>
              <w:rPr>
                <w:color w:val="000000"/>
              </w:rPr>
            </w:pPr>
          </w:p>
        </w:tc>
        <w:tc>
          <w:tcPr>
            <w:tcW w:w="5969" w:type="dxa"/>
            <w:tcBorders>
              <w:top w:val="nil"/>
              <w:left w:val="nil"/>
              <w:bottom w:val="nil"/>
              <w:right w:val="nil"/>
            </w:tcBorders>
            <w:shd w:val="clear" w:color="auto" w:fill="auto"/>
            <w:noWrap/>
            <w:vAlign w:val="bottom"/>
            <w:hideMark/>
          </w:tcPr>
          <w:p w14:paraId="773EAF48" w14:textId="77777777" w:rsidR="00F04F2F" w:rsidRPr="00C868F2" w:rsidRDefault="00F04F2F" w:rsidP="009D1B1A">
            <w:pPr>
              <w:jc w:val="center"/>
            </w:pPr>
          </w:p>
        </w:tc>
        <w:tc>
          <w:tcPr>
            <w:tcW w:w="1596" w:type="dxa"/>
            <w:tcBorders>
              <w:top w:val="nil"/>
              <w:left w:val="nil"/>
              <w:bottom w:val="nil"/>
              <w:right w:val="nil"/>
            </w:tcBorders>
            <w:shd w:val="clear" w:color="auto" w:fill="auto"/>
            <w:noWrap/>
            <w:vAlign w:val="bottom"/>
            <w:hideMark/>
          </w:tcPr>
          <w:p w14:paraId="3AD758CA" w14:textId="77777777" w:rsidR="00F04F2F" w:rsidRPr="00C868F2" w:rsidRDefault="00F04F2F" w:rsidP="009D1B1A">
            <w:pPr>
              <w:jc w:val="center"/>
            </w:pPr>
          </w:p>
        </w:tc>
        <w:tc>
          <w:tcPr>
            <w:tcW w:w="1881" w:type="dxa"/>
            <w:tcBorders>
              <w:top w:val="nil"/>
              <w:left w:val="nil"/>
              <w:bottom w:val="nil"/>
              <w:right w:val="nil"/>
            </w:tcBorders>
            <w:shd w:val="clear" w:color="auto" w:fill="auto"/>
            <w:noWrap/>
            <w:vAlign w:val="bottom"/>
            <w:hideMark/>
          </w:tcPr>
          <w:p w14:paraId="72760C21" w14:textId="77777777" w:rsidR="00F04F2F" w:rsidRPr="00C868F2" w:rsidRDefault="00F04F2F" w:rsidP="009D1B1A">
            <w:pPr>
              <w:jc w:val="center"/>
            </w:pPr>
          </w:p>
        </w:tc>
      </w:tr>
      <w:tr w:rsidR="00F04F2F" w:rsidRPr="00C868F2" w14:paraId="2E1934B1" w14:textId="77777777" w:rsidTr="009D1B1A">
        <w:trPr>
          <w:trHeight w:val="299"/>
          <w:jc w:val="center"/>
        </w:trPr>
        <w:tc>
          <w:tcPr>
            <w:tcW w:w="1110" w:type="dxa"/>
            <w:tcBorders>
              <w:top w:val="nil"/>
              <w:left w:val="nil"/>
              <w:bottom w:val="nil"/>
              <w:right w:val="nil"/>
            </w:tcBorders>
            <w:shd w:val="clear" w:color="auto" w:fill="auto"/>
            <w:noWrap/>
            <w:vAlign w:val="bottom"/>
            <w:hideMark/>
          </w:tcPr>
          <w:p w14:paraId="1383A5F6" w14:textId="77777777" w:rsidR="00F04F2F" w:rsidRPr="00C868F2" w:rsidRDefault="00F04F2F" w:rsidP="009D1B1A">
            <w:pPr>
              <w:jc w:val="center"/>
            </w:pPr>
          </w:p>
        </w:tc>
        <w:tc>
          <w:tcPr>
            <w:tcW w:w="5969" w:type="dxa"/>
            <w:tcBorders>
              <w:top w:val="nil"/>
              <w:left w:val="nil"/>
              <w:bottom w:val="nil"/>
              <w:right w:val="nil"/>
            </w:tcBorders>
            <w:shd w:val="clear" w:color="auto" w:fill="auto"/>
            <w:noWrap/>
            <w:vAlign w:val="bottom"/>
            <w:hideMark/>
          </w:tcPr>
          <w:p w14:paraId="3C829972" w14:textId="77777777" w:rsidR="00F04F2F" w:rsidRPr="00C868F2" w:rsidRDefault="00F04F2F" w:rsidP="009D1B1A">
            <w:pPr>
              <w:jc w:val="center"/>
            </w:pPr>
          </w:p>
        </w:tc>
        <w:tc>
          <w:tcPr>
            <w:tcW w:w="1596" w:type="dxa"/>
            <w:tcBorders>
              <w:top w:val="nil"/>
              <w:left w:val="nil"/>
              <w:bottom w:val="nil"/>
              <w:right w:val="nil"/>
            </w:tcBorders>
            <w:shd w:val="clear" w:color="auto" w:fill="auto"/>
            <w:noWrap/>
            <w:vAlign w:val="bottom"/>
            <w:hideMark/>
          </w:tcPr>
          <w:p w14:paraId="79458466" w14:textId="77777777" w:rsidR="00F04F2F" w:rsidRPr="00C868F2" w:rsidRDefault="00F04F2F" w:rsidP="009D1B1A">
            <w:pPr>
              <w:jc w:val="center"/>
            </w:pPr>
          </w:p>
        </w:tc>
        <w:tc>
          <w:tcPr>
            <w:tcW w:w="1881" w:type="dxa"/>
            <w:tcBorders>
              <w:top w:val="nil"/>
              <w:left w:val="nil"/>
              <w:bottom w:val="nil"/>
              <w:right w:val="nil"/>
            </w:tcBorders>
            <w:shd w:val="clear" w:color="auto" w:fill="auto"/>
            <w:noWrap/>
            <w:vAlign w:val="bottom"/>
            <w:hideMark/>
          </w:tcPr>
          <w:p w14:paraId="7AF54306" w14:textId="77777777" w:rsidR="00F04F2F" w:rsidRPr="00C868F2" w:rsidRDefault="00F04F2F" w:rsidP="009D1B1A">
            <w:pPr>
              <w:jc w:val="center"/>
            </w:pPr>
          </w:p>
        </w:tc>
      </w:tr>
      <w:tr w:rsidR="00F04F2F" w:rsidRPr="00C868F2" w14:paraId="682FFD5F" w14:textId="77777777" w:rsidTr="009D1B1A">
        <w:trPr>
          <w:trHeight w:val="299"/>
          <w:jc w:val="center"/>
        </w:trPr>
        <w:tc>
          <w:tcPr>
            <w:tcW w:w="105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07395A" w14:textId="77777777" w:rsidR="00F04F2F" w:rsidRPr="00C868F2" w:rsidRDefault="00F04F2F" w:rsidP="009D1B1A">
            <w:pPr>
              <w:jc w:val="center"/>
              <w:rPr>
                <w:b/>
                <w:bCs/>
                <w:color w:val="000000"/>
              </w:rPr>
            </w:pPr>
            <w:r w:rsidRPr="00C868F2">
              <w:rPr>
                <w:b/>
                <w:bCs/>
                <w:color w:val="000000"/>
              </w:rPr>
              <w:t>Lower Bound (Decreased 50%)</w:t>
            </w:r>
          </w:p>
        </w:tc>
      </w:tr>
      <w:tr w:rsidR="00F04F2F" w:rsidRPr="00C868F2" w14:paraId="46F0B964"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41810E3" w14:textId="77777777" w:rsidR="00F04F2F" w:rsidRPr="00C868F2" w:rsidRDefault="00F04F2F" w:rsidP="009D1B1A">
            <w:pPr>
              <w:jc w:val="center"/>
              <w:rPr>
                <w:b/>
                <w:bCs/>
                <w:color w:val="000000"/>
              </w:rPr>
            </w:pPr>
            <w:r w:rsidRPr="00C868F2">
              <w:rPr>
                <w:b/>
                <w:bCs/>
                <w:color w:val="000000"/>
              </w:rPr>
              <w:t>Variable</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C931A" w14:textId="77777777" w:rsidR="00F04F2F" w:rsidRPr="00C868F2" w:rsidRDefault="00F04F2F" w:rsidP="009D1B1A">
            <w:pPr>
              <w:jc w:val="center"/>
              <w:rPr>
                <w:b/>
                <w:bCs/>
                <w:color w:val="000000"/>
              </w:rPr>
            </w:pPr>
            <w:r w:rsidRPr="00C868F2">
              <w:rPr>
                <w:b/>
                <w:bCs/>
                <w:color w:val="000000"/>
              </w:rPr>
              <w:t>Description</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446F3" w14:textId="77777777" w:rsidR="00F04F2F" w:rsidRPr="00C868F2" w:rsidRDefault="00F04F2F" w:rsidP="009D1B1A">
            <w:pPr>
              <w:jc w:val="center"/>
              <w:rPr>
                <w:b/>
                <w:bCs/>
                <w:color w:val="000000"/>
              </w:rPr>
            </w:pPr>
            <w:r w:rsidRPr="00C868F2">
              <w:rPr>
                <w:b/>
                <w:bCs/>
                <w:color w:val="000000"/>
              </w:rPr>
              <w:t>Value</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2D7E2" w14:textId="77777777" w:rsidR="00F04F2F" w:rsidRPr="00C868F2" w:rsidRDefault="00F04F2F" w:rsidP="009D1B1A">
            <w:pPr>
              <w:jc w:val="center"/>
              <w:rPr>
                <w:b/>
                <w:bCs/>
                <w:color w:val="000000"/>
              </w:rPr>
            </w:pPr>
            <w:r w:rsidRPr="00C868F2">
              <w:rPr>
                <w:b/>
                <w:bCs/>
                <w:color w:val="000000"/>
              </w:rPr>
              <w:t>Source</w:t>
            </w:r>
          </w:p>
        </w:tc>
      </w:tr>
      <w:tr w:rsidR="00F04F2F" w:rsidRPr="00C868F2" w14:paraId="05CF1B07"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C050553" w14:textId="77777777" w:rsidR="00F04F2F" w:rsidRPr="00C868F2" w:rsidRDefault="00F04F2F" w:rsidP="009D1B1A">
            <w:pPr>
              <w:jc w:val="center"/>
              <w:rPr>
                <w:i/>
                <w:iCs/>
                <w:color w:val="000000"/>
              </w:rPr>
            </w:pPr>
            <w:r w:rsidRPr="00C868F2">
              <w:rPr>
                <w:i/>
                <w:iCs/>
                <w:color w:val="000000"/>
              </w:rPr>
              <w:t>Smat</w:t>
            </w:r>
          </w:p>
        </w:tc>
        <w:tc>
          <w:tcPr>
            <w:tcW w:w="596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AA0C62" w14:textId="05FDACF3" w:rsidR="00F04F2F" w:rsidRPr="00C868F2" w:rsidRDefault="00F04F2F" w:rsidP="009D1B1A">
            <w:pPr>
              <w:jc w:val="center"/>
              <w:rPr>
                <w:color w:val="000000"/>
              </w:rPr>
            </w:pPr>
            <w:r w:rsidRPr="00C868F2">
              <w:rPr>
                <w:color w:val="000000"/>
              </w:rPr>
              <w:t>annual health care and crime savings</w:t>
            </w:r>
          </w:p>
        </w:tc>
        <w:tc>
          <w:tcPr>
            <w:tcW w:w="159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A9CD2A" w14:textId="77777777" w:rsidR="00F04F2F" w:rsidRPr="00C868F2" w:rsidRDefault="00F04F2F" w:rsidP="009D1B1A">
            <w:pPr>
              <w:jc w:val="center"/>
              <w:rPr>
                <w:b/>
                <w:bCs/>
                <w:color w:val="000000"/>
              </w:rPr>
            </w:pPr>
            <w:r w:rsidRPr="00C868F2">
              <w:rPr>
                <w:b/>
                <w:bCs/>
                <w:color w:val="000000"/>
              </w:rPr>
              <w:t>$471,561.30</w:t>
            </w:r>
          </w:p>
        </w:tc>
        <w:tc>
          <w:tcPr>
            <w:tcW w:w="1881" w:type="dxa"/>
            <w:tcBorders>
              <w:top w:val="single" w:sz="4" w:space="0" w:color="auto"/>
              <w:left w:val="nil"/>
              <w:bottom w:val="single" w:sz="4" w:space="0" w:color="auto"/>
              <w:right w:val="single" w:sz="4" w:space="0" w:color="auto"/>
            </w:tcBorders>
            <w:shd w:val="clear" w:color="D9D9D9" w:fill="D9D9D9"/>
            <w:noWrap/>
            <w:vAlign w:val="center"/>
            <w:hideMark/>
          </w:tcPr>
          <w:p w14:paraId="0A309BA1" w14:textId="77777777" w:rsidR="00F04F2F" w:rsidRPr="00C868F2" w:rsidRDefault="00F04F2F" w:rsidP="009D1B1A">
            <w:pPr>
              <w:jc w:val="center"/>
              <w:rPr>
                <w:color w:val="000000"/>
              </w:rPr>
            </w:pPr>
            <w:r w:rsidRPr="00C868F2">
              <w:rPr>
                <w:color w:val="000000"/>
              </w:rPr>
              <w:t>(Irwin et al., 2017)</w:t>
            </w:r>
          </w:p>
        </w:tc>
      </w:tr>
      <w:tr w:rsidR="00F04F2F" w:rsidRPr="00C868F2" w14:paraId="4A9D6D7B"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54C7D1C" w14:textId="77777777" w:rsidR="00F04F2F" w:rsidRPr="00C868F2" w:rsidRDefault="00F04F2F" w:rsidP="009D1B1A">
            <w:pPr>
              <w:jc w:val="center"/>
              <w:rPr>
                <w:i/>
                <w:iCs/>
                <w:color w:val="000000"/>
              </w:rPr>
            </w:pPr>
            <w:r w:rsidRPr="00C868F2">
              <w:rPr>
                <w:i/>
                <w:iCs/>
                <w:color w:val="000000"/>
              </w:rPr>
              <w:t>N</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8366" w14:textId="65602B35" w:rsidR="00F04F2F" w:rsidRPr="00C868F2" w:rsidRDefault="00F04F2F" w:rsidP="009D1B1A">
            <w:pPr>
              <w:jc w:val="center"/>
              <w:rPr>
                <w:color w:val="000000"/>
              </w:rPr>
            </w:pPr>
            <w:r w:rsidRPr="00C868F2">
              <w:rPr>
                <w:color w:val="000000"/>
              </w:rPr>
              <w:t xml:space="preserve">number of monthly unique </w:t>
            </w:r>
            <w:r w:rsidR="00B512DB">
              <w:rPr>
                <w:color w:val="000000"/>
              </w:rPr>
              <w:t>Insite</w:t>
            </w:r>
            <w:r w:rsidRPr="00C868F2">
              <w:rPr>
                <w:color w:val="000000"/>
              </w:rPr>
              <w:t xml:space="preserve"> injection room clients</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5AD01" w14:textId="77777777" w:rsidR="00F04F2F" w:rsidRPr="00C868F2" w:rsidRDefault="00F04F2F" w:rsidP="009D1B1A">
            <w:pPr>
              <w:jc w:val="center"/>
              <w:rPr>
                <w:color w:val="000000"/>
              </w:rPr>
            </w:pPr>
            <w:r w:rsidRPr="00C868F2">
              <w:rPr>
                <w:color w:val="000000"/>
              </w:rPr>
              <w:t>2100</w:t>
            </w:r>
          </w:p>
        </w:tc>
        <w:tc>
          <w:tcPr>
            <w:tcW w:w="1881" w:type="dxa"/>
            <w:tcBorders>
              <w:top w:val="nil"/>
              <w:left w:val="nil"/>
              <w:bottom w:val="single" w:sz="4" w:space="0" w:color="auto"/>
              <w:right w:val="single" w:sz="4" w:space="0" w:color="auto"/>
            </w:tcBorders>
            <w:shd w:val="clear" w:color="auto" w:fill="auto"/>
            <w:noWrap/>
            <w:vAlign w:val="center"/>
            <w:hideMark/>
          </w:tcPr>
          <w:p w14:paraId="794AEE1B" w14:textId="77777777" w:rsidR="00F04F2F" w:rsidRPr="00C868F2" w:rsidRDefault="00F04F2F" w:rsidP="009D1B1A">
            <w:pPr>
              <w:jc w:val="center"/>
              <w:rPr>
                <w:color w:val="000000"/>
              </w:rPr>
            </w:pPr>
            <w:r w:rsidRPr="00C868F2">
              <w:rPr>
                <w:color w:val="000000"/>
              </w:rPr>
              <w:t>(Irwin et al., 2017)</w:t>
            </w:r>
          </w:p>
        </w:tc>
      </w:tr>
      <w:tr w:rsidR="00F04F2F" w:rsidRPr="00C868F2" w14:paraId="46DEC0C9"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147DE246" w14:textId="77777777" w:rsidR="00F04F2F" w:rsidRPr="00C868F2" w:rsidRDefault="00F04F2F" w:rsidP="009D1B1A">
            <w:pPr>
              <w:jc w:val="center"/>
              <w:rPr>
                <w:i/>
                <w:iCs/>
                <w:color w:val="000000"/>
              </w:rPr>
            </w:pPr>
            <w:r w:rsidRPr="00C868F2">
              <w:rPr>
                <w:i/>
                <w:iCs/>
                <w:color w:val="000000"/>
              </w:rPr>
              <w:t>r</w:t>
            </w:r>
          </w:p>
        </w:tc>
        <w:tc>
          <w:tcPr>
            <w:tcW w:w="596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5E620F" w14:textId="7DDBAD51" w:rsidR="00F04F2F" w:rsidRPr="00C868F2" w:rsidRDefault="00944B71" w:rsidP="009D1B1A">
            <w:pPr>
              <w:jc w:val="center"/>
              <w:rPr>
                <w:color w:val="000000"/>
              </w:rPr>
            </w:pPr>
            <w:r w:rsidRPr="00C868F2">
              <w:rPr>
                <w:color w:val="000000"/>
              </w:rPr>
              <w:t>%</w:t>
            </w:r>
            <w:r w:rsidR="00F04F2F" w:rsidRPr="00C868F2">
              <w:rPr>
                <w:color w:val="000000"/>
              </w:rPr>
              <w:t>of SCS users who access MAT as a result of SCS referrals</w:t>
            </w:r>
          </w:p>
        </w:tc>
        <w:tc>
          <w:tcPr>
            <w:tcW w:w="159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E4AFFF" w14:textId="77777777" w:rsidR="00F04F2F" w:rsidRPr="00C868F2" w:rsidRDefault="00F04F2F" w:rsidP="009D1B1A">
            <w:pPr>
              <w:jc w:val="center"/>
              <w:rPr>
                <w:color w:val="000000"/>
              </w:rPr>
            </w:pPr>
            <w:r w:rsidRPr="00C868F2">
              <w:rPr>
                <w:color w:val="000000"/>
              </w:rPr>
              <w:t>5.78%</w:t>
            </w:r>
          </w:p>
        </w:tc>
        <w:tc>
          <w:tcPr>
            <w:tcW w:w="1881" w:type="dxa"/>
            <w:tcBorders>
              <w:top w:val="nil"/>
              <w:left w:val="nil"/>
              <w:bottom w:val="single" w:sz="4" w:space="0" w:color="auto"/>
              <w:right w:val="single" w:sz="4" w:space="0" w:color="auto"/>
            </w:tcBorders>
            <w:shd w:val="clear" w:color="D9D9D9" w:fill="D9D9D9"/>
            <w:noWrap/>
            <w:vAlign w:val="center"/>
            <w:hideMark/>
          </w:tcPr>
          <w:p w14:paraId="5F40753E" w14:textId="77777777" w:rsidR="00F04F2F" w:rsidRPr="00C868F2" w:rsidRDefault="00F04F2F" w:rsidP="009D1B1A">
            <w:pPr>
              <w:jc w:val="center"/>
              <w:rPr>
                <w:color w:val="000000"/>
              </w:rPr>
            </w:pPr>
            <w:r w:rsidRPr="00C868F2">
              <w:rPr>
                <w:color w:val="000000"/>
              </w:rPr>
              <w:t>(MSIC, 2003)</w:t>
            </w:r>
          </w:p>
        </w:tc>
      </w:tr>
      <w:tr w:rsidR="00F04F2F" w:rsidRPr="00C868F2" w14:paraId="7F54FFDB"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6A96C31F" w14:textId="77777777" w:rsidR="00F04F2F" w:rsidRPr="00C868F2" w:rsidRDefault="00F04F2F" w:rsidP="009D1B1A">
            <w:pPr>
              <w:jc w:val="center"/>
              <w:rPr>
                <w:i/>
                <w:iCs/>
                <w:color w:val="000000"/>
              </w:rPr>
            </w:pPr>
            <w:r w:rsidRPr="00C868F2">
              <w:rPr>
                <w:i/>
                <w:iCs/>
                <w:color w:val="000000"/>
              </w:rPr>
              <w:t>f</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86FE1" w14:textId="5348B99D" w:rsidR="00F04F2F" w:rsidRPr="00C868F2" w:rsidRDefault="00F04F2F" w:rsidP="009D1B1A">
            <w:pPr>
              <w:jc w:val="center"/>
              <w:rPr>
                <w:color w:val="000000"/>
              </w:rPr>
            </w:pPr>
            <w:r w:rsidRPr="00C868F2">
              <w:rPr>
                <w:color w:val="000000"/>
              </w:rPr>
              <w:t xml:space="preserve">treatment retention factor (low and high end 37% </w:t>
            </w:r>
            <w:r w:rsidR="00376B24" w:rsidRPr="00C868F2">
              <w:rPr>
                <w:color w:val="000000"/>
              </w:rPr>
              <w:t>-</w:t>
            </w:r>
            <w:r w:rsidRPr="00C868F2">
              <w:rPr>
                <w:color w:val="000000"/>
              </w:rPr>
              <w:t>94%)</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8C8A2" w14:textId="77777777" w:rsidR="00F04F2F" w:rsidRPr="00C868F2" w:rsidRDefault="00F04F2F" w:rsidP="009D1B1A">
            <w:pPr>
              <w:jc w:val="center"/>
              <w:rPr>
                <w:color w:val="000000"/>
              </w:rPr>
            </w:pPr>
            <w:r w:rsidRPr="00C868F2">
              <w:rPr>
                <w:color w:val="000000"/>
              </w:rPr>
              <w:t>37%</w:t>
            </w:r>
          </w:p>
        </w:tc>
        <w:tc>
          <w:tcPr>
            <w:tcW w:w="1881" w:type="dxa"/>
            <w:tcBorders>
              <w:top w:val="nil"/>
              <w:left w:val="nil"/>
              <w:bottom w:val="single" w:sz="4" w:space="0" w:color="auto"/>
              <w:right w:val="single" w:sz="4" w:space="0" w:color="auto"/>
            </w:tcBorders>
            <w:shd w:val="clear" w:color="auto" w:fill="auto"/>
            <w:noWrap/>
            <w:vAlign w:val="center"/>
            <w:hideMark/>
          </w:tcPr>
          <w:p w14:paraId="1CB5A3AE" w14:textId="77777777" w:rsidR="00F04F2F" w:rsidRPr="00C868F2" w:rsidRDefault="00F04F2F" w:rsidP="009D1B1A">
            <w:pPr>
              <w:jc w:val="center"/>
              <w:rPr>
                <w:color w:val="000000"/>
              </w:rPr>
            </w:pPr>
            <w:r w:rsidRPr="00C868F2">
              <w:rPr>
                <w:color w:val="000000"/>
              </w:rPr>
              <w:t>(Timko, et al., 2015)</w:t>
            </w:r>
          </w:p>
        </w:tc>
      </w:tr>
      <w:tr w:rsidR="00F04F2F" w:rsidRPr="00C868F2" w14:paraId="6C205F78"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7AE876DB" w14:textId="77777777" w:rsidR="00F04F2F" w:rsidRPr="00C868F2" w:rsidRDefault="00F04F2F" w:rsidP="009D1B1A">
            <w:pPr>
              <w:jc w:val="center"/>
              <w:rPr>
                <w:i/>
                <w:iCs/>
                <w:color w:val="000000"/>
              </w:rPr>
            </w:pPr>
            <w:r w:rsidRPr="00C868F2">
              <w:rPr>
                <w:i/>
                <w:iCs/>
                <w:color w:val="000000"/>
              </w:rPr>
              <w:t>b</w:t>
            </w:r>
          </w:p>
        </w:tc>
        <w:tc>
          <w:tcPr>
            <w:tcW w:w="596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24AAF7" w14:textId="77777777" w:rsidR="00F04F2F" w:rsidRPr="00C868F2" w:rsidRDefault="00F04F2F" w:rsidP="009D1B1A">
            <w:pPr>
              <w:jc w:val="center"/>
              <w:rPr>
                <w:color w:val="000000"/>
              </w:rPr>
            </w:pPr>
            <w:r w:rsidRPr="00C868F2">
              <w:rPr>
                <w:color w:val="000000"/>
              </w:rPr>
              <w:t>cost benefit ratio for MAT</w:t>
            </w:r>
          </w:p>
        </w:tc>
        <w:tc>
          <w:tcPr>
            <w:tcW w:w="159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BFA5DC" w14:textId="77777777" w:rsidR="00F04F2F" w:rsidRPr="00C868F2" w:rsidRDefault="00F04F2F" w:rsidP="009D1B1A">
            <w:pPr>
              <w:jc w:val="center"/>
              <w:rPr>
                <w:color w:val="000000"/>
              </w:rPr>
            </w:pPr>
            <w:r w:rsidRPr="00C868F2">
              <w:rPr>
                <w:color w:val="000000"/>
              </w:rPr>
              <w:t>4.5</w:t>
            </w:r>
          </w:p>
        </w:tc>
        <w:tc>
          <w:tcPr>
            <w:tcW w:w="1881" w:type="dxa"/>
            <w:tcBorders>
              <w:top w:val="nil"/>
              <w:left w:val="nil"/>
              <w:bottom w:val="single" w:sz="4" w:space="0" w:color="auto"/>
              <w:right w:val="single" w:sz="4" w:space="0" w:color="auto"/>
            </w:tcBorders>
            <w:shd w:val="clear" w:color="D9D9D9" w:fill="D9D9D9"/>
            <w:noWrap/>
            <w:vAlign w:val="center"/>
            <w:hideMark/>
          </w:tcPr>
          <w:p w14:paraId="034AEADA" w14:textId="77777777" w:rsidR="00F04F2F" w:rsidRPr="00C868F2" w:rsidRDefault="00F04F2F" w:rsidP="009D1B1A">
            <w:pPr>
              <w:jc w:val="center"/>
              <w:rPr>
                <w:color w:val="000000"/>
              </w:rPr>
            </w:pPr>
            <w:r w:rsidRPr="00C868F2">
              <w:rPr>
                <w:color w:val="000000"/>
              </w:rPr>
              <w:t>(Irwin et al., 2017)</w:t>
            </w:r>
          </w:p>
        </w:tc>
      </w:tr>
      <w:tr w:rsidR="00F04F2F" w:rsidRPr="00C868F2" w14:paraId="10A81431" w14:textId="77777777" w:rsidTr="009D1B1A">
        <w:trPr>
          <w:trHeight w:val="299"/>
          <w:jc w:val="center"/>
        </w:trPr>
        <w:tc>
          <w:tcPr>
            <w:tcW w:w="1110" w:type="dxa"/>
            <w:tcBorders>
              <w:top w:val="nil"/>
              <w:left w:val="single" w:sz="4" w:space="0" w:color="auto"/>
              <w:bottom w:val="single" w:sz="4" w:space="0" w:color="auto"/>
              <w:right w:val="single" w:sz="4" w:space="0" w:color="auto"/>
            </w:tcBorders>
            <w:shd w:val="clear" w:color="auto" w:fill="auto"/>
            <w:noWrap/>
            <w:vAlign w:val="bottom"/>
            <w:hideMark/>
          </w:tcPr>
          <w:p w14:paraId="30FB7A3B" w14:textId="77777777" w:rsidR="00F04F2F" w:rsidRPr="00C868F2" w:rsidRDefault="00F04F2F" w:rsidP="009D1B1A">
            <w:pPr>
              <w:jc w:val="center"/>
              <w:rPr>
                <w:i/>
                <w:iCs/>
                <w:color w:val="000000"/>
              </w:rPr>
            </w:pPr>
            <w:r w:rsidRPr="00C868F2">
              <w:rPr>
                <w:i/>
                <w:iCs/>
                <w:color w:val="000000"/>
              </w:rPr>
              <w:t>T</w:t>
            </w: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CE8C0" w14:textId="77777777" w:rsidR="00F04F2F" w:rsidRPr="00C868F2" w:rsidRDefault="00F04F2F" w:rsidP="009D1B1A">
            <w:pPr>
              <w:jc w:val="center"/>
              <w:rPr>
                <w:color w:val="000000"/>
              </w:rPr>
            </w:pPr>
            <w:r w:rsidRPr="00C868F2">
              <w:rPr>
                <w:color w:val="000000"/>
              </w:rPr>
              <w:t>average cost of 1 year of MAT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9D3E2" w14:textId="77777777" w:rsidR="00F04F2F" w:rsidRPr="00C868F2" w:rsidRDefault="00F04F2F" w:rsidP="009D1B1A">
            <w:pPr>
              <w:jc w:val="center"/>
              <w:rPr>
                <w:color w:val="000000"/>
              </w:rPr>
            </w:pPr>
            <w:r w:rsidRPr="00C868F2">
              <w:rPr>
                <w:color w:val="000000"/>
              </w:rPr>
              <w:t>$6,000.00</w:t>
            </w:r>
          </w:p>
        </w:tc>
        <w:tc>
          <w:tcPr>
            <w:tcW w:w="1881" w:type="dxa"/>
            <w:tcBorders>
              <w:top w:val="nil"/>
              <w:left w:val="nil"/>
              <w:bottom w:val="single" w:sz="4" w:space="0" w:color="auto"/>
              <w:right w:val="single" w:sz="4" w:space="0" w:color="auto"/>
            </w:tcBorders>
            <w:shd w:val="clear" w:color="auto" w:fill="auto"/>
            <w:noWrap/>
            <w:vAlign w:val="center"/>
            <w:hideMark/>
          </w:tcPr>
          <w:p w14:paraId="3BD25F8A" w14:textId="77777777" w:rsidR="00F04F2F" w:rsidRPr="00C868F2" w:rsidRDefault="00F04F2F" w:rsidP="009D1B1A">
            <w:pPr>
              <w:jc w:val="center"/>
              <w:rPr>
                <w:color w:val="000000"/>
              </w:rPr>
            </w:pPr>
            <w:r w:rsidRPr="00C868F2">
              <w:rPr>
                <w:color w:val="000000"/>
              </w:rPr>
              <w:t>(Thomas, 2022)</w:t>
            </w:r>
          </w:p>
        </w:tc>
      </w:tr>
    </w:tbl>
    <w:p w14:paraId="7FF779A1" w14:textId="6DBBABE5" w:rsidR="00F04F2F" w:rsidRPr="00C868F2" w:rsidRDefault="00F04F2F" w:rsidP="009D1B1A">
      <w:pPr>
        <w:spacing w:line="480" w:lineRule="auto"/>
        <w:jc w:val="center"/>
        <w:rPr>
          <w:b/>
          <w:bCs/>
          <w:color w:val="000000" w:themeColor="text1"/>
        </w:rPr>
      </w:pPr>
    </w:p>
    <w:p w14:paraId="7A0EFEB8" w14:textId="10F181FD" w:rsidR="001E0791" w:rsidRPr="00951CBC" w:rsidRDefault="001E0791" w:rsidP="009D1B1A">
      <w:pPr>
        <w:jc w:val="center"/>
        <w:rPr>
          <w:color w:val="000000" w:themeColor="text1"/>
          <w:sz w:val="22"/>
          <w:szCs w:val="22"/>
        </w:rPr>
      </w:pPr>
    </w:p>
    <w:sectPr w:rsidR="001E0791" w:rsidRPr="00951CBC" w:rsidSect="00CD1DDF">
      <w:headerReference w:type="even" r:id="rId17"/>
      <w:head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C66D0" w14:textId="77777777" w:rsidR="00372454" w:rsidRDefault="00372454" w:rsidP="00100E8E">
      <w:r>
        <w:separator/>
      </w:r>
    </w:p>
  </w:endnote>
  <w:endnote w:type="continuationSeparator" w:id="0">
    <w:p w14:paraId="7F52FFD0" w14:textId="77777777" w:rsidR="00372454" w:rsidRDefault="00372454" w:rsidP="001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7F8B" w14:textId="77777777" w:rsidR="00372454" w:rsidRDefault="00372454" w:rsidP="00100E8E">
      <w:r>
        <w:separator/>
      </w:r>
    </w:p>
  </w:footnote>
  <w:footnote w:type="continuationSeparator" w:id="0">
    <w:p w14:paraId="2B733634" w14:textId="77777777" w:rsidR="00372454" w:rsidRDefault="00372454" w:rsidP="001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1301070"/>
      <w:docPartObj>
        <w:docPartGallery w:val="Page Numbers (Top of Page)"/>
        <w:docPartUnique/>
      </w:docPartObj>
    </w:sdtPr>
    <w:sdtEndPr>
      <w:rPr>
        <w:rStyle w:val="PageNumber"/>
      </w:rPr>
    </w:sdtEndPr>
    <w:sdtContent>
      <w:p w14:paraId="4722B9D5" w14:textId="77777777" w:rsidR="006C0004" w:rsidRDefault="006C0004" w:rsidP="00B105B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FEA09" w14:textId="77777777" w:rsidR="006C0004" w:rsidRDefault="006C0004" w:rsidP="00CD1D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840256"/>
      <w:docPartObj>
        <w:docPartGallery w:val="Page Numbers (Top of Page)"/>
        <w:docPartUnique/>
      </w:docPartObj>
    </w:sdtPr>
    <w:sdtEndPr>
      <w:rPr>
        <w:rStyle w:val="PageNumber"/>
      </w:rPr>
    </w:sdtEndPr>
    <w:sdtContent>
      <w:p w14:paraId="6A2A0275" w14:textId="77777777" w:rsidR="006C0004" w:rsidRDefault="006C0004" w:rsidP="00B105B7">
        <w:pPr>
          <w:pStyle w:val="Header"/>
          <w:framePr w:wrap="none" w:vAnchor="text" w:hAnchor="margin" w:xAlign="right" w:y="1"/>
          <w:rPr>
            <w:rStyle w:val="PageNumber"/>
          </w:rPr>
        </w:pPr>
        <w:r w:rsidRPr="00CD1DDF">
          <w:rPr>
            <w:rStyle w:val="PageNumber"/>
          </w:rPr>
          <w:fldChar w:fldCharType="begin"/>
        </w:r>
        <w:r w:rsidRPr="00CD1DDF">
          <w:rPr>
            <w:rStyle w:val="PageNumber"/>
          </w:rPr>
          <w:instrText xml:space="preserve"> PAGE </w:instrText>
        </w:r>
        <w:r w:rsidRPr="00CD1DDF">
          <w:rPr>
            <w:rStyle w:val="PageNumber"/>
          </w:rPr>
          <w:fldChar w:fldCharType="separate"/>
        </w:r>
        <w:r w:rsidRPr="00CD1DDF">
          <w:rPr>
            <w:rStyle w:val="PageNumber"/>
            <w:noProof/>
          </w:rPr>
          <w:t>2</w:t>
        </w:r>
        <w:r w:rsidRPr="00CD1DDF">
          <w:rPr>
            <w:rStyle w:val="PageNumber"/>
          </w:rPr>
          <w:fldChar w:fldCharType="end"/>
        </w:r>
      </w:p>
    </w:sdtContent>
  </w:sdt>
  <w:p w14:paraId="68AD32E5" w14:textId="77777777" w:rsidR="006C0004" w:rsidRPr="005D1726" w:rsidRDefault="006C0004" w:rsidP="00CD1DDF">
    <w:pPr>
      <w:pStyle w:val="Header"/>
      <w:ind w:right="360"/>
    </w:pPr>
    <w:r w:rsidRPr="005D1726">
      <w:t xml:space="preserve">COST BENEFIT ANALYSIS FOR A HYPOTHETICAL SAFE CONSUMPTION SITE </w:t>
    </w:r>
  </w:p>
  <w:p w14:paraId="578666B6" w14:textId="77777777" w:rsidR="006C0004" w:rsidRDefault="006C0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D659" w14:textId="420935B4" w:rsidR="006C0004" w:rsidRPr="005D1726" w:rsidRDefault="006C0004" w:rsidP="00100E8E">
    <w:pPr>
      <w:pStyle w:val="Header"/>
    </w:pPr>
    <w:r w:rsidRPr="00100E8E">
      <w:t>Running Head:</w:t>
    </w:r>
    <w:r>
      <w:t xml:space="preserve"> </w:t>
    </w:r>
    <w:r w:rsidRPr="005D1726">
      <w:t>COST BENEFIT ANALYSIS FOR A HYPOTHETICAL SAFE CONSUMPTION SITE IN BALTIMORE CITY</w:t>
    </w:r>
    <w:r>
      <w:t>:</w:t>
    </w:r>
    <w:r w:rsidRPr="005D1726">
      <w:t xml:space="preserve"> REVISISTED POST </w:t>
    </w:r>
    <w:r>
      <w:t>COVID</w:t>
    </w:r>
    <w:r w:rsidRPr="005D1726">
      <w:t xml:space="preserve"> </w:t>
    </w:r>
    <w:r>
      <w:t>-</w:t>
    </w:r>
    <w:r w:rsidRPr="005D1726">
      <w:t>19 PANDEMIC</w:t>
    </w:r>
  </w:p>
  <w:p w14:paraId="7E2D149B" w14:textId="77777777" w:rsidR="006C0004" w:rsidRDefault="006C0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69"/>
    <w:rsid w:val="0001280F"/>
    <w:rsid w:val="00015369"/>
    <w:rsid w:val="00016F87"/>
    <w:rsid w:val="00020AB4"/>
    <w:rsid w:val="00022753"/>
    <w:rsid w:val="00024679"/>
    <w:rsid w:val="0002529F"/>
    <w:rsid w:val="00025C94"/>
    <w:rsid w:val="00030798"/>
    <w:rsid w:val="00031141"/>
    <w:rsid w:val="00045915"/>
    <w:rsid w:val="00047DBE"/>
    <w:rsid w:val="0005096C"/>
    <w:rsid w:val="0006441A"/>
    <w:rsid w:val="00071B3C"/>
    <w:rsid w:val="00071B46"/>
    <w:rsid w:val="00075300"/>
    <w:rsid w:val="000753C8"/>
    <w:rsid w:val="000850DD"/>
    <w:rsid w:val="00085775"/>
    <w:rsid w:val="00085B60"/>
    <w:rsid w:val="00094570"/>
    <w:rsid w:val="000A0033"/>
    <w:rsid w:val="000A59E9"/>
    <w:rsid w:val="000A6F85"/>
    <w:rsid w:val="000B1F2D"/>
    <w:rsid w:val="000B4100"/>
    <w:rsid w:val="000C3537"/>
    <w:rsid w:val="000C64A5"/>
    <w:rsid w:val="000D00B8"/>
    <w:rsid w:val="000D3CD6"/>
    <w:rsid w:val="000E586F"/>
    <w:rsid w:val="00100E8E"/>
    <w:rsid w:val="001240D7"/>
    <w:rsid w:val="00125121"/>
    <w:rsid w:val="00141048"/>
    <w:rsid w:val="001469A2"/>
    <w:rsid w:val="0016506C"/>
    <w:rsid w:val="001654A0"/>
    <w:rsid w:val="00182B93"/>
    <w:rsid w:val="00183E56"/>
    <w:rsid w:val="00184154"/>
    <w:rsid w:val="00186F63"/>
    <w:rsid w:val="0019403D"/>
    <w:rsid w:val="00194A07"/>
    <w:rsid w:val="001B0FF1"/>
    <w:rsid w:val="001B2049"/>
    <w:rsid w:val="001C373E"/>
    <w:rsid w:val="001D235C"/>
    <w:rsid w:val="001D3FFA"/>
    <w:rsid w:val="001D53B3"/>
    <w:rsid w:val="001D7644"/>
    <w:rsid w:val="001E0791"/>
    <w:rsid w:val="001E7157"/>
    <w:rsid w:val="001F09DF"/>
    <w:rsid w:val="001F3B25"/>
    <w:rsid w:val="001F615A"/>
    <w:rsid w:val="0020468F"/>
    <w:rsid w:val="00205A40"/>
    <w:rsid w:val="00216581"/>
    <w:rsid w:val="0022237A"/>
    <w:rsid w:val="002223F9"/>
    <w:rsid w:val="00245D4C"/>
    <w:rsid w:val="00247021"/>
    <w:rsid w:val="00247CDA"/>
    <w:rsid w:val="00251E1E"/>
    <w:rsid w:val="002530CE"/>
    <w:rsid w:val="00253831"/>
    <w:rsid w:val="0026041A"/>
    <w:rsid w:val="00263A0B"/>
    <w:rsid w:val="002829FB"/>
    <w:rsid w:val="00284959"/>
    <w:rsid w:val="00286DDF"/>
    <w:rsid w:val="002B0176"/>
    <w:rsid w:val="002C250C"/>
    <w:rsid w:val="002C404B"/>
    <w:rsid w:val="002C4707"/>
    <w:rsid w:val="002D6617"/>
    <w:rsid w:val="002D7A20"/>
    <w:rsid w:val="002F7411"/>
    <w:rsid w:val="00301198"/>
    <w:rsid w:val="00305DC3"/>
    <w:rsid w:val="00306C8D"/>
    <w:rsid w:val="00314458"/>
    <w:rsid w:val="00315E6D"/>
    <w:rsid w:val="003216B4"/>
    <w:rsid w:val="00322F9E"/>
    <w:rsid w:val="00326FCB"/>
    <w:rsid w:val="0033144E"/>
    <w:rsid w:val="0033281A"/>
    <w:rsid w:val="00344D96"/>
    <w:rsid w:val="00345A97"/>
    <w:rsid w:val="00346E3E"/>
    <w:rsid w:val="00347217"/>
    <w:rsid w:val="0035590D"/>
    <w:rsid w:val="00363767"/>
    <w:rsid w:val="0037024E"/>
    <w:rsid w:val="00372454"/>
    <w:rsid w:val="0037403B"/>
    <w:rsid w:val="0037420B"/>
    <w:rsid w:val="00376B24"/>
    <w:rsid w:val="003847CB"/>
    <w:rsid w:val="003B1D8F"/>
    <w:rsid w:val="003B544A"/>
    <w:rsid w:val="003C09E0"/>
    <w:rsid w:val="003C1955"/>
    <w:rsid w:val="003D6BA3"/>
    <w:rsid w:val="003D7D8B"/>
    <w:rsid w:val="003E2653"/>
    <w:rsid w:val="003E48DC"/>
    <w:rsid w:val="0040594C"/>
    <w:rsid w:val="00411BC5"/>
    <w:rsid w:val="00414365"/>
    <w:rsid w:val="00432958"/>
    <w:rsid w:val="00433AA4"/>
    <w:rsid w:val="004365A4"/>
    <w:rsid w:val="0044215E"/>
    <w:rsid w:val="004448A6"/>
    <w:rsid w:val="00444DA1"/>
    <w:rsid w:val="004453B7"/>
    <w:rsid w:val="0045409E"/>
    <w:rsid w:val="004553D0"/>
    <w:rsid w:val="0046214E"/>
    <w:rsid w:val="0046497A"/>
    <w:rsid w:val="00477794"/>
    <w:rsid w:val="00482364"/>
    <w:rsid w:val="00483291"/>
    <w:rsid w:val="0048473B"/>
    <w:rsid w:val="00491059"/>
    <w:rsid w:val="00496A8F"/>
    <w:rsid w:val="004A428E"/>
    <w:rsid w:val="004B1FFA"/>
    <w:rsid w:val="004B4E0E"/>
    <w:rsid w:val="004C1BC3"/>
    <w:rsid w:val="004C4DD3"/>
    <w:rsid w:val="004C53C7"/>
    <w:rsid w:val="004D0952"/>
    <w:rsid w:val="004D1F72"/>
    <w:rsid w:val="004E0E28"/>
    <w:rsid w:val="004E16FA"/>
    <w:rsid w:val="004E7308"/>
    <w:rsid w:val="004F2B54"/>
    <w:rsid w:val="004F52C8"/>
    <w:rsid w:val="004F536D"/>
    <w:rsid w:val="004F6933"/>
    <w:rsid w:val="00500C1F"/>
    <w:rsid w:val="0053280C"/>
    <w:rsid w:val="00534A78"/>
    <w:rsid w:val="00534B14"/>
    <w:rsid w:val="00545A39"/>
    <w:rsid w:val="005567B6"/>
    <w:rsid w:val="005573D7"/>
    <w:rsid w:val="00562522"/>
    <w:rsid w:val="0057433A"/>
    <w:rsid w:val="00582C48"/>
    <w:rsid w:val="00592185"/>
    <w:rsid w:val="005A6980"/>
    <w:rsid w:val="005B18F3"/>
    <w:rsid w:val="005B7FA9"/>
    <w:rsid w:val="005C050F"/>
    <w:rsid w:val="005C0F35"/>
    <w:rsid w:val="005C3F33"/>
    <w:rsid w:val="005C499C"/>
    <w:rsid w:val="005C7B23"/>
    <w:rsid w:val="005E1DDC"/>
    <w:rsid w:val="005E4600"/>
    <w:rsid w:val="005F4AE8"/>
    <w:rsid w:val="005F7307"/>
    <w:rsid w:val="00631082"/>
    <w:rsid w:val="00646AF4"/>
    <w:rsid w:val="0065571A"/>
    <w:rsid w:val="00662C4A"/>
    <w:rsid w:val="00675F12"/>
    <w:rsid w:val="00676C97"/>
    <w:rsid w:val="00683558"/>
    <w:rsid w:val="00691948"/>
    <w:rsid w:val="00695DAE"/>
    <w:rsid w:val="006A2402"/>
    <w:rsid w:val="006A42AA"/>
    <w:rsid w:val="006A6893"/>
    <w:rsid w:val="006B2035"/>
    <w:rsid w:val="006B475B"/>
    <w:rsid w:val="006B5189"/>
    <w:rsid w:val="006C0004"/>
    <w:rsid w:val="006C002E"/>
    <w:rsid w:val="006D10FF"/>
    <w:rsid w:val="006D49CF"/>
    <w:rsid w:val="006F4E18"/>
    <w:rsid w:val="00706BED"/>
    <w:rsid w:val="007075E1"/>
    <w:rsid w:val="00711FF2"/>
    <w:rsid w:val="00713E36"/>
    <w:rsid w:val="00723D57"/>
    <w:rsid w:val="00747549"/>
    <w:rsid w:val="00751AAB"/>
    <w:rsid w:val="00751CDF"/>
    <w:rsid w:val="00760778"/>
    <w:rsid w:val="007804A5"/>
    <w:rsid w:val="007832D1"/>
    <w:rsid w:val="00795ED5"/>
    <w:rsid w:val="007A2EF2"/>
    <w:rsid w:val="007A49DE"/>
    <w:rsid w:val="007B7E3C"/>
    <w:rsid w:val="007D6B54"/>
    <w:rsid w:val="007D6C45"/>
    <w:rsid w:val="007F06F6"/>
    <w:rsid w:val="007F098D"/>
    <w:rsid w:val="007F26BD"/>
    <w:rsid w:val="007F32A4"/>
    <w:rsid w:val="008034DB"/>
    <w:rsid w:val="00810961"/>
    <w:rsid w:val="00810F3C"/>
    <w:rsid w:val="00814F5E"/>
    <w:rsid w:val="00815C40"/>
    <w:rsid w:val="00816D77"/>
    <w:rsid w:val="00817C00"/>
    <w:rsid w:val="00830F88"/>
    <w:rsid w:val="008366DD"/>
    <w:rsid w:val="00840823"/>
    <w:rsid w:val="00854145"/>
    <w:rsid w:val="00857B63"/>
    <w:rsid w:val="0086394A"/>
    <w:rsid w:val="00870330"/>
    <w:rsid w:val="00871A98"/>
    <w:rsid w:val="00873301"/>
    <w:rsid w:val="0089279F"/>
    <w:rsid w:val="008938A8"/>
    <w:rsid w:val="008A030A"/>
    <w:rsid w:val="008A4FB6"/>
    <w:rsid w:val="008B115A"/>
    <w:rsid w:val="008B1BD4"/>
    <w:rsid w:val="008C168B"/>
    <w:rsid w:val="008C1FFD"/>
    <w:rsid w:val="008C70C9"/>
    <w:rsid w:val="008D0FF9"/>
    <w:rsid w:val="008D3AF4"/>
    <w:rsid w:val="008D3C72"/>
    <w:rsid w:val="008D7CDC"/>
    <w:rsid w:val="008E093A"/>
    <w:rsid w:val="008E2C34"/>
    <w:rsid w:val="008E3728"/>
    <w:rsid w:val="008E5176"/>
    <w:rsid w:val="008E6BE3"/>
    <w:rsid w:val="008E7C76"/>
    <w:rsid w:val="008F1BCF"/>
    <w:rsid w:val="008F5E58"/>
    <w:rsid w:val="00900D51"/>
    <w:rsid w:val="0091433F"/>
    <w:rsid w:val="009146D4"/>
    <w:rsid w:val="00917920"/>
    <w:rsid w:val="009217A7"/>
    <w:rsid w:val="00931046"/>
    <w:rsid w:val="009412C2"/>
    <w:rsid w:val="00944B71"/>
    <w:rsid w:val="00951695"/>
    <w:rsid w:val="00951CBC"/>
    <w:rsid w:val="00952030"/>
    <w:rsid w:val="00957FC9"/>
    <w:rsid w:val="0096107A"/>
    <w:rsid w:val="00975418"/>
    <w:rsid w:val="009804E3"/>
    <w:rsid w:val="00986BDB"/>
    <w:rsid w:val="009956B4"/>
    <w:rsid w:val="009A1F92"/>
    <w:rsid w:val="009A3A90"/>
    <w:rsid w:val="009A3EED"/>
    <w:rsid w:val="009B293E"/>
    <w:rsid w:val="009B2CFD"/>
    <w:rsid w:val="009B7BB4"/>
    <w:rsid w:val="009C1A68"/>
    <w:rsid w:val="009C2456"/>
    <w:rsid w:val="009C329E"/>
    <w:rsid w:val="009C3421"/>
    <w:rsid w:val="009C48ED"/>
    <w:rsid w:val="009D12DF"/>
    <w:rsid w:val="009D16DC"/>
    <w:rsid w:val="009D1B1A"/>
    <w:rsid w:val="009D3051"/>
    <w:rsid w:val="009D6ACD"/>
    <w:rsid w:val="009E3772"/>
    <w:rsid w:val="009F0ECD"/>
    <w:rsid w:val="009F303D"/>
    <w:rsid w:val="00A01CBC"/>
    <w:rsid w:val="00A03479"/>
    <w:rsid w:val="00A06AA6"/>
    <w:rsid w:val="00A21470"/>
    <w:rsid w:val="00A347FE"/>
    <w:rsid w:val="00A377C6"/>
    <w:rsid w:val="00A57DE8"/>
    <w:rsid w:val="00A81590"/>
    <w:rsid w:val="00A94A99"/>
    <w:rsid w:val="00A95C2B"/>
    <w:rsid w:val="00A97EAE"/>
    <w:rsid w:val="00AA1E4E"/>
    <w:rsid w:val="00AA4462"/>
    <w:rsid w:val="00AB254A"/>
    <w:rsid w:val="00AB5D3A"/>
    <w:rsid w:val="00AC791B"/>
    <w:rsid w:val="00AD5BE0"/>
    <w:rsid w:val="00AD686C"/>
    <w:rsid w:val="00AF6595"/>
    <w:rsid w:val="00AF6C92"/>
    <w:rsid w:val="00B00C86"/>
    <w:rsid w:val="00B0184A"/>
    <w:rsid w:val="00B0528E"/>
    <w:rsid w:val="00B105B7"/>
    <w:rsid w:val="00B14A41"/>
    <w:rsid w:val="00B219C9"/>
    <w:rsid w:val="00B3130E"/>
    <w:rsid w:val="00B37E5E"/>
    <w:rsid w:val="00B45660"/>
    <w:rsid w:val="00B512DB"/>
    <w:rsid w:val="00B51D2D"/>
    <w:rsid w:val="00B57D98"/>
    <w:rsid w:val="00B6200F"/>
    <w:rsid w:val="00B63113"/>
    <w:rsid w:val="00B7218B"/>
    <w:rsid w:val="00B76492"/>
    <w:rsid w:val="00B804B9"/>
    <w:rsid w:val="00B814EB"/>
    <w:rsid w:val="00B851D6"/>
    <w:rsid w:val="00B85C5C"/>
    <w:rsid w:val="00B92FCC"/>
    <w:rsid w:val="00B93863"/>
    <w:rsid w:val="00B944A3"/>
    <w:rsid w:val="00B967A4"/>
    <w:rsid w:val="00BA1311"/>
    <w:rsid w:val="00BA5550"/>
    <w:rsid w:val="00BA7A0C"/>
    <w:rsid w:val="00BB565D"/>
    <w:rsid w:val="00BC0B60"/>
    <w:rsid w:val="00BC168C"/>
    <w:rsid w:val="00BC1FEA"/>
    <w:rsid w:val="00BD2FA7"/>
    <w:rsid w:val="00BD72DE"/>
    <w:rsid w:val="00BF2FF8"/>
    <w:rsid w:val="00C02B85"/>
    <w:rsid w:val="00C1151F"/>
    <w:rsid w:val="00C16780"/>
    <w:rsid w:val="00C31806"/>
    <w:rsid w:val="00C35491"/>
    <w:rsid w:val="00C35E3C"/>
    <w:rsid w:val="00C36499"/>
    <w:rsid w:val="00C37976"/>
    <w:rsid w:val="00C47CE0"/>
    <w:rsid w:val="00C537C5"/>
    <w:rsid w:val="00C55161"/>
    <w:rsid w:val="00C7113A"/>
    <w:rsid w:val="00C72308"/>
    <w:rsid w:val="00C7386B"/>
    <w:rsid w:val="00C75F28"/>
    <w:rsid w:val="00C823A2"/>
    <w:rsid w:val="00C868F2"/>
    <w:rsid w:val="00C91011"/>
    <w:rsid w:val="00C97685"/>
    <w:rsid w:val="00C97719"/>
    <w:rsid w:val="00CA7BC5"/>
    <w:rsid w:val="00CB1442"/>
    <w:rsid w:val="00CB6799"/>
    <w:rsid w:val="00CC76BF"/>
    <w:rsid w:val="00CD1DDF"/>
    <w:rsid w:val="00CE6C4A"/>
    <w:rsid w:val="00CF4FE1"/>
    <w:rsid w:val="00D14C24"/>
    <w:rsid w:val="00D20BB3"/>
    <w:rsid w:val="00D2780B"/>
    <w:rsid w:val="00D3101D"/>
    <w:rsid w:val="00D45FB2"/>
    <w:rsid w:val="00D46CD9"/>
    <w:rsid w:val="00D53052"/>
    <w:rsid w:val="00D55114"/>
    <w:rsid w:val="00D648CE"/>
    <w:rsid w:val="00D73A62"/>
    <w:rsid w:val="00D76F58"/>
    <w:rsid w:val="00D822F8"/>
    <w:rsid w:val="00D87D2C"/>
    <w:rsid w:val="00D90B3C"/>
    <w:rsid w:val="00DA3762"/>
    <w:rsid w:val="00DB0CA6"/>
    <w:rsid w:val="00DB6523"/>
    <w:rsid w:val="00DB74E2"/>
    <w:rsid w:val="00DC3959"/>
    <w:rsid w:val="00DC6D19"/>
    <w:rsid w:val="00DD0FFB"/>
    <w:rsid w:val="00DD438C"/>
    <w:rsid w:val="00DD535F"/>
    <w:rsid w:val="00DE7637"/>
    <w:rsid w:val="00DF65B2"/>
    <w:rsid w:val="00DF7421"/>
    <w:rsid w:val="00E0428F"/>
    <w:rsid w:val="00E057E2"/>
    <w:rsid w:val="00E06BB7"/>
    <w:rsid w:val="00E148D4"/>
    <w:rsid w:val="00E175AE"/>
    <w:rsid w:val="00E25080"/>
    <w:rsid w:val="00E32394"/>
    <w:rsid w:val="00E372EF"/>
    <w:rsid w:val="00E438E6"/>
    <w:rsid w:val="00E45264"/>
    <w:rsid w:val="00E55BBF"/>
    <w:rsid w:val="00E65A04"/>
    <w:rsid w:val="00E752EE"/>
    <w:rsid w:val="00E83823"/>
    <w:rsid w:val="00E8506C"/>
    <w:rsid w:val="00E9370E"/>
    <w:rsid w:val="00E974FF"/>
    <w:rsid w:val="00EA1181"/>
    <w:rsid w:val="00EA51D5"/>
    <w:rsid w:val="00EB0DB7"/>
    <w:rsid w:val="00EB0E92"/>
    <w:rsid w:val="00EB355A"/>
    <w:rsid w:val="00EC0C54"/>
    <w:rsid w:val="00EC3930"/>
    <w:rsid w:val="00EE6309"/>
    <w:rsid w:val="00EF1CAD"/>
    <w:rsid w:val="00EF2267"/>
    <w:rsid w:val="00EF2619"/>
    <w:rsid w:val="00EF283B"/>
    <w:rsid w:val="00EF636E"/>
    <w:rsid w:val="00F04F0C"/>
    <w:rsid w:val="00F04F2F"/>
    <w:rsid w:val="00F13FE2"/>
    <w:rsid w:val="00F16675"/>
    <w:rsid w:val="00F17E9D"/>
    <w:rsid w:val="00F22AA4"/>
    <w:rsid w:val="00F31E12"/>
    <w:rsid w:val="00F4047D"/>
    <w:rsid w:val="00F46E24"/>
    <w:rsid w:val="00F47C5B"/>
    <w:rsid w:val="00F5376F"/>
    <w:rsid w:val="00F74CEA"/>
    <w:rsid w:val="00F76443"/>
    <w:rsid w:val="00F76E8F"/>
    <w:rsid w:val="00F828DC"/>
    <w:rsid w:val="00F870DE"/>
    <w:rsid w:val="00F93606"/>
    <w:rsid w:val="00F9455B"/>
    <w:rsid w:val="00F97DB2"/>
    <w:rsid w:val="00FA08FC"/>
    <w:rsid w:val="00FA109A"/>
    <w:rsid w:val="00FA3C9B"/>
    <w:rsid w:val="00FA405F"/>
    <w:rsid w:val="00FB3D7D"/>
    <w:rsid w:val="00FB6A6C"/>
    <w:rsid w:val="00FB7CB5"/>
    <w:rsid w:val="00FC2E62"/>
    <w:rsid w:val="00FD3AAA"/>
    <w:rsid w:val="00FD69C3"/>
    <w:rsid w:val="00FF0385"/>
    <w:rsid w:val="00FF1DF3"/>
    <w:rsid w:val="00FF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72CE"/>
  <w15:chartTrackingRefBased/>
  <w15:docId w15:val="{6DDCC473-4EF0-5648-9F2F-2AC3854B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3A"/>
    <w:rPr>
      <w:rFonts w:ascii="Times New Roman" w:eastAsia="Times New Roman" w:hAnsi="Times New Roman" w:cs="Times New Roman"/>
    </w:rPr>
  </w:style>
  <w:style w:type="paragraph" w:styleId="Heading1">
    <w:name w:val="heading 1"/>
    <w:basedOn w:val="Normal"/>
    <w:next w:val="Normal"/>
    <w:link w:val="Heading1Char"/>
    <w:uiPriority w:val="9"/>
    <w:qFormat/>
    <w:rsid w:val="00CC76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49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49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649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8E"/>
    <w:pPr>
      <w:tabs>
        <w:tab w:val="center" w:pos="4680"/>
        <w:tab w:val="right" w:pos="9360"/>
      </w:tabs>
    </w:pPr>
  </w:style>
  <w:style w:type="character" w:customStyle="1" w:styleId="HeaderChar">
    <w:name w:val="Header Char"/>
    <w:basedOn w:val="DefaultParagraphFont"/>
    <w:link w:val="Header"/>
    <w:uiPriority w:val="99"/>
    <w:rsid w:val="00100E8E"/>
  </w:style>
  <w:style w:type="paragraph" w:styleId="Footer">
    <w:name w:val="footer"/>
    <w:basedOn w:val="Normal"/>
    <w:link w:val="FooterChar"/>
    <w:uiPriority w:val="99"/>
    <w:unhideWhenUsed/>
    <w:rsid w:val="00100E8E"/>
    <w:pPr>
      <w:tabs>
        <w:tab w:val="center" w:pos="4680"/>
        <w:tab w:val="right" w:pos="9360"/>
      </w:tabs>
    </w:pPr>
  </w:style>
  <w:style w:type="character" w:customStyle="1" w:styleId="FooterChar">
    <w:name w:val="Footer Char"/>
    <w:basedOn w:val="DefaultParagraphFont"/>
    <w:link w:val="Footer"/>
    <w:uiPriority w:val="99"/>
    <w:rsid w:val="00100E8E"/>
  </w:style>
  <w:style w:type="character" w:styleId="Hyperlink">
    <w:name w:val="Hyperlink"/>
    <w:basedOn w:val="DefaultParagraphFont"/>
    <w:uiPriority w:val="99"/>
    <w:unhideWhenUsed/>
    <w:rsid w:val="00CD1DDF"/>
    <w:rPr>
      <w:color w:val="0563C1" w:themeColor="hyperlink"/>
      <w:u w:val="single"/>
    </w:rPr>
  </w:style>
  <w:style w:type="character" w:styleId="PageNumber">
    <w:name w:val="page number"/>
    <w:basedOn w:val="DefaultParagraphFont"/>
    <w:uiPriority w:val="99"/>
    <w:semiHidden/>
    <w:unhideWhenUsed/>
    <w:rsid w:val="00CD1DDF"/>
  </w:style>
  <w:style w:type="character" w:customStyle="1" w:styleId="Heading1Char">
    <w:name w:val="Heading 1 Char"/>
    <w:basedOn w:val="DefaultParagraphFont"/>
    <w:link w:val="Heading1"/>
    <w:uiPriority w:val="9"/>
    <w:rsid w:val="00CC76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6BF"/>
    <w:pPr>
      <w:spacing w:before="480" w:line="276" w:lineRule="auto"/>
      <w:outlineLvl w:val="9"/>
    </w:pPr>
    <w:rPr>
      <w:b/>
      <w:bCs/>
      <w:sz w:val="28"/>
      <w:szCs w:val="28"/>
    </w:rPr>
  </w:style>
  <w:style w:type="paragraph" w:styleId="TOC1">
    <w:name w:val="toc 1"/>
    <w:basedOn w:val="Normal"/>
    <w:next w:val="Normal"/>
    <w:autoRedefine/>
    <w:uiPriority w:val="39"/>
    <w:unhideWhenUsed/>
    <w:rsid w:val="00CC76BF"/>
    <w:pPr>
      <w:spacing w:before="360" w:after="360"/>
    </w:pPr>
    <w:rPr>
      <w:b/>
      <w:bCs/>
      <w:caps/>
      <w:sz w:val="22"/>
      <w:szCs w:val="22"/>
      <w:u w:val="single"/>
    </w:rPr>
  </w:style>
  <w:style w:type="paragraph" w:styleId="TOC2">
    <w:name w:val="toc 2"/>
    <w:basedOn w:val="Normal"/>
    <w:next w:val="Normal"/>
    <w:autoRedefine/>
    <w:uiPriority w:val="39"/>
    <w:unhideWhenUsed/>
    <w:rsid w:val="00CC76BF"/>
    <w:rPr>
      <w:b/>
      <w:bCs/>
      <w:smallCaps/>
      <w:sz w:val="22"/>
      <w:szCs w:val="22"/>
    </w:rPr>
  </w:style>
  <w:style w:type="paragraph" w:styleId="TOC3">
    <w:name w:val="toc 3"/>
    <w:basedOn w:val="Normal"/>
    <w:next w:val="Normal"/>
    <w:autoRedefine/>
    <w:uiPriority w:val="39"/>
    <w:unhideWhenUsed/>
    <w:rsid w:val="00CC76BF"/>
    <w:rPr>
      <w:smallCaps/>
      <w:sz w:val="22"/>
      <w:szCs w:val="22"/>
    </w:rPr>
  </w:style>
  <w:style w:type="paragraph" w:styleId="TOC4">
    <w:name w:val="toc 4"/>
    <w:basedOn w:val="Normal"/>
    <w:next w:val="Normal"/>
    <w:autoRedefine/>
    <w:uiPriority w:val="39"/>
    <w:semiHidden/>
    <w:unhideWhenUsed/>
    <w:rsid w:val="00CC76BF"/>
    <w:rPr>
      <w:sz w:val="22"/>
      <w:szCs w:val="22"/>
    </w:rPr>
  </w:style>
  <w:style w:type="paragraph" w:styleId="TOC5">
    <w:name w:val="toc 5"/>
    <w:basedOn w:val="Normal"/>
    <w:next w:val="Normal"/>
    <w:autoRedefine/>
    <w:uiPriority w:val="39"/>
    <w:semiHidden/>
    <w:unhideWhenUsed/>
    <w:rsid w:val="00CC76BF"/>
    <w:rPr>
      <w:sz w:val="22"/>
      <w:szCs w:val="22"/>
    </w:rPr>
  </w:style>
  <w:style w:type="paragraph" w:styleId="TOC6">
    <w:name w:val="toc 6"/>
    <w:basedOn w:val="Normal"/>
    <w:next w:val="Normal"/>
    <w:autoRedefine/>
    <w:uiPriority w:val="39"/>
    <w:semiHidden/>
    <w:unhideWhenUsed/>
    <w:rsid w:val="00CC76BF"/>
    <w:rPr>
      <w:sz w:val="22"/>
      <w:szCs w:val="22"/>
    </w:rPr>
  </w:style>
  <w:style w:type="paragraph" w:styleId="TOC7">
    <w:name w:val="toc 7"/>
    <w:basedOn w:val="Normal"/>
    <w:next w:val="Normal"/>
    <w:autoRedefine/>
    <w:uiPriority w:val="39"/>
    <w:semiHidden/>
    <w:unhideWhenUsed/>
    <w:rsid w:val="00CC76BF"/>
    <w:rPr>
      <w:sz w:val="22"/>
      <w:szCs w:val="22"/>
    </w:rPr>
  </w:style>
  <w:style w:type="paragraph" w:styleId="TOC8">
    <w:name w:val="toc 8"/>
    <w:basedOn w:val="Normal"/>
    <w:next w:val="Normal"/>
    <w:autoRedefine/>
    <w:uiPriority w:val="39"/>
    <w:semiHidden/>
    <w:unhideWhenUsed/>
    <w:rsid w:val="00CC76BF"/>
    <w:rPr>
      <w:sz w:val="22"/>
      <w:szCs w:val="22"/>
    </w:rPr>
  </w:style>
  <w:style w:type="paragraph" w:styleId="TOC9">
    <w:name w:val="toc 9"/>
    <w:basedOn w:val="Normal"/>
    <w:next w:val="Normal"/>
    <w:autoRedefine/>
    <w:uiPriority w:val="39"/>
    <w:semiHidden/>
    <w:unhideWhenUsed/>
    <w:rsid w:val="00CC76BF"/>
    <w:rPr>
      <w:sz w:val="22"/>
      <w:szCs w:val="22"/>
    </w:rPr>
  </w:style>
  <w:style w:type="paragraph" w:styleId="NormalWeb">
    <w:name w:val="Normal (Web)"/>
    <w:basedOn w:val="Normal"/>
    <w:uiPriority w:val="99"/>
    <w:unhideWhenUsed/>
    <w:rsid w:val="00CC76BF"/>
    <w:pPr>
      <w:spacing w:before="100" w:beforeAutospacing="1" w:after="100" w:afterAutospacing="1"/>
    </w:pPr>
  </w:style>
  <w:style w:type="character" w:customStyle="1" w:styleId="Heading2Char">
    <w:name w:val="Heading 2 Char"/>
    <w:basedOn w:val="DefaultParagraphFont"/>
    <w:link w:val="Heading2"/>
    <w:uiPriority w:val="9"/>
    <w:rsid w:val="004649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497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6497A"/>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F5376F"/>
  </w:style>
  <w:style w:type="character" w:styleId="FollowedHyperlink">
    <w:name w:val="FollowedHyperlink"/>
    <w:basedOn w:val="DefaultParagraphFont"/>
    <w:uiPriority w:val="99"/>
    <w:semiHidden/>
    <w:unhideWhenUsed/>
    <w:rsid w:val="00C31806"/>
    <w:rPr>
      <w:color w:val="954F72" w:themeColor="followedHyperlink"/>
      <w:u w:val="single"/>
    </w:rPr>
  </w:style>
  <w:style w:type="table" w:styleId="TableGrid">
    <w:name w:val="Table Grid"/>
    <w:basedOn w:val="TableNormal"/>
    <w:uiPriority w:val="39"/>
    <w:rsid w:val="00CF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4FE1"/>
    <w:rPr>
      <w:color w:val="605E5C"/>
      <w:shd w:val="clear" w:color="auto" w:fill="E1DFDD"/>
    </w:rPr>
  </w:style>
  <w:style w:type="paragraph" w:styleId="BalloonText">
    <w:name w:val="Balloon Text"/>
    <w:basedOn w:val="Normal"/>
    <w:link w:val="BalloonTextChar"/>
    <w:uiPriority w:val="99"/>
    <w:semiHidden/>
    <w:unhideWhenUsed/>
    <w:rsid w:val="007F26BD"/>
    <w:rPr>
      <w:sz w:val="18"/>
      <w:szCs w:val="18"/>
    </w:rPr>
  </w:style>
  <w:style w:type="character" w:customStyle="1" w:styleId="BalloonTextChar">
    <w:name w:val="Balloon Text Char"/>
    <w:basedOn w:val="DefaultParagraphFont"/>
    <w:link w:val="BalloonText"/>
    <w:uiPriority w:val="99"/>
    <w:semiHidden/>
    <w:rsid w:val="007F26B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F26BD"/>
    <w:rPr>
      <w:sz w:val="16"/>
      <w:szCs w:val="16"/>
    </w:rPr>
  </w:style>
  <w:style w:type="paragraph" w:styleId="CommentText">
    <w:name w:val="annotation text"/>
    <w:basedOn w:val="Normal"/>
    <w:link w:val="CommentTextChar"/>
    <w:uiPriority w:val="99"/>
    <w:semiHidden/>
    <w:unhideWhenUsed/>
    <w:rsid w:val="007F26BD"/>
    <w:rPr>
      <w:sz w:val="20"/>
      <w:szCs w:val="20"/>
    </w:rPr>
  </w:style>
  <w:style w:type="character" w:customStyle="1" w:styleId="CommentTextChar">
    <w:name w:val="Comment Text Char"/>
    <w:basedOn w:val="DefaultParagraphFont"/>
    <w:link w:val="CommentText"/>
    <w:uiPriority w:val="99"/>
    <w:semiHidden/>
    <w:rsid w:val="007F26BD"/>
    <w:rPr>
      <w:rFonts w:ascii="Times New Roman" w:eastAsia="Times New Roman" w:hAnsi="Times New Roman" w:cs="Times New Roman"/>
      <w:sz w:val="20"/>
      <w:szCs w:val="20"/>
    </w:rPr>
  </w:style>
  <w:style w:type="paragraph" w:styleId="Revision">
    <w:name w:val="Revision"/>
    <w:hidden/>
    <w:uiPriority w:val="99"/>
    <w:semiHidden/>
    <w:rsid w:val="0033281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281A"/>
    <w:rPr>
      <w:b/>
      <w:bCs/>
    </w:rPr>
  </w:style>
  <w:style w:type="character" w:customStyle="1" w:styleId="CommentSubjectChar">
    <w:name w:val="Comment Subject Char"/>
    <w:basedOn w:val="CommentTextChar"/>
    <w:link w:val="CommentSubject"/>
    <w:uiPriority w:val="99"/>
    <w:semiHidden/>
    <w:rsid w:val="0033281A"/>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8A4FB6"/>
    <w:pPr>
      <w:spacing w:after="200"/>
    </w:pPr>
    <w:rPr>
      <w:i/>
      <w:iCs/>
      <w:color w:val="44546A" w:themeColor="text2"/>
      <w:sz w:val="18"/>
      <w:szCs w:val="18"/>
    </w:rPr>
  </w:style>
  <w:style w:type="character" w:styleId="PlaceholderText">
    <w:name w:val="Placeholder Text"/>
    <w:basedOn w:val="DefaultParagraphFont"/>
    <w:uiPriority w:val="99"/>
    <w:semiHidden/>
    <w:rsid w:val="004C53C7"/>
    <w:rPr>
      <w:color w:val="808080"/>
    </w:rPr>
  </w:style>
  <w:style w:type="character" w:styleId="Emphasis">
    <w:name w:val="Emphasis"/>
    <w:basedOn w:val="DefaultParagraphFont"/>
    <w:uiPriority w:val="20"/>
    <w:qFormat/>
    <w:rsid w:val="001E0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0130">
      <w:bodyDiv w:val="1"/>
      <w:marLeft w:val="0"/>
      <w:marRight w:val="0"/>
      <w:marTop w:val="0"/>
      <w:marBottom w:val="0"/>
      <w:divBdr>
        <w:top w:val="none" w:sz="0" w:space="0" w:color="auto"/>
        <w:left w:val="none" w:sz="0" w:space="0" w:color="auto"/>
        <w:bottom w:val="none" w:sz="0" w:space="0" w:color="auto"/>
        <w:right w:val="none" w:sz="0" w:space="0" w:color="auto"/>
      </w:divBdr>
    </w:div>
    <w:div w:id="135998445">
      <w:bodyDiv w:val="1"/>
      <w:marLeft w:val="0"/>
      <w:marRight w:val="0"/>
      <w:marTop w:val="0"/>
      <w:marBottom w:val="0"/>
      <w:divBdr>
        <w:top w:val="none" w:sz="0" w:space="0" w:color="auto"/>
        <w:left w:val="none" w:sz="0" w:space="0" w:color="auto"/>
        <w:bottom w:val="none" w:sz="0" w:space="0" w:color="auto"/>
        <w:right w:val="none" w:sz="0" w:space="0" w:color="auto"/>
      </w:divBdr>
    </w:div>
    <w:div w:id="149442440">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
    <w:div w:id="251664749">
      <w:bodyDiv w:val="1"/>
      <w:marLeft w:val="0"/>
      <w:marRight w:val="0"/>
      <w:marTop w:val="0"/>
      <w:marBottom w:val="0"/>
      <w:divBdr>
        <w:top w:val="none" w:sz="0" w:space="0" w:color="auto"/>
        <w:left w:val="none" w:sz="0" w:space="0" w:color="auto"/>
        <w:bottom w:val="none" w:sz="0" w:space="0" w:color="auto"/>
        <w:right w:val="none" w:sz="0" w:space="0" w:color="auto"/>
      </w:divBdr>
    </w:div>
    <w:div w:id="294868196">
      <w:bodyDiv w:val="1"/>
      <w:marLeft w:val="0"/>
      <w:marRight w:val="0"/>
      <w:marTop w:val="0"/>
      <w:marBottom w:val="0"/>
      <w:divBdr>
        <w:top w:val="none" w:sz="0" w:space="0" w:color="auto"/>
        <w:left w:val="none" w:sz="0" w:space="0" w:color="auto"/>
        <w:bottom w:val="none" w:sz="0" w:space="0" w:color="auto"/>
        <w:right w:val="none" w:sz="0" w:space="0" w:color="auto"/>
      </w:divBdr>
    </w:div>
    <w:div w:id="352072088">
      <w:bodyDiv w:val="1"/>
      <w:marLeft w:val="0"/>
      <w:marRight w:val="0"/>
      <w:marTop w:val="0"/>
      <w:marBottom w:val="0"/>
      <w:divBdr>
        <w:top w:val="none" w:sz="0" w:space="0" w:color="auto"/>
        <w:left w:val="none" w:sz="0" w:space="0" w:color="auto"/>
        <w:bottom w:val="none" w:sz="0" w:space="0" w:color="auto"/>
        <w:right w:val="none" w:sz="0" w:space="0" w:color="auto"/>
      </w:divBdr>
    </w:div>
    <w:div w:id="401489296">
      <w:bodyDiv w:val="1"/>
      <w:marLeft w:val="0"/>
      <w:marRight w:val="0"/>
      <w:marTop w:val="0"/>
      <w:marBottom w:val="0"/>
      <w:divBdr>
        <w:top w:val="none" w:sz="0" w:space="0" w:color="auto"/>
        <w:left w:val="none" w:sz="0" w:space="0" w:color="auto"/>
        <w:bottom w:val="none" w:sz="0" w:space="0" w:color="auto"/>
        <w:right w:val="none" w:sz="0" w:space="0" w:color="auto"/>
      </w:divBdr>
    </w:div>
    <w:div w:id="404231310">
      <w:bodyDiv w:val="1"/>
      <w:marLeft w:val="0"/>
      <w:marRight w:val="0"/>
      <w:marTop w:val="0"/>
      <w:marBottom w:val="0"/>
      <w:divBdr>
        <w:top w:val="none" w:sz="0" w:space="0" w:color="auto"/>
        <w:left w:val="none" w:sz="0" w:space="0" w:color="auto"/>
        <w:bottom w:val="none" w:sz="0" w:space="0" w:color="auto"/>
        <w:right w:val="none" w:sz="0" w:space="0" w:color="auto"/>
      </w:divBdr>
    </w:div>
    <w:div w:id="435491414">
      <w:bodyDiv w:val="1"/>
      <w:marLeft w:val="0"/>
      <w:marRight w:val="0"/>
      <w:marTop w:val="0"/>
      <w:marBottom w:val="0"/>
      <w:divBdr>
        <w:top w:val="none" w:sz="0" w:space="0" w:color="auto"/>
        <w:left w:val="none" w:sz="0" w:space="0" w:color="auto"/>
        <w:bottom w:val="none" w:sz="0" w:space="0" w:color="auto"/>
        <w:right w:val="none" w:sz="0" w:space="0" w:color="auto"/>
      </w:divBdr>
    </w:div>
    <w:div w:id="530148142">
      <w:bodyDiv w:val="1"/>
      <w:marLeft w:val="0"/>
      <w:marRight w:val="0"/>
      <w:marTop w:val="0"/>
      <w:marBottom w:val="0"/>
      <w:divBdr>
        <w:top w:val="none" w:sz="0" w:space="0" w:color="auto"/>
        <w:left w:val="none" w:sz="0" w:space="0" w:color="auto"/>
        <w:bottom w:val="none" w:sz="0" w:space="0" w:color="auto"/>
        <w:right w:val="none" w:sz="0" w:space="0" w:color="auto"/>
      </w:divBdr>
    </w:div>
    <w:div w:id="637997803">
      <w:bodyDiv w:val="1"/>
      <w:marLeft w:val="0"/>
      <w:marRight w:val="0"/>
      <w:marTop w:val="0"/>
      <w:marBottom w:val="0"/>
      <w:divBdr>
        <w:top w:val="none" w:sz="0" w:space="0" w:color="auto"/>
        <w:left w:val="none" w:sz="0" w:space="0" w:color="auto"/>
        <w:bottom w:val="none" w:sz="0" w:space="0" w:color="auto"/>
        <w:right w:val="none" w:sz="0" w:space="0" w:color="auto"/>
      </w:divBdr>
    </w:div>
    <w:div w:id="659193313">
      <w:bodyDiv w:val="1"/>
      <w:marLeft w:val="0"/>
      <w:marRight w:val="0"/>
      <w:marTop w:val="0"/>
      <w:marBottom w:val="0"/>
      <w:divBdr>
        <w:top w:val="none" w:sz="0" w:space="0" w:color="auto"/>
        <w:left w:val="none" w:sz="0" w:space="0" w:color="auto"/>
        <w:bottom w:val="none" w:sz="0" w:space="0" w:color="auto"/>
        <w:right w:val="none" w:sz="0" w:space="0" w:color="auto"/>
      </w:divBdr>
    </w:div>
    <w:div w:id="666789549">
      <w:bodyDiv w:val="1"/>
      <w:marLeft w:val="0"/>
      <w:marRight w:val="0"/>
      <w:marTop w:val="0"/>
      <w:marBottom w:val="0"/>
      <w:divBdr>
        <w:top w:val="none" w:sz="0" w:space="0" w:color="auto"/>
        <w:left w:val="none" w:sz="0" w:space="0" w:color="auto"/>
        <w:bottom w:val="none" w:sz="0" w:space="0" w:color="auto"/>
        <w:right w:val="none" w:sz="0" w:space="0" w:color="auto"/>
      </w:divBdr>
    </w:div>
    <w:div w:id="669408968">
      <w:bodyDiv w:val="1"/>
      <w:marLeft w:val="0"/>
      <w:marRight w:val="0"/>
      <w:marTop w:val="0"/>
      <w:marBottom w:val="0"/>
      <w:divBdr>
        <w:top w:val="none" w:sz="0" w:space="0" w:color="auto"/>
        <w:left w:val="none" w:sz="0" w:space="0" w:color="auto"/>
        <w:bottom w:val="none" w:sz="0" w:space="0" w:color="auto"/>
        <w:right w:val="none" w:sz="0" w:space="0" w:color="auto"/>
      </w:divBdr>
    </w:div>
    <w:div w:id="670448418">
      <w:bodyDiv w:val="1"/>
      <w:marLeft w:val="0"/>
      <w:marRight w:val="0"/>
      <w:marTop w:val="0"/>
      <w:marBottom w:val="0"/>
      <w:divBdr>
        <w:top w:val="none" w:sz="0" w:space="0" w:color="auto"/>
        <w:left w:val="none" w:sz="0" w:space="0" w:color="auto"/>
        <w:bottom w:val="none" w:sz="0" w:space="0" w:color="auto"/>
        <w:right w:val="none" w:sz="0" w:space="0" w:color="auto"/>
      </w:divBdr>
    </w:div>
    <w:div w:id="677847924">
      <w:bodyDiv w:val="1"/>
      <w:marLeft w:val="0"/>
      <w:marRight w:val="0"/>
      <w:marTop w:val="0"/>
      <w:marBottom w:val="0"/>
      <w:divBdr>
        <w:top w:val="none" w:sz="0" w:space="0" w:color="auto"/>
        <w:left w:val="none" w:sz="0" w:space="0" w:color="auto"/>
        <w:bottom w:val="none" w:sz="0" w:space="0" w:color="auto"/>
        <w:right w:val="none" w:sz="0" w:space="0" w:color="auto"/>
      </w:divBdr>
    </w:div>
    <w:div w:id="679626301">
      <w:bodyDiv w:val="1"/>
      <w:marLeft w:val="0"/>
      <w:marRight w:val="0"/>
      <w:marTop w:val="0"/>
      <w:marBottom w:val="0"/>
      <w:divBdr>
        <w:top w:val="none" w:sz="0" w:space="0" w:color="auto"/>
        <w:left w:val="none" w:sz="0" w:space="0" w:color="auto"/>
        <w:bottom w:val="none" w:sz="0" w:space="0" w:color="auto"/>
        <w:right w:val="none" w:sz="0" w:space="0" w:color="auto"/>
      </w:divBdr>
    </w:div>
    <w:div w:id="702751458">
      <w:bodyDiv w:val="1"/>
      <w:marLeft w:val="0"/>
      <w:marRight w:val="0"/>
      <w:marTop w:val="0"/>
      <w:marBottom w:val="0"/>
      <w:divBdr>
        <w:top w:val="none" w:sz="0" w:space="0" w:color="auto"/>
        <w:left w:val="none" w:sz="0" w:space="0" w:color="auto"/>
        <w:bottom w:val="none" w:sz="0" w:space="0" w:color="auto"/>
        <w:right w:val="none" w:sz="0" w:space="0" w:color="auto"/>
      </w:divBdr>
    </w:div>
    <w:div w:id="705056945">
      <w:bodyDiv w:val="1"/>
      <w:marLeft w:val="0"/>
      <w:marRight w:val="0"/>
      <w:marTop w:val="0"/>
      <w:marBottom w:val="0"/>
      <w:divBdr>
        <w:top w:val="none" w:sz="0" w:space="0" w:color="auto"/>
        <w:left w:val="none" w:sz="0" w:space="0" w:color="auto"/>
        <w:bottom w:val="none" w:sz="0" w:space="0" w:color="auto"/>
        <w:right w:val="none" w:sz="0" w:space="0" w:color="auto"/>
      </w:divBdr>
    </w:div>
    <w:div w:id="737096019">
      <w:bodyDiv w:val="1"/>
      <w:marLeft w:val="0"/>
      <w:marRight w:val="0"/>
      <w:marTop w:val="0"/>
      <w:marBottom w:val="0"/>
      <w:divBdr>
        <w:top w:val="none" w:sz="0" w:space="0" w:color="auto"/>
        <w:left w:val="none" w:sz="0" w:space="0" w:color="auto"/>
        <w:bottom w:val="none" w:sz="0" w:space="0" w:color="auto"/>
        <w:right w:val="none" w:sz="0" w:space="0" w:color="auto"/>
      </w:divBdr>
    </w:div>
    <w:div w:id="737438385">
      <w:bodyDiv w:val="1"/>
      <w:marLeft w:val="0"/>
      <w:marRight w:val="0"/>
      <w:marTop w:val="0"/>
      <w:marBottom w:val="0"/>
      <w:divBdr>
        <w:top w:val="none" w:sz="0" w:space="0" w:color="auto"/>
        <w:left w:val="none" w:sz="0" w:space="0" w:color="auto"/>
        <w:bottom w:val="none" w:sz="0" w:space="0" w:color="auto"/>
        <w:right w:val="none" w:sz="0" w:space="0" w:color="auto"/>
      </w:divBdr>
    </w:div>
    <w:div w:id="744718268">
      <w:bodyDiv w:val="1"/>
      <w:marLeft w:val="0"/>
      <w:marRight w:val="0"/>
      <w:marTop w:val="0"/>
      <w:marBottom w:val="0"/>
      <w:divBdr>
        <w:top w:val="none" w:sz="0" w:space="0" w:color="auto"/>
        <w:left w:val="none" w:sz="0" w:space="0" w:color="auto"/>
        <w:bottom w:val="none" w:sz="0" w:space="0" w:color="auto"/>
        <w:right w:val="none" w:sz="0" w:space="0" w:color="auto"/>
      </w:divBdr>
    </w:div>
    <w:div w:id="779496639">
      <w:bodyDiv w:val="1"/>
      <w:marLeft w:val="0"/>
      <w:marRight w:val="0"/>
      <w:marTop w:val="0"/>
      <w:marBottom w:val="0"/>
      <w:divBdr>
        <w:top w:val="none" w:sz="0" w:space="0" w:color="auto"/>
        <w:left w:val="none" w:sz="0" w:space="0" w:color="auto"/>
        <w:bottom w:val="none" w:sz="0" w:space="0" w:color="auto"/>
        <w:right w:val="none" w:sz="0" w:space="0" w:color="auto"/>
      </w:divBdr>
    </w:div>
    <w:div w:id="800270130">
      <w:bodyDiv w:val="1"/>
      <w:marLeft w:val="0"/>
      <w:marRight w:val="0"/>
      <w:marTop w:val="0"/>
      <w:marBottom w:val="0"/>
      <w:divBdr>
        <w:top w:val="none" w:sz="0" w:space="0" w:color="auto"/>
        <w:left w:val="none" w:sz="0" w:space="0" w:color="auto"/>
        <w:bottom w:val="none" w:sz="0" w:space="0" w:color="auto"/>
        <w:right w:val="none" w:sz="0" w:space="0" w:color="auto"/>
      </w:divBdr>
    </w:div>
    <w:div w:id="811141267">
      <w:bodyDiv w:val="1"/>
      <w:marLeft w:val="0"/>
      <w:marRight w:val="0"/>
      <w:marTop w:val="0"/>
      <w:marBottom w:val="0"/>
      <w:divBdr>
        <w:top w:val="none" w:sz="0" w:space="0" w:color="auto"/>
        <w:left w:val="none" w:sz="0" w:space="0" w:color="auto"/>
        <w:bottom w:val="none" w:sz="0" w:space="0" w:color="auto"/>
        <w:right w:val="none" w:sz="0" w:space="0" w:color="auto"/>
      </w:divBdr>
    </w:div>
    <w:div w:id="815876975">
      <w:bodyDiv w:val="1"/>
      <w:marLeft w:val="0"/>
      <w:marRight w:val="0"/>
      <w:marTop w:val="0"/>
      <w:marBottom w:val="0"/>
      <w:divBdr>
        <w:top w:val="none" w:sz="0" w:space="0" w:color="auto"/>
        <w:left w:val="none" w:sz="0" w:space="0" w:color="auto"/>
        <w:bottom w:val="none" w:sz="0" w:space="0" w:color="auto"/>
        <w:right w:val="none" w:sz="0" w:space="0" w:color="auto"/>
      </w:divBdr>
    </w:div>
    <w:div w:id="855459170">
      <w:bodyDiv w:val="1"/>
      <w:marLeft w:val="0"/>
      <w:marRight w:val="0"/>
      <w:marTop w:val="0"/>
      <w:marBottom w:val="0"/>
      <w:divBdr>
        <w:top w:val="none" w:sz="0" w:space="0" w:color="auto"/>
        <w:left w:val="none" w:sz="0" w:space="0" w:color="auto"/>
        <w:bottom w:val="none" w:sz="0" w:space="0" w:color="auto"/>
        <w:right w:val="none" w:sz="0" w:space="0" w:color="auto"/>
      </w:divBdr>
    </w:div>
    <w:div w:id="857423313">
      <w:bodyDiv w:val="1"/>
      <w:marLeft w:val="0"/>
      <w:marRight w:val="0"/>
      <w:marTop w:val="0"/>
      <w:marBottom w:val="0"/>
      <w:divBdr>
        <w:top w:val="none" w:sz="0" w:space="0" w:color="auto"/>
        <w:left w:val="none" w:sz="0" w:space="0" w:color="auto"/>
        <w:bottom w:val="none" w:sz="0" w:space="0" w:color="auto"/>
        <w:right w:val="none" w:sz="0" w:space="0" w:color="auto"/>
      </w:divBdr>
    </w:div>
    <w:div w:id="898173739">
      <w:bodyDiv w:val="1"/>
      <w:marLeft w:val="0"/>
      <w:marRight w:val="0"/>
      <w:marTop w:val="0"/>
      <w:marBottom w:val="0"/>
      <w:divBdr>
        <w:top w:val="none" w:sz="0" w:space="0" w:color="auto"/>
        <w:left w:val="none" w:sz="0" w:space="0" w:color="auto"/>
        <w:bottom w:val="none" w:sz="0" w:space="0" w:color="auto"/>
        <w:right w:val="none" w:sz="0" w:space="0" w:color="auto"/>
      </w:divBdr>
    </w:div>
    <w:div w:id="975450554">
      <w:bodyDiv w:val="1"/>
      <w:marLeft w:val="0"/>
      <w:marRight w:val="0"/>
      <w:marTop w:val="0"/>
      <w:marBottom w:val="0"/>
      <w:divBdr>
        <w:top w:val="none" w:sz="0" w:space="0" w:color="auto"/>
        <w:left w:val="none" w:sz="0" w:space="0" w:color="auto"/>
        <w:bottom w:val="none" w:sz="0" w:space="0" w:color="auto"/>
        <w:right w:val="none" w:sz="0" w:space="0" w:color="auto"/>
      </w:divBdr>
    </w:div>
    <w:div w:id="991982471">
      <w:bodyDiv w:val="1"/>
      <w:marLeft w:val="0"/>
      <w:marRight w:val="0"/>
      <w:marTop w:val="0"/>
      <w:marBottom w:val="0"/>
      <w:divBdr>
        <w:top w:val="none" w:sz="0" w:space="0" w:color="auto"/>
        <w:left w:val="none" w:sz="0" w:space="0" w:color="auto"/>
        <w:bottom w:val="none" w:sz="0" w:space="0" w:color="auto"/>
        <w:right w:val="none" w:sz="0" w:space="0" w:color="auto"/>
      </w:divBdr>
    </w:div>
    <w:div w:id="1013262527">
      <w:bodyDiv w:val="1"/>
      <w:marLeft w:val="0"/>
      <w:marRight w:val="0"/>
      <w:marTop w:val="0"/>
      <w:marBottom w:val="0"/>
      <w:divBdr>
        <w:top w:val="none" w:sz="0" w:space="0" w:color="auto"/>
        <w:left w:val="none" w:sz="0" w:space="0" w:color="auto"/>
        <w:bottom w:val="none" w:sz="0" w:space="0" w:color="auto"/>
        <w:right w:val="none" w:sz="0" w:space="0" w:color="auto"/>
      </w:divBdr>
    </w:div>
    <w:div w:id="1023752741">
      <w:bodyDiv w:val="1"/>
      <w:marLeft w:val="0"/>
      <w:marRight w:val="0"/>
      <w:marTop w:val="0"/>
      <w:marBottom w:val="0"/>
      <w:divBdr>
        <w:top w:val="none" w:sz="0" w:space="0" w:color="auto"/>
        <w:left w:val="none" w:sz="0" w:space="0" w:color="auto"/>
        <w:bottom w:val="none" w:sz="0" w:space="0" w:color="auto"/>
        <w:right w:val="none" w:sz="0" w:space="0" w:color="auto"/>
      </w:divBdr>
    </w:div>
    <w:div w:id="1034187398">
      <w:bodyDiv w:val="1"/>
      <w:marLeft w:val="0"/>
      <w:marRight w:val="0"/>
      <w:marTop w:val="0"/>
      <w:marBottom w:val="0"/>
      <w:divBdr>
        <w:top w:val="none" w:sz="0" w:space="0" w:color="auto"/>
        <w:left w:val="none" w:sz="0" w:space="0" w:color="auto"/>
        <w:bottom w:val="none" w:sz="0" w:space="0" w:color="auto"/>
        <w:right w:val="none" w:sz="0" w:space="0" w:color="auto"/>
      </w:divBdr>
    </w:div>
    <w:div w:id="1096754689">
      <w:bodyDiv w:val="1"/>
      <w:marLeft w:val="0"/>
      <w:marRight w:val="0"/>
      <w:marTop w:val="0"/>
      <w:marBottom w:val="0"/>
      <w:divBdr>
        <w:top w:val="none" w:sz="0" w:space="0" w:color="auto"/>
        <w:left w:val="none" w:sz="0" w:space="0" w:color="auto"/>
        <w:bottom w:val="none" w:sz="0" w:space="0" w:color="auto"/>
        <w:right w:val="none" w:sz="0" w:space="0" w:color="auto"/>
      </w:divBdr>
    </w:div>
    <w:div w:id="1173643491">
      <w:bodyDiv w:val="1"/>
      <w:marLeft w:val="0"/>
      <w:marRight w:val="0"/>
      <w:marTop w:val="0"/>
      <w:marBottom w:val="0"/>
      <w:divBdr>
        <w:top w:val="none" w:sz="0" w:space="0" w:color="auto"/>
        <w:left w:val="none" w:sz="0" w:space="0" w:color="auto"/>
        <w:bottom w:val="none" w:sz="0" w:space="0" w:color="auto"/>
        <w:right w:val="none" w:sz="0" w:space="0" w:color="auto"/>
      </w:divBdr>
    </w:div>
    <w:div w:id="1179275520">
      <w:bodyDiv w:val="1"/>
      <w:marLeft w:val="0"/>
      <w:marRight w:val="0"/>
      <w:marTop w:val="0"/>
      <w:marBottom w:val="0"/>
      <w:divBdr>
        <w:top w:val="none" w:sz="0" w:space="0" w:color="auto"/>
        <w:left w:val="none" w:sz="0" w:space="0" w:color="auto"/>
        <w:bottom w:val="none" w:sz="0" w:space="0" w:color="auto"/>
        <w:right w:val="none" w:sz="0" w:space="0" w:color="auto"/>
      </w:divBdr>
    </w:div>
    <w:div w:id="1197696122">
      <w:bodyDiv w:val="1"/>
      <w:marLeft w:val="0"/>
      <w:marRight w:val="0"/>
      <w:marTop w:val="0"/>
      <w:marBottom w:val="0"/>
      <w:divBdr>
        <w:top w:val="none" w:sz="0" w:space="0" w:color="auto"/>
        <w:left w:val="none" w:sz="0" w:space="0" w:color="auto"/>
        <w:bottom w:val="none" w:sz="0" w:space="0" w:color="auto"/>
        <w:right w:val="none" w:sz="0" w:space="0" w:color="auto"/>
      </w:divBdr>
    </w:div>
    <w:div w:id="1221474365">
      <w:bodyDiv w:val="1"/>
      <w:marLeft w:val="0"/>
      <w:marRight w:val="0"/>
      <w:marTop w:val="0"/>
      <w:marBottom w:val="0"/>
      <w:divBdr>
        <w:top w:val="none" w:sz="0" w:space="0" w:color="auto"/>
        <w:left w:val="none" w:sz="0" w:space="0" w:color="auto"/>
        <w:bottom w:val="none" w:sz="0" w:space="0" w:color="auto"/>
        <w:right w:val="none" w:sz="0" w:space="0" w:color="auto"/>
      </w:divBdr>
    </w:div>
    <w:div w:id="1257637589">
      <w:bodyDiv w:val="1"/>
      <w:marLeft w:val="0"/>
      <w:marRight w:val="0"/>
      <w:marTop w:val="0"/>
      <w:marBottom w:val="0"/>
      <w:divBdr>
        <w:top w:val="none" w:sz="0" w:space="0" w:color="auto"/>
        <w:left w:val="none" w:sz="0" w:space="0" w:color="auto"/>
        <w:bottom w:val="none" w:sz="0" w:space="0" w:color="auto"/>
        <w:right w:val="none" w:sz="0" w:space="0" w:color="auto"/>
      </w:divBdr>
    </w:div>
    <w:div w:id="1284851679">
      <w:bodyDiv w:val="1"/>
      <w:marLeft w:val="0"/>
      <w:marRight w:val="0"/>
      <w:marTop w:val="0"/>
      <w:marBottom w:val="0"/>
      <w:divBdr>
        <w:top w:val="none" w:sz="0" w:space="0" w:color="auto"/>
        <w:left w:val="none" w:sz="0" w:space="0" w:color="auto"/>
        <w:bottom w:val="none" w:sz="0" w:space="0" w:color="auto"/>
        <w:right w:val="none" w:sz="0" w:space="0" w:color="auto"/>
      </w:divBdr>
    </w:div>
    <w:div w:id="1335917552">
      <w:bodyDiv w:val="1"/>
      <w:marLeft w:val="0"/>
      <w:marRight w:val="0"/>
      <w:marTop w:val="0"/>
      <w:marBottom w:val="0"/>
      <w:divBdr>
        <w:top w:val="none" w:sz="0" w:space="0" w:color="auto"/>
        <w:left w:val="none" w:sz="0" w:space="0" w:color="auto"/>
        <w:bottom w:val="none" w:sz="0" w:space="0" w:color="auto"/>
        <w:right w:val="none" w:sz="0" w:space="0" w:color="auto"/>
      </w:divBdr>
    </w:div>
    <w:div w:id="1358967238">
      <w:bodyDiv w:val="1"/>
      <w:marLeft w:val="0"/>
      <w:marRight w:val="0"/>
      <w:marTop w:val="0"/>
      <w:marBottom w:val="0"/>
      <w:divBdr>
        <w:top w:val="none" w:sz="0" w:space="0" w:color="auto"/>
        <w:left w:val="none" w:sz="0" w:space="0" w:color="auto"/>
        <w:bottom w:val="none" w:sz="0" w:space="0" w:color="auto"/>
        <w:right w:val="none" w:sz="0" w:space="0" w:color="auto"/>
      </w:divBdr>
    </w:div>
    <w:div w:id="1359350072">
      <w:bodyDiv w:val="1"/>
      <w:marLeft w:val="0"/>
      <w:marRight w:val="0"/>
      <w:marTop w:val="0"/>
      <w:marBottom w:val="0"/>
      <w:divBdr>
        <w:top w:val="none" w:sz="0" w:space="0" w:color="auto"/>
        <w:left w:val="none" w:sz="0" w:space="0" w:color="auto"/>
        <w:bottom w:val="none" w:sz="0" w:space="0" w:color="auto"/>
        <w:right w:val="none" w:sz="0" w:space="0" w:color="auto"/>
      </w:divBdr>
    </w:div>
    <w:div w:id="1375429599">
      <w:bodyDiv w:val="1"/>
      <w:marLeft w:val="0"/>
      <w:marRight w:val="0"/>
      <w:marTop w:val="0"/>
      <w:marBottom w:val="0"/>
      <w:divBdr>
        <w:top w:val="none" w:sz="0" w:space="0" w:color="auto"/>
        <w:left w:val="none" w:sz="0" w:space="0" w:color="auto"/>
        <w:bottom w:val="none" w:sz="0" w:space="0" w:color="auto"/>
        <w:right w:val="none" w:sz="0" w:space="0" w:color="auto"/>
      </w:divBdr>
    </w:div>
    <w:div w:id="1386836080">
      <w:bodyDiv w:val="1"/>
      <w:marLeft w:val="0"/>
      <w:marRight w:val="0"/>
      <w:marTop w:val="0"/>
      <w:marBottom w:val="0"/>
      <w:divBdr>
        <w:top w:val="none" w:sz="0" w:space="0" w:color="auto"/>
        <w:left w:val="none" w:sz="0" w:space="0" w:color="auto"/>
        <w:bottom w:val="none" w:sz="0" w:space="0" w:color="auto"/>
        <w:right w:val="none" w:sz="0" w:space="0" w:color="auto"/>
      </w:divBdr>
    </w:div>
    <w:div w:id="1407385848">
      <w:bodyDiv w:val="1"/>
      <w:marLeft w:val="0"/>
      <w:marRight w:val="0"/>
      <w:marTop w:val="0"/>
      <w:marBottom w:val="0"/>
      <w:divBdr>
        <w:top w:val="none" w:sz="0" w:space="0" w:color="auto"/>
        <w:left w:val="none" w:sz="0" w:space="0" w:color="auto"/>
        <w:bottom w:val="none" w:sz="0" w:space="0" w:color="auto"/>
        <w:right w:val="none" w:sz="0" w:space="0" w:color="auto"/>
      </w:divBdr>
    </w:div>
    <w:div w:id="1443768757">
      <w:bodyDiv w:val="1"/>
      <w:marLeft w:val="0"/>
      <w:marRight w:val="0"/>
      <w:marTop w:val="0"/>
      <w:marBottom w:val="0"/>
      <w:divBdr>
        <w:top w:val="none" w:sz="0" w:space="0" w:color="auto"/>
        <w:left w:val="none" w:sz="0" w:space="0" w:color="auto"/>
        <w:bottom w:val="none" w:sz="0" w:space="0" w:color="auto"/>
        <w:right w:val="none" w:sz="0" w:space="0" w:color="auto"/>
      </w:divBdr>
    </w:div>
    <w:div w:id="1538424329">
      <w:bodyDiv w:val="1"/>
      <w:marLeft w:val="0"/>
      <w:marRight w:val="0"/>
      <w:marTop w:val="0"/>
      <w:marBottom w:val="0"/>
      <w:divBdr>
        <w:top w:val="none" w:sz="0" w:space="0" w:color="auto"/>
        <w:left w:val="none" w:sz="0" w:space="0" w:color="auto"/>
        <w:bottom w:val="none" w:sz="0" w:space="0" w:color="auto"/>
        <w:right w:val="none" w:sz="0" w:space="0" w:color="auto"/>
      </w:divBdr>
    </w:div>
    <w:div w:id="1546479436">
      <w:bodyDiv w:val="1"/>
      <w:marLeft w:val="0"/>
      <w:marRight w:val="0"/>
      <w:marTop w:val="0"/>
      <w:marBottom w:val="0"/>
      <w:divBdr>
        <w:top w:val="none" w:sz="0" w:space="0" w:color="auto"/>
        <w:left w:val="none" w:sz="0" w:space="0" w:color="auto"/>
        <w:bottom w:val="none" w:sz="0" w:space="0" w:color="auto"/>
        <w:right w:val="none" w:sz="0" w:space="0" w:color="auto"/>
      </w:divBdr>
    </w:div>
    <w:div w:id="1585452951">
      <w:bodyDiv w:val="1"/>
      <w:marLeft w:val="0"/>
      <w:marRight w:val="0"/>
      <w:marTop w:val="0"/>
      <w:marBottom w:val="0"/>
      <w:divBdr>
        <w:top w:val="none" w:sz="0" w:space="0" w:color="auto"/>
        <w:left w:val="none" w:sz="0" w:space="0" w:color="auto"/>
        <w:bottom w:val="none" w:sz="0" w:space="0" w:color="auto"/>
        <w:right w:val="none" w:sz="0" w:space="0" w:color="auto"/>
      </w:divBdr>
    </w:div>
    <w:div w:id="1608465878">
      <w:bodyDiv w:val="1"/>
      <w:marLeft w:val="0"/>
      <w:marRight w:val="0"/>
      <w:marTop w:val="0"/>
      <w:marBottom w:val="0"/>
      <w:divBdr>
        <w:top w:val="none" w:sz="0" w:space="0" w:color="auto"/>
        <w:left w:val="none" w:sz="0" w:space="0" w:color="auto"/>
        <w:bottom w:val="none" w:sz="0" w:space="0" w:color="auto"/>
        <w:right w:val="none" w:sz="0" w:space="0" w:color="auto"/>
      </w:divBdr>
    </w:div>
    <w:div w:id="1637447566">
      <w:bodyDiv w:val="1"/>
      <w:marLeft w:val="0"/>
      <w:marRight w:val="0"/>
      <w:marTop w:val="0"/>
      <w:marBottom w:val="0"/>
      <w:divBdr>
        <w:top w:val="none" w:sz="0" w:space="0" w:color="auto"/>
        <w:left w:val="none" w:sz="0" w:space="0" w:color="auto"/>
        <w:bottom w:val="none" w:sz="0" w:space="0" w:color="auto"/>
        <w:right w:val="none" w:sz="0" w:space="0" w:color="auto"/>
      </w:divBdr>
    </w:div>
    <w:div w:id="1682245584">
      <w:bodyDiv w:val="1"/>
      <w:marLeft w:val="0"/>
      <w:marRight w:val="0"/>
      <w:marTop w:val="0"/>
      <w:marBottom w:val="0"/>
      <w:divBdr>
        <w:top w:val="none" w:sz="0" w:space="0" w:color="auto"/>
        <w:left w:val="none" w:sz="0" w:space="0" w:color="auto"/>
        <w:bottom w:val="none" w:sz="0" w:space="0" w:color="auto"/>
        <w:right w:val="none" w:sz="0" w:space="0" w:color="auto"/>
      </w:divBdr>
    </w:div>
    <w:div w:id="1696810671">
      <w:bodyDiv w:val="1"/>
      <w:marLeft w:val="0"/>
      <w:marRight w:val="0"/>
      <w:marTop w:val="0"/>
      <w:marBottom w:val="0"/>
      <w:divBdr>
        <w:top w:val="none" w:sz="0" w:space="0" w:color="auto"/>
        <w:left w:val="none" w:sz="0" w:space="0" w:color="auto"/>
        <w:bottom w:val="none" w:sz="0" w:space="0" w:color="auto"/>
        <w:right w:val="none" w:sz="0" w:space="0" w:color="auto"/>
      </w:divBdr>
    </w:div>
    <w:div w:id="1720325645">
      <w:bodyDiv w:val="1"/>
      <w:marLeft w:val="0"/>
      <w:marRight w:val="0"/>
      <w:marTop w:val="0"/>
      <w:marBottom w:val="0"/>
      <w:divBdr>
        <w:top w:val="none" w:sz="0" w:space="0" w:color="auto"/>
        <w:left w:val="none" w:sz="0" w:space="0" w:color="auto"/>
        <w:bottom w:val="none" w:sz="0" w:space="0" w:color="auto"/>
        <w:right w:val="none" w:sz="0" w:space="0" w:color="auto"/>
      </w:divBdr>
    </w:div>
    <w:div w:id="1780100879">
      <w:bodyDiv w:val="1"/>
      <w:marLeft w:val="0"/>
      <w:marRight w:val="0"/>
      <w:marTop w:val="0"/>
      <w:marBottom w:val="0"/>
      <w:divBdr>
        <w:top w:val="none" w:sz="0" w:space="0" w:color="auto"/>
        <w:left w:val="none" w:sz="0" w:space="0" w:color="auto"/>
        <w:bottom w:val="none" w:sz="0" w:space="0" w:color="auto"/>
        <w:right w:val="none" w:sz="0" w:space="0" w:color="auto"/>
      </w:divBdr>
    </w:div>
    <w:div w:id="1784614054">
      <w:bodyDiv w:val="1"/>
      <w:marLeft w:val="0"/>
      <w:marRight w:val="0"/>
      <w:marTop w:val="0"/>
      <w:marBottom w:val="0"/>
      <w:divBdr>
        <w:top w:val="none" w:sz="0" w:space="0" w:color="auto"/>
        <w:left w:val="none" w:sz="0" w:space="0" w:color="auto"/>
        <w:bottom w:val="none" w:sz="0" w:space="0" w:color="auto"/>
        <w:right w:val="none" w:sz="0" w:space="0" w:color="auto"/>
      </w:divBdr>
    </w:div>
    <w:div w:id="1834446100">
      <w:bodyDiv w:val="1"/>
      <w:marLeft w:val="0"/>
      <w:marRight w:val="0"/>
      <w:marTop w:val="0"/>
      <w:marBottom w:val="0"/>
      <w:divBdr>
        <w:top w:val="none" w:sz="0" w:space="0" w:color="auto"/>
        <w:left w:val="none" w:sz="0" w:space="0" w:color="auto"/>
        <w:bottom w:val="none" w:sz="0" w:space="0" w:color="auto"/>
        <w:right w:val="none" w:sz="0" w:space="0" w:color="auto"/>
      </w:divBdr>
    </w:div>
    <w:div w:id="1838569885">
      <w:bodyDiv w:val="1"/>
      <w:marLeft w:val="0"/>
      <w:marRight w:val="0"/>
      <w:marTop w:val="0"/>
      <w:marBottom w:val="0"/>
      <w:divBdr>
        <w:top w:val="none" w:sz="0" w:space="0" w:color="auto"/>
        <w:left w:val="none" w:sz="0" w:space="0" w:color="auto"/>
        <w:bottom w:val="none" w:sz="0" w:space="0" w:color="auto"/>
        <w:right w:val="none" w:sz="0" w:space="0" w:color="auto"/>
      </w:divBdr>
    </w:div>
    <w:div w:id="1848250617">
      <w:bodyDiv w:val="1"/>
      <w:marLeft w:val="0"/>
      <w:marRight w:val="0"/>
      <w:marTop w:val="0"/>
      <w:marBottom w:val="0"/>
      <w:divBdr>
        <w:top w:val="none" w:sz="0" w:space="0" w:color="auto"/>
        <w:left w:val="none" w:sz="0" w:space="0" w:color="auto"/>
        <w:bottom w:val="none" w:sz="0" w:space="0" w:color="auto"/>
        <w:right w:val="none" w:sz="0" w:space="0" w:color="auto"/>
      </w:divBdr>
    </w:div>
    <w:div w:id="1860777894">
      <w:bodyDiv w:val="1"/>
      <w:marLeft w:val="0"/>
      <w:marRight w:val="0"/>
      <w:marTop w:val="0"/>
      <w:marBottom w:val="0"/>
      <w:divBdr>
        <w:top w:val="none" w:sz="0" w:space="0" w:color="auto"/>
        <w:left w:val="none" w:sz="0" w:space="0" w:color="auto"/>
        <w:bottom w:val="none" w:sz="0" w:space="0" w:color="auto"/>
        <w:right w:val="none" w:sz="0" w:space="0" w:color="auto"/>
      </w:divBdr>
    </w:div>
    <w:div w:id="1936816363">
      <w:bodyDiv w:val="1"/>
      <w:marLeft w:val="0"/>
      <w:marRight w:val="0"/>
      <w:marTop w:val="0"/>
      <w:marBottom w:val="0"/>
      <w:divBdr>
        <w:top w:val="none" w:sz="0" w:space="0" w:color="auto"/>
        <w:left w:val="none" w:sz="0" w:space="0" w:color="auto"/>
        <w:bottom w:val="none" w:sz="0" w:space="0" w:color="auto"/>
        <w:right w:val="none" w:sz="0" w:space="0" w:color="auto"/>
      </w:divBdr>
    </w:div>
    <w:div w:id="1938905801">
      <w:bodyDiv w:val="1"/>
      <w:marLeft w:val="0"/>
      <w:marRight w:val="0"/>
      <w:marTop w:val="0"/>
      <w:marBottom w:val="0"/>
      <w:divBdr>
        <w:top w:val="none" w:sz="0" w:space="0" w:color="auto"/>
        <w:left w:val="none" w:sz="0" w:space="0" w:color="auto"/>
        <w:bottom w:val="none" w:sz="0" w:space="0" w:color="auto"/>
        <w:right w:val="none" w:sz="0" w:space="0" w:color="auto"/>
      </w:divBdr>
    </w:div>
    <w:div w:id="1966957468">
      <w:bodyDiv w:val="1"/>
      <w:marLeft w:val="0"/>
      <w:marRight w:val="0"/>
      <w:marTop w:val="0"/>
      <w:marBottom w:val="0"/>
      <w:divBdr>
        <w:top w:val="none" w:sz="0" w:space="0" w:color="auto"/>
        <w:left w:val="none" w:sz="0" w:space="0" w:color="auto"/>
        <w:bottom w:val="none" w:sz="0" w:space="0" w:color="auto"/>
        <w:right w:val="none" w:sz="0" w:space="0" w:color="auto"/>
      </w:divBdr>
    </w:div>
    <w:div w:id="1967926619">
      <w:bodyDiv w:val="1"/>
      <w:marLeft w:val="0"/>
      <w:marRight w:val="0"/>
      <w:marTop w:val="0"/>
      <w:marBottom w:val="0"/>
      <w:divBdr>
        <w:top w:val="none" w:sz="0" w:space="0" w:color="auto"/>
        <w:left w:val="none" w:sz="0" w:space="0" w:color="auto"/>
        <w:bottom w:val="none" w:sz="0" w:space="0" w:color="auto"/>
        <w:right w:val="none" w:sz="0" w:space="0" w:color="auto"/>
      </w:divBdr>
    </w:div>
    <w:div w:id="2030641277">
      <w:bodyDiv w:val="1"/>
      <w:marLeft w:val="0"/>
      <w:marRight w:val="0"/>
      <w:marTop w:val="0"/>
      <w:marBottom w:val="0"/>
      <w:divBdr>
        <w:top w:val="none" w:sz="0" w:space="0" w:color="auto"/>
        <w:left w:val="none" w:sz="0" w:space="0" w:color="auto"/>
        <w:bottom w:val="none" w:sz="0" w:space="0" w:color="auto"/>
        <w:right w:val="none" w:sz="0" w:space="0" w:color="auto"/>
      </w:divBdr>
    </w:div>
    <w:div w:id="2057582020">
      <w:bodyDiv w:val="1"/>
      <w:marLeft w:val="0"/>
      <w:marRight w:val="0"/>
      <w:marTop w:val="0"/>
      <w:marBottom w:val="0"/>
      <w:divBdr>
        <w:top w:val="none" w:sz="0" w:space="0" w:color="auto"/>
        <w:left w:val="none" w:sz="0" w:space="0" w:color="auto"/>
        <w:bottom w:val="none" w:sz="0" w:space="0" w:color="auto"/>
        <w:right w:val="none" w:sz="0" w:space="0" w:color="auto"/>
      </w:divBdr>
    </w:div>
    <w:div w:id="2095589785">
      <w:bodyDiv w:val="1"/>
      <w:marLeft w:val="0"/>
      <w:marRight w:val="0"/>
      <w:marTop w:val="0"/>
      <w:marBottom w:val="0"/>
      <w:divBdr>
        <w:top w:val="none" w:sz="0" w:space="0" w:color="auto"/>
        <w:left w:val="none" w:sz="0" w:space="0" w:color="auto"/>
        <w:bottom w:val="none" w:sz="0" w:space="0" w:color="auto"/>
        <w:right w:val="none" w:sz="0" w:space="0" w:color="auto"/>
      </w:divBdr>
    </w:div>
    <w:div w:id="2116173763">
      <w:bodyDiv w:val="1"/>
      <w:marLeft w:val="0"/>
      <w:marRight w:val="0"/>
      <w:marTop w:val="0"/>
      <w:marBottom w:val="0"/>
      <w:divBdr>
        <w:top w:val="none" w:sz="0" w:space="0" w:color="auto"/>
        <w:left w:val="none" w:sz="0" w:space="0" w:color="auto"/>
        <w:bottom w:val="none" w:sz="0" w:space="0" w:color="auto"/>
        <w:right w:val="none" w:sz="0" w:space="0" w:color="auto"/>
      </w:divBdr>
    </w:div>
    <w:div w:id="2135100620">
      <w:bodyDiv w:val="1"/>
      <w:marLeft w:val="0"/>
      <w:marRight w:val="0"/>
      <w:marTop w:val="0"/>
      <w:marBottom w:val="0"/>
      <w:divBdr>
        <w:top w:val="none" w:sz="0" w:space="0" w:color="auto"/>
        <w:left w:val="none" w:sz="0" w:space="0" w:color="auto"/>
        <w:bottom w:val="none" w:sz="0" w:space="0" w:color="auto"/>
        <w:right w:val="none" w:sz="0" w:space="0" w:color="auto"/>
      </w:divBdr>
    </w:div>
    <w:div w:id="21464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h.ca/public-health/harm-reduction/supervised-consumption-sites/insite-user-statistics" TargetMode="External"/><Relationship Id="rId13" Type="http://schemas.openxmlformats.org/officeDocument/2006/relationships/hyperlink" Target="https://hub.jhu.edu/gazette/2014/september-october/focus-baltimore-city-em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ch.ca/public-health/harm-reduction/supervised-consumption-sites/insite-user-statist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eckershospitalreview.com/finance/average-hospital-expenses-per-inpatient-day-across-50-stat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ch.ca/public-health/harm-reduction/supervised-consumption-sites/insite-user-statistics" TargetMode="External"/><Relationship Id="rId5" Type="http://schemas.openxmlformats.org/officeDocument/2006/relationships/footnotes" Target="footnotes.xml"/><Relationship Id="rId15" Type="http://schemas.openxmlformats.org/officeDocument/2006/relationships/hyperlink" Target="http://www.vch.ca/public-health/harm-reduction/supervised-consumption-sites/insite-user-statistics" TargetMode="External"/><Relationship Id="rId10" Type="http://schemas.openxmlformats.org/officeDocument/2006/relationships/hyperlink" Target="https://www.baltimorecountymd.gov/departments/fire/em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vch.ca/public-health/harm-reduction/supervised-consumption-sites/insite-user-statistics" TargetMode="External"/><Relationship Id="rId14" Type="http://schemas.openxmlformats.org/officeDocument/2006/relationships/hyperlink" Target="http://www.vch.ca/public-health/harm-reduction/supervised-consumption-sites/insite-user-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F637-9E86-3646-8442-F41199B1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11447</Words>
  <Characters>65252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Blake</dc:creator>
  <cp:keywords/>
  <dc:description/>
  <cp:lastModifiedBy>Elizabeth Blake</cp:lastModifiedBy>
  <cp:revision>20</cp:revision>
  <dcterms:created xsi:type="dcterms:W3CDTF">2022-05-16T16:15:00Z</dcterms:created>
  <dcterms:modified xsi:type="dcterms:W3CDTF">2022-05-16T16:40:00Z</dcterms:modified>
</cp:coreProperties>
</file>