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852" w14:textId="14A66B1B" w:rsidR="00E95B6A" w:rsidRDefault="00E95B6A" w:rsidP="00CD3B05">
      <w:pPr>
        <w:jc w:val="center"/>
        <w:rPr>
          <w:rFonts w:ascii="Times New Roman" w:hAnsi="Times New Roman" w:cs="Times New Roman"/>
          <w:b/>
          <w:bCs/>
          <w:sz w:val="36"/>
          <w:szCs w:val="36"/>
        </w:rPr>
      </w:pPr>
    </w:p>
    <w:p w14:paraId="4F67A0AE" w14:textId="77777777" w:rsidR="00D4475D" w:rsidRDefault="00D4475D" w:rsidP="00CD3B05">
      <w:pPr>
        <w:jc w:val="center"/>
        <w:rPr>
          <w:rFonts w:ascii="Times New Roman" w:hAnsi="Times New Roman" w:cs="Times New Roman"/>
          <w:b/>
          <w:bCs/>
          <w:sz w:val="36"/>
          <w:szCs w:val="36"/>
        </w:rPr>
      </w:pPr>
    </w:p>
    <w:p w14:paraId="2C10F425" w14:textId="2172F6A0" w:rsidR="00CD3B05" w:rsidRDefault="00CD3B05" w:rsidP="00CD3B05">
      <w:pPr>
        <w:jc w:val="center"/>
        <w:rPr>
          <w:rFonts w:ascii="Times New Roman" w:hAnsi="Times New Roman" w:cs="Times New Roman"/>
          <w:b/>
          <w:bCs/>
          <w:sz w:val="36"/>
          <w:szCs w:val="36"/>
        </w:rPr>
      </w:pPr>
    </w:p>
    <w:p w14:paraId="3C49D473" w14:textId="64CB2CE8" w:rsidR="00733DB5" w:rsidRDefault="0084721B" w:rsidP="0085533D">
      <w:pPr>
        <w:jc w:val="center"/>
        <w:rPr>
          <w:rFonts w:ascii="Times New Roman" w:hAnsi="Times New Roman" w:cs="Times New Roman"/>
          <w:b/>
          <w:bCs/>
          <w:sz w:val="32"/>
          <w:szCs w:val="32"/>
        </w:rPr>
      </w:pPr>
      <w:r>
        <w:rPr>
          <w:rFonts w:ascii="Times New Roman" w:hAnsi="Times New Roman" w:cs="Times New Roman"/>
          <w:b/>
          <w:bCs/>
          <w:sz w:val="32"/>
          <w:szCs w:val="32"/>
        </w:rPr>
        <w:t xml:space="preserve">The Net Benefits and Residual </w:t>
      </w:r>
      <w:r w:rsidR="0085533D">
        <w:rPr>
          <w:rFonts w:ascii="Times New Roman" w:hAnsi="Times New Roman" w:cs="Times New Roman"/>
          <w:b/>
          <w:bCs/>
          <w:sz w:val="32"/>
          <w:szCs w:val="32"/>
        </w:rPr>
        <w:t>Cost</w:t>
      </w:r>
      <w:r>
        <w:rPr>
          <w:rFonts w:ascii="Times New Roman" w:hAnsi="Times New Roman" w:cs="Times New Roman"/>
          <w:b/>
          <w:bCs/>
          <w:sz w:val="32"/>
          <w:szCs w:val="32"/>
        </w:rPr>
        <w:t xml:space="preserve"> </w:t>
      </w:r>
      <w:r w:rsidR="000B23A8">
        <w:rPr>
          <w:rFonts w:ascii="Times New Roman" w:hAnsi="Times New Roman" w:cs="Times New Roman"/>
          <w:b/>
          <w:bCs/>
          <w:sz w:val="32"/>
          <w:szCs w:val="32"/>
        </w:rPr>
        <w:t>f</w:t>
      </w:r>
      <w:r>
        <w:rPr>
          <w:rFonts w:ascii="Times New Roman" w:hAnsi="Times New Roman" w:cs="Times New Roman"/>
          <w:b/>
          <w:bCs/>
          <w:sz w:val="32"/>
          <w:szCs w:val="32"/>
        </w:rPr>
        <w:t>rom</w:t>
      </w:r>
      <w:r w:rsidR="00733DB5" w:rsidRPr="00733DB5">
        <w:rPr>
          <w:rFonts w:ascii="Times New Roman" w:hAnsi="Times New Roman" w:cs="Times New Roman"/>
          <w:b/>
          <w:bCs/>
          <w:sz w:val="32"/>
          <w:szCs w:val="32"/>
        </w:rPr>
        <w:t xml:space="preserve"> US Border Management</w:t>
      </w:r>
      <w:r w:rsidR="000B23A8">
        <w:rPr>
          <w:rFonts w:ascii="Times New Roman" w:hAnsi="Times New Roman" w:cs="Times New Roman"/>
          <w:b/>
          <w:bCs/>
          <w:sz w:val="32"/>
          <w:szCs w:val="32"/>
        </w:rPr>
        <w:t xml:space="preserve"> </w:t>
      </w:r>
      <w:r w:rsidR="0085533D">
        <w:rPr>
          <w:rFonts w:ascii="Times New Roman" w:hAnsi="Times New Roman" w:cs="Times New Roman"/>
          <w:b/>
          <w:bCs/>
          <w:sz w:val="32"/>
          <w:szCs w:val="32"/>
        </w:rPr>
        <w:t>of the Initially Inadmissible</w:t>
      </w:r>
    </w:p>
    <w:p w14:paraId="0D394745" w14:textId="77777777" w:rsidR="009437C1" w:rsidRPr="00733DB5" w:rsidRDefault="009437C1" w:rsidP="00733DB5">
      <w:pPr>
        <w:jc w:val="center"/>
        <w:rPr>
          <w:rFonts w:ascii="Times New Roman" w:hAnsi="Times New Roman" w:cs="Times New Roman"/>
          <w:b/>
          <w:bCs/>
          <w:sz w:val="32"/>
          <w:szCs w:val="32"/>
        </w:rPr>
      </w:pPr>
    </w:p>
    <w:p w14:paraId="7768211C" w14:textId="4FF75E0B" w:rsidR="00733DB5" w:rsidRPr="00733DB5" w:rsidRDefault="00733DB5" w:rsidP="00733DB5">
      <w:pPr>
        <w:jc w:val="center"/>
        <w:rPr>
          <w:rFonts w:ascii="Times New Roman" w:hAnsi="Times New Roman" w:cs="Times New Roman"/>
          <w:sz w:val="32"/>
          <w:szCs w:val="32"/>
        </w:rPr>
      </w:pPr>
    </w:p>
    <w:p w14:paraId="7C4FF5B0" w14:textId="4718CEEC" w:rsidR="00D4475D" w:rsidRDefault="000635DD" w:rsidP="00CD3B05">
      <w:pPr>
        <w:jc w:val="center"/>
        <w:rPr>
          <w:rFonts w:ascii="Times New Roman" w:hAnsi="Times New Roman" w:cs="Times New Roman"/>
          <w:b/>
          <w:bCs/>
          <w:sz w:val="36"/>
          <w:szCs w:val="36"/>
        </w:rPr>
      </w:pPr>
      <w:r>
        <w:rPr>
          <w:rFonts w:ascii="Times New Roman" w:hAnsi="Times New Roman" w:cs="Times New Roman"/>
          <w:b/>
          <w:bCs/>
          <w:sz w:val="36"/>
          <w:szCs w:val="36"/>
        </w:rPr>
        <w:t>Scott Farrow</w:t>
      </w:r>
    </w:p>
    <w:p w14:paraId="1DC71F8F" w14:textId="77777777" w:rsidR="004F1A61" w:rsidRDefault="004F1A61" w:rsidP="00CD3B05">
      <w:pPr>
        <w:jc w:val="center"/>
        <w:rPr>
          <w:rFonts w:ascii="Times New Roman" w:hAnsi="Times New Roman" w:cs="Times New Roman"/>
          <w:b/>
          <w:bCs/>
          <w:sz w:val="36"/>
          <w:szCs w:val="36"/>
        </w:rPr>
      </w:pPr>
    </w:p>
    <w:p w14:paraId="4A7471FB" w14:textId="68F7F4AF" w:rsidR="0047270E" w:rsidRPr="004F1A61" w:rsidRDefault="0047270E" w:rsidP="00CD3B05">
      <w:pPr>
        <w:jc w:val="center"/>
        <w:rPr>
          <w:rFonts w:ascii="Times New Roman" w:hAnsi="Times New Roman" w:cs="Times New Roman"/>
          <w:sz w:val="32"/>
          <w:szCs w:val="32"/>
        </w:rPr>
      </w:pPr>
      <w:r w:rsidRPr="004F1A61">
        <w:rPr>
          <w:rFonts w:ascii="Times New Roman" w:hAnsi="Times New Roman" w:cs="Times New Roman"/>
          <w:sz w:val="32"/>
          <w:szCs w:val="32"/>
        </w:rPr>
        <w:t>UMBC and USC/CREATE</w:t>
      </w:r>
    </w:p>
    <w:p w14:paraId="30FED94C" w14:textId="77777777" w:rsidR="00733DB5" w:rsidRDefault="00733DB5" w:rsidP="00CD3B05">
      <w:pPr>
        <w:jc w:val="center"/>
        <w:rPr>
          <w:rFonts w:ascii="Times New Roman" w:hAnsi="Times New Roman" w:cs="Times New Roman"/>
          <w:b/>
          <w:bCs/>
          <w:sz w:val="36"/>
          <w:szCs w:val="36"/>
        </w:rPr>
      </w:pPr>
    </w:p>
    <w:p w14:paraId="52916B96" w14:textId="77777777" w:rsidR="000635DD" w:rsidRDefault="000635DD" w:rsidP="00CD3B05">
      <w:pPr>
        <w:jc w:val="center"/>
        <w:rPr>
          <w:rFonts w:ascii="Times New Roman" w:hAnsi="Times New Roman" w:cs="Times New Roman"/>
          <w:b/>
          <w:bCs/>
          <w:sz w:val="36"/>
          <w:szCs w:val="36"/>
        </w:rPr>
      </w:pPr>
    </w:p>
    <w:p w14:paraId="6497E54A" w14:textId="32442458" w:rsidR="00CD3B05" w:rsidRDefault="00CD3B05" w:rsidP="0047270E">
      <w:pPr>
        <w:rPr>
          <w:rFonts w:ascii="Times New Roman" w:hAnsi="Times New Roman" w:cs="Times New Roman"/>
          <w:b/>
          <w:bCs/>
          <w:sz w:val="36"/>
          <w:szCs w:val="36"/>
        </w:rPr>
      </w:pPr>
    </w:p>
    <w:p w14:paraId="6D41B4CA" w14:textId="0CC1A3BF" w:rsidR="00CD3B05" w:rsidRDefault="00CD3B05" w:rsidP="00CD3B05">
      <w:pPr>
        <w:jc w:val="center"/>
        <w:rPr>
          <w:rFonts w:ascii="Times New Roman" w:hAnsi="Times New Roman" w:cs="Times New Roman"/>
          <w:b/>
          <w:bCs/>
          <w:sz w:val="36"/>
          <w:szCs w:val="36"/>
        </w:rPr>
      </w:pPr>
    </w:p>
    <w:p w14:paraId="54C37955" w14:textId="16A34CDF" w:rsidR="00D4475D" w:rsidRDefault="00D4475D" w:rsidP="00CD3B05">
      <w:pPr>
        <w:jc w:val="center"/>
        <w:rPr>
          <w:rFonts w:ascii="Times New Roman" w:hAnsi="Times New Roman" w:cs="Times New Roman"/>
        </w:rPr>
      </w:pPr>
    </w:p>
    <w:p w14:paraId="11C8B4F2" w14:textId="5BD268A7" w:rsidR="00D4475D" w:rsidRDefault="00D4475D" w:rsidP="00CD3B05">
      <w:pPr>
        <w:jc w:val="center"/>
        <w:rPr>
          <w:rFonts w:ascii="Times New Roman" w:hAnsi="Times New Roman" w:cs="Times New Roman"/>
        </w:rPr>
      </w:pPr>
    </w:p>
    <w:p w14:paraId="552C115F" w14:textId="0B9CB1A0" w:rsidR="00D4475D" w:rsidRDefault="007C1906" w:rsidP="0095795C">
      <w:pPr>
        <w:jc w:val="center"/>
        <w:rPr>
          <w:rFonts w:ascii="Times New Roman" w:hAnsi="Times New Roman" w:cs="Times New Roman"/>
        </w:rPr>
      </w:pPr>
      <w:r>
        <w:rPr>
          <w:rFonts w:ascii="Times New Roman" w:hAnsi="Times New Roman" w:cs="Times New Roman"/>
        </w:rPr>
        <w:t xml:space="preserve">September </w:t>
      </w:r>
      <w:r w:rsidR="00EA54FA">
        <w:rPr>
          <w:rFonts w:ascii="Times New Roman" w:hAnsi="Times New Roman" w:cs="Times New Roman"/>
        </w:rPr>
        <w:t>6</w:t>
      </w:r>
      <w:r>
        <w:rPr>
          <w:rFonts w:ascii="Times New Roman" w:hAnsi="Times New Roman" w:cs="Times New Roman"/>
        </w:rPr>
        <w:t>, 2022</w:t>
      </w:r>
    </w:p>
    <w:p w14:paraId="2AB93203" w14:textId="77777777" w:rsidR="007C1906" w:rsidRPr="00CD3B05" w:rsidRDefault="007C1906" w:rsidP="0095795C">
      <w:pPr>
        <w:jc w:val="center"/>
        <w:rPr>
          <w:rFonts w:ascii="Times New Roman" w:hAnsi="Times New Roman" w:cs="Times New Roman"/>
        </w:rPr>
      </w:pPr>
    </w:p>
    <w:p w14:paraId="6402A976" w14:textId="1DC2590A" w:rsidR="00D4475D" w:rsidRDefault="00D4475D" w:rsidP="00CD3B05">
      <w:pPr>
        <w:jc w:val="center"/>
        <w:rPr>
          <w:rFonts w:ascii="Times New Roman" w:hAnsi="Times New Roman" w:cs="Times New Roman"/>
        </w:rPr>
      </w:pPr>
    </w:p>
    <w:p w14:paraId="43DE9871" w14:textId="4D8B0FA6" w:rsidR="00D4475D" w:rsidRDefault="00D4475D" w:rsidP="00CD3B05">
      <w:pPr>
        <w:jc w:val="center"/>
        <w:rPr>
          <w:rFonts w:ascii="Times New Roman" w:hAnsi="Times New Roman" w:cs="Times New Roman"/>
        </w:rPr>
      </w:pPr>
    </w:p>
    <w:p w14:paraId="6AE44305" w14:textId="0D68A730" w:rsidR="00D4475D" w:rsidRDefault="00D4475D" w:rsidP="00CD3B05">
      <w:pPr>
        <w:jc w:val="center"/>
        <w:rPr>
          <w:rFonts w:ascii="Times New Roman" w:hAnsi="Times New Roman" w:cs="Times New Roman"/>
        </w:rPr>
      </w:pPr>
    </w:p>
    <w:p w14:paraId="02E2A233" w14:textId="4B753620" w:rsidR="00D4475D" w:rsidRDefault="00D4475D" w:rsidP="00CD3B05">
      <w:pPr>
        <w:jc w:val="center"/>
        <w:rPr>
          <w:rFonts w:ascii="Times New Roman" w:hAnsi="Times New Roman" w:cs="Times New Roman"/>
        </w:rPr>
      </w:pPr>
    </w:p>
    <w:p w14:paraId="6AAA3AEC" w14:textId="1FA363A7" w:rsidR="00D4475D" w:rsidRDefault="00D4475D" w:rsidP="00CD3B05">
      <w:pPr>
        <w:jc w:val="center"/>
        <w:rPr>
          <w:rFonts w:ascii="Times New Roman" w:hAnsi="Times New Roman" w:cs="Times New Roman"/>
        </w:rPr>
      </w:pPr>
    </w:p>
    <w:p w14:paraId="517BF989" w14:textId="1C20DD81" w:rsidR="00D4475D" w:rsidRDefault="00D4475D" w:rsidP="00CD3B05">
      <w:pPr>
        <w:jc w:val="center"/>
        <w:rPr>
          <w:rFonts w:ascii="Times New Roman" w:hAnsi="Times New Roman" w:cs="Times New Roman"/>
        </w:rPr>
      </w:pPr>
    </w:p>
    <w:p w14:paraId="79E0D925" w14:textId="77777777" w:rsidR="00D4475D" w:rsidRDefault="00D4475D" w:rsidP="00D4475D">
      <w:pPr>
        <w:jc w:val="center"/>
        <w:rPr>
          <w:rFonts w:ascii="Times New Roman" w:hAnsi="Times New Roman" w:cs="Times New Roman"/>
          <w:b/>
          <w:noProof/>
          <w:sz w:val="22"/>
        </w:rPr>
      </w:pPr>
    </w:p>
    <w:p w14:paraId="3131707A" w14:textId="77777777" w:rsidR="005C286C" w:rsidRDefault="005C286C" w:rsidP="00D4475D">
      <w:pPr>
        <w:jc w:val="center"/>
        <w:rPr>
          <w:rFonts w:ascii="Times New Roman" w:hAnsi="Times New Roman" w:cs="Times New Roman"/>
          <w:b/>
          <w:noProof/>
        </w:rPr>
      </w:pPr>
    </w:p>
    <w:p w14:paraId="7C2BF7C2" w14:textId="6F154CAE" w:rsidR="00D4475D" w:rsidRDefault="00D4475D" w:rsidP="007A667A">
      <w:pPr>
        <w:rPr>
          <w:rFonts w:ascii="Times New Roman" w:hAnsi="Times New Roman" w:cs="Times New Roman"/>
          <w:b/>
          <w:noProof/>
        </w:rPr>
      </w:pPr>
    </w:p>
    <w:p w14:paraId="1F2BAC7E" w14:textId="69852C39" w:rsidR="007A667A" w:rsidRDefault="007A667A" w:rsidP="007A667A">
      <w:pPr>
        <w:rPr>
          <w:rFonts w:ascii="Times New Roman" w:hAnsi="Times New Roman" w:cs="Times New Roman"/>
          <w:b/>
          <w:noProof/>
        </w:rPr>
      </w:pPr>
    </w:p>
    <w:p w14:paraId="34FE675E" w14:textId="1ED040C4" w:rsidR="007A667A" w:rsidRDefault="007A667A" w:rsidP="007A667A">
      <w:pPr>
        <w:rPr>
          <w:rFonts w:ascii="Times New Roman" w:hAnsi="Times New Roman" w:cs="Times New Roman"/>
          <w:b/>
          <w:noProof/>
        </w:rPr>
      </w:pPr>
    </w:p>
    <w:p w14:paraId="36515AD9" w14:textId="6A1700C9" w:rsidR="007A667A" w:rsidRDefault="007A667A" w:rsidP="007A667A">
      <w:pPr>
        <w:rPr>
          <w:rFonts w:ascii="Times New Roman" w:hAnsi="Times New Roman" w:cs="Times New Roman"/>
          <w:b/>
          <w:noProof/>
        </w:rPr>
      </w:pPr>
    </w:p>
    <w:p w14:paraId="0F860394" w14:textId="2343EF1A" w:rsidR="007A667A" w:rsidRDefault="007A667A" w:rsidP="007A667A">
      <w:pPr>
        <w:rPr>
          <w:rFonts w:ascii="Times New Roman" w:hAnsi="Times New Roman" w:cs="Times New Roman"/>
          <w:b/>
          <w:noProof/>
        </w:rPr>
      </w:pPr>
    </w:p>
    <w:p w14:paraId="003883FA" w14:textId="5CF7B9B5" w:rsidR="007A667A" w:rsidRDefault="007A667A" w:rsidP="007A667A">
      <w:pPr>
        <w:rPr>
          <w:rFonts w:ascii="Times New Roman" w:hAnsi="Times New Roman" w:cs="Times New Roman"/>
          <w:bCs/>
          <w:noProof/>
        </w:rPr>
      </w:pPr>
      <w:r w:rsidRPr="007A667A">
        <w:rPr>
          <w:rFonts w:ascii="Times New Roman" w:hAnsi="Times New Roman" w:cs="Times New Roman"/>
          <w:bCs/>
          <w:noProof/>
        </w:rPr>
        <w:t>Contact information</w:t>
      </w:r>
      <w:r>
        <w:rPr>
          <w:rFonts w:ascii="Times New Roman" w:hAnsi="Times New Roman" w:cs="Times New Roman"/>
          <w:bCs/>
          <w:noProof/>
        </w:rPr>
        <w:t>:</w:t>
      </w:r>
    </w:p>
    <w:p w14:paraId="269C4FB7" w14:textId="3F8860C7" w:rsidR="007A667A" w:rsidRDefault="009F6D95" w:rsidP="007A667A">
      <w:pPr>
        <w:rPr>
          <w:rFonts w:ascii="Times New Roman" w:hAnsi="Times New Roman" w:cs="Times New Roman"/>
          <w:bCs/>
          <w:noProof/>
        </w:rPr>
      </w:pPr>
      <w:hyperlink r:id="rId8" w:history="1">
        <w:r w:rsidR="007A667A" w:rsidRPr="003B79D4">
          <w:rPr>
            <w:rStyle w:val="Hyperlink"/>
            <w:rFonts w:ascii="Times New Roman" w:hAnsi="Times New Roman" w:cs="Times New Roman"/>
            <w:bCs/>
            <w:noProof/>
          </w:rPr>
          <w:t>farrow@umbc.edu</w:t>
        </w:r>
      </w:hyperlink>
    </w:p>
    <w:p w14:paraId="639FA2FD" w14:textId="3BECC611" w:rsidR="007A667A" w:rsidRPr="007A667A" w:rsidRDefault="007A667A" w:rsidP="007A667A">
      <w:pPr>
        <w:rPr>
          <w:rFonts w:ascii="Times New Roman" w:hAnsi="Times New Roman" w:cs="Times New Roman"/>
          <w:bCs/>
          <w:noProof/>
        </w:rPr>
      </w:pPr>
      <w:r>
        <w:rPr>
          <w:rFonts w:ascii="Times New Roman" w:hAnsi="Times New Roman" w:cs="Times New Roman"/>
          <w:bCs/>
          <w:noProof/>
        </w:rPr>
        <w:t>412-414-3399</w:t>
      </w:r>
    </w:p>
    <w:p w14:paraId="683C1825" w14:textId="77777777" w:rsidR="00D4475D" w:rsidRDefault="00D4475D" w:rsidP="00CD3B05">
      <w:pPr>
        <w:jc w:val="center"/>
        <w:rPr>
          <w:rFonts w:ascii="Times New Roman" w:hAnsi="Times New Roman" w:cs="Times New Roman"/>
        </w:rPr>
      </w:pPr>
    </w:p>
    <w:p w14:paraId="46FA7954" w14:textId="6F5D5B88" w:rsidR="00583352" w:rsidRDefault="00583352" w:rsidP="003D140A">
      <w:pPr>
        <w:pStyle w:val="Heading1"/>
        <w:numPr>
          <w:ilvl w:val="0"/>
          <w:numId w:val="0"/>
        </w:numPr>
      </w:pPr>
    </w:p>
    <w:p w14:paraId="2677AB6C" w14:textId="57F81D22" w:rsidR="00583352" w:rsidRDefault="00583352">
      <w:pPr>
        <w:rPr>
          <w:rFonts w:ascii="Times New Roman" w:hAnsi="Times New Roman" w:cs="Times New Roman"/>
        </w:rPr>
      </w:pPr>
    </w:p>
    <w:p w14:paraId="4D489867" w14:textId="08787A3F" w:rsidR="00583352" w:rsidRPr="00077FBB" w:rsidRDefault="00583352" w:rsidP="0084183F">
      <w:pPr>
        <w:pStyle w:val="Heading3"/>
        <w:jc w:val="center"/>
        <w:rPr>
          <w:rStyle w:val="Strong"/>
          <w:rFonts w:ascii="Times New Roman" w:hAnsi="Times New Roman" w:cs="Times New Roman"/>
        </w:rPr>
      </w:pPr>
      <w:bookmarkStart w:id="0" w:name="_Toc80602198"/>
      <w:r w:rsidRPr="00077FBB">
        <w:rPr>
          <w:rStyle w:val="Strong"/>
          <w:rFonts w:ascii="Times New Roman" w:hAnsi="Times New Roman" w:cs="Times New Roman"/>
          <w:color w:val="auto"/>
        </w:rPr>
        <w:t xml:space="preserve">Abstract </w:t>
      </w:r>
      <w:bookmarkEnd w:id="0"/>
    </w:p>
    <w:p w14:paraId="750B9689" w14:textId="77777777" w:rsidR="00583352" w:rsidRDefault="00583352" w:rsidP="00583352">
      <w:pPr>
        <w:jc w:val="center"/>
        <w:rPr>
          <w:rFonts w:ascii="Times New Roman" w:hAnsi="Times New Roman" w:cs="Times New Roman"/>
        </w:rPr>
      </w:pPr>
    </w:p>
    <w:p w14:paraId="589AEDEB" w14:textId="77777777" w:rsidR="00583352" w:rsidRPr="00FC2FBC" w:rsidRDefault="00583352" w:rsidP="00583352">
      <w:pPr>
        <w:jc w:val="center"/>
        <w:rPr>
          <w:rFonts w:ascii="Times New Roman" w:hAnsi="Times New Roman" w:cs="Times New Roman"/>
        </w:rPr>
      </w:pPr>
    </w:p>
    <w:p w14:paraId="4A89224B" w14:textId="3010DDBA" w:rsidR="00583352" w:rsidRDefault="00C47B7D" w:rsidP="00181056">
      <w:pPr>
        <w:ind w:left="720" w:right="630"/>
        <w:rPr>
          <w:rFonts w:ascii="Times New Roman" w:hAnsi="Times New Roman" w:cs="Times New Roman"/>
        </w:rPr>
      </w:pPr>
      <w:r>
        <w:rPr>
          <w:rFonts w:ascii="Times New Roman" w:hAnsi="Times New Roman" w:cs="Times New Roman"/>
        </w:rPr>
        <w:t xml:space="preserve">Border management is a government activity </w:t>
      </w:r>
      <w:r w:rsidR="00181056">
        <w:rPr>
          <w:rFonts w:ascii="Times New Roman" w:hAnsi="Times New Roman" w:cs="Times New Roman"/>
        </w:rPr>
        <w:t xml:space="preserve">affecting </w:t>
      </w:r>
      <w:r>
        <w:rPr>
          <w:rFonts w:ascii="Times New Roman" w:hAnsi="Times New Roman" w:cs="Times New Roman"/>
        </w:rPr>
        <w:t>immigration and the economy.  A b</w:t>
      </w:r>
      <w:r w:rsidR="000B23A8">
        <w:rPr>
          <w:rFonts w:ascii="Times New Roman" w:hAnsi="Times New Roman" w:cs="Times New Roman"/>
        </w:rPr>
        <w:t xml:space="preserve">enefit-cost and </w:t>
      </w:r>
      <w:r w:rsidR="00FD1FD5">
        <w:rPr>
          <w:rFonts w:ascii="Times New Roman" w:hAnsi="Times New Roman" w:cs="Times New Roman"/>
        </w:rPr>
        <w:t xml:space="preserve">equivalent </w:t>
      </w:r>
      <w:r w:rsidR="00583352" w:rsidRPr="007508DF">
        <w:rPr>
          <w:rFonts w:ascii="Times New Roman" w:hAnsi="Times New Roman" w:cs="Times New Roman"/>
        </w:rPr>
        <w:t xml:space="preserve">decision </w:t>
      </w:r>
      <w:r w:rsidR="00583352">
        <w:rPr>
          <w:rFonts w:ascii="Times New Roman" w:hAnsi="Times New Roman" w:cs="Times New Roman"/>
        </w:rPr>
        <w:t>analysis</w:t>
      </w:r>
      <w:r w:rsidR="00583352" w:rsidRPr="007508DF">
        <w:rPr>
          <w:rFonts w:ascii="Times New Roman" w:hAnsi="Times New Roman" w:cs="Times New Roman"/>
        </w:rPr>
        <w:t xml:space="preserve"> model</w:t>
      </w:r>
      <w:r>
        <w:rPr>
          <w:rFonts w:ascii="Times New Roman" w:hAnsi="Times New Roman" w:cs="Times New Roman"/>
        </w:rPr>
        <w:t xml:space="preserve"> </w:t>
      </w:r>
      <w:r w:rsidR="00181056">
        <w:rPr>
          <w:rFonts w:ascii="Times New Roman" w:hAnsi="Times New Roman" w:cs="Times New Roman"/>
        </w:rPr>
        <w:t>are used</w:t>
      </w:r>
      <w:r w:rsidR="00583352" w:rsidRPr="007508DF">
        <w:rPr>
          <w:rFonts w:ascii="Times New Roman" w:hAnsi="Times New Roman" w:cs="Times New Roman"/>
        </w:rPr>
        <w:t xml:space="preserve"> </w:t>
      </w:r>
      <w:r>
        <w:rPr>
          <w:rFonts w:ascii="Times New Roman" w:hAnsi="Times New Roman" w:cs="Times New Roman"/>
        </w:rPr>
        <w:t xml:space="preserve">to evaluate </w:t>
      </w:r>
      <w:r w:rsidR="001351EA">
        <w:rPr>
          <w:rFonts w:ascii="Times New Roman" w:hAnsi="Times New Roman" w:cs="Times New Roman"/>
        </w:rPr>
        <w:t xml:space="preserve">US border </w:t>
      </w:r>
      <w:r>
        <w:rPr>
          <w:rFonts w:ascii="Times New Roman" w:hAnsi="Times New Roman" w:cs="Times New Roman"/>
        </w:rPr>
        <w:t xml:space="preserve">management for 2017.  </w:t>
      </w:r>
      <w:r w:rsidR="00583352" w:rsidRPr="007508DF">
        <w:rPr>
          <w:rFonts w:ascii="Times New Roman" w:hAnsi="Times New Roman" w:cs="Times New Roman"/>
        </w:rPr>
        <w:t xml:space="preserve">Controversial issues arise.  Among these are </w:t>
      </w:r>
      <w:r>
        <w:rPr>
          <w:rFonts w:ascii="Times New Roman" w:hAnsi="Times New Roman" w:cs="Times New Roman"/>
        </w:rPr>
        <w:t xml:space="preserve">the issue of </w:t>
      </w:r>
      <w:r w:rsidR="00583352" w:rsidRPr="007508DF">
        <w:rPr>
          <w:rFonts w:ascii="Times New Roman" w:hAnsi="Times New Roman" w:cs="Times New Roman"/>
        </w:rPr>
        <w:t>standing and the value</w:t>
      </w:r>
      <w:r w:rsidR="00FD1FD5">
        <w:rPr>
          <w:rFonts w:ascii="Times New Roman" w:hAnsi="Times New Roman" w:cs="Times New Roman"/>
        </w:rPr>
        <w:t>s</w:t>
      </w:r>
      <w:r w:rsidR="00583352" w:rsidRPr="007508DF">
        <w:rPr>
          <w:rFonts w:ascii="Times New Roman" w:hAnsi="Times New Roman" w:cs="Times New Roman"/>
        </w:rPr>
        <w:t xml:space="preserve"> of </w:t>
      </w:r>
      <w:r w:rsidR="003D5855">
        <w:rPr>
          <w:rFonts w:ascii="Times New Roman" w:hAnsi="Times New Roman" w:cs="Times New Roman"/>
        </w:rPr>
        <w:t xml:space="preserve">asylum, </w:t>
      </w:r>
      <w:r w:rsidR="00583352" w:rsidRPr="007508DF">
        <w:rPr>
          <w:rFonts w:ascii="Times New Roman" w:hAnsi="Times New Roman" w:cs="Times New Roman"/>
        </w:rPr>
        <w:t xml:space="preserve">a criminal career, </w:t>
      </w:r>
      <w:r w:rsidR="00583352">
        <w:rPr>
          <w:rFonts w:ascii="Times New Roman" w:hAnsi="Times New Roman" w:cs="Times New Roman"/>
        </w:rPr>
        <w:t>chil</w:t>
      </w:r>
      <w:r>
        <w:rPr>
          <w:rFonts w:ascii="Times New Roman" w:hAnsi="Times New Roman" w:cs="Times New Roman"/>
        </w:rPr>
        <w:t>d</w:t>
      </w:r>
      <w:r w:rsidR="00FD1FD5">
        <w:rPr>
          <w:rFonts w:ascii="Times New Roman" w:hAnsi="Times New Roman" w:cs="Times New Roman"/>
        </w:rPr>
        <w:t xml:space="preserve"> custodial </w:t>
      </w:r>
      <w:r>
        <w:rPr>
          <w:rFonts w:ascii="Times New Roman" w:hAnsi="Times New Roman" w:cs="Times New Roman"/>
        </w:rPr>
        <w:t>care</w:t>
      </w:r>
      <w:r w:rsidR="00583352" w:rsidRPr="007508DF">
        <w:rPr>
          <w:rFonts w:ascii="Times New Roman" w:hAnsi="Times New Roman" w:cs="Times New Roman"/>
        </w:rPr>
        <w:t xml:space="preserve">, </w:t>
      </w:r>
      <w:r w:rsidR="00FD1FD5">
        <w:rPr>
          <w:rFonts w:ascii="Times New Roman" w:hAnsi="Times New Roman" w:cs="Times New Roman"/>
        </w:rPr>
        <w:t>foreign deaths</w:t>
      </w:r>
      <w:r w:rsidR="00583352" w:rsidRPr="007508DF">
        <w:rPr>
          <w:rFonts w:ascii="Times New Roman" w:hAnsi="Times New Roman" w:cs="Times New Roman"/>
        </w:rPr>
        <w:t xml:space="preserve">, fiscal </w:t>
      </w:r>
      <w:r w:rsidR="00FD1FD5">
        <w:rPr>
          <w:rFonts w:ascii="Times New Roman" w:hAnsi="Times New Roman" w:cs="Times New Roman"/>
        </w:rPr>
        <w:t>and</w:t>
      </w:r>
      <w:r>
        <w:rPr>
          <w:rFonts w:ascii="Times New Roman" w:hAnsi="Times New Roman" w:cs="Times New Roman"/>
        </w:rPr>
        <w:t xml:space="preserve"> labor market </w:t>
      </w:r>
      <w:r w:rsidR="00FD1FD5">
        <w:rPr>
          <w:rFonts w:ascii="Times New Roman" w:hAnsi="Times New Roman" w:cs="Times New Roman"/>
        </w:rPr>
        <w:t xml:space="preserve">effects, </w:t>
      </w:r>
      <w:r w:rsidR="00583352" w:rsidRPr="007508DF">
        <w:rPr>
          <w:rFonts w:ascii="Times New Roman" w:hAnsi="Times New Roman" w:cs="Times New Roman"/>
        </w:rPr>
        <w:t xml:space="preserve">and distributional weighting.  </w:t>
      </w:r>
      <w:r w:rsidR="00FD1FD5">
        <w:rPr>
          <w:rFonts w:ascii="Times New Roman" w:hAnsi="Times New Roman" w:cs="Times New Roman"/>
        </w:rPr>
        <w:t xml:space="preserve">The </w:t>
      </w:r>
      <w:r w:rsidR="007863FA">
        <w:rPr>
          <w:rFonts w:ascii="Times New Roman" w:hAnsi="Times New Roman" w:cs="Times New Roman"/>
        </w:rPr>
        <w:t xml:space="preserve">aggregate </w:t>
      </w:r>
      <w:r w:rsidR="00FD1FD5">
        <w:rPr>
          <w:rFonts w:ascii="Times New Roman" w:hAnsi="Times New Roman" w:cs="Times New Roman"/>
        </w:rPr>
        <w:t xml:space="preserve">results indicate a large </w:t>
      </w:r>
      <w:r w:rsidR="007863FA">
        <w:rPr>
          <w:rFonts w:ascii="Times New Roman" w:hAnsi="Times New Roman" w:cs="Times New Roman"/>
        </w:rPr>
        <w:t xml:space="preserve">expected </w:t>
      </w:r>
      <w:r w:rsidR="00181056">
        <w:rPr>
          <w:rFonts w:ascii="Times New Roman" w:hAnsi="Times New Roman" w:cs="Times New Roman"/>
        </w:rPr>
        <w:t>present value</w:t>
      </w:r>
      <w:r w:rsidR="00FD1FD5">
        <w:rPr>
          <w:rFonts w:ascii="Times New Roman" w:hAnsi="Times New Roman" w:cs="Times New Roman"/>
        </w:rPr>
        <w:t xml:space="preserve"> </w:t>
      </w:r>
      <w:r w:rsidR="003D5855">
        <w:rPr>
          <w:rFonts w:ascii="Times New Roman" w:hAnsi="Times New Roman" w:cs="Times New Roman"/>
        </w:rPr>
        <w:t xml:space="preserve">net </w:t>
      </w:r>
      <w:r w:rsidR="00FD1FD5">
        <w:rPr>
          <w:rFonts w:ascii="Times New Roman" w:hAnsi="Times New Roman" w:cs="Times New Roman"/>
        </w:rPr>
        <w:t>benefit</w:t>
      </w:r>
      <w:r w:rsidR="00181056">
        <w:rPr>
          <w:rFonts w:ascii="Times New Roman" w:hAnsi="Times New Roman" w:cs="Times New Roman"/>
        </w:rPr>
        <w:t xml:space="preserve"> per year </w:t>
      </w:r>
      <w:r w:rsidR="003D5855">
        <w:rPr>
          <w:rFonts w:ascii="Times New Roman" w:hAnsi="Times New Roman" w:cs="Times New Roman"/>
        </w:rPr>
        <w:t>from management of</w:t>
      </w:r>
      <w:r w:rsidR="00181056">
        <w:rPr>
          <w:rFonts w:ascii="Times New Roman" w:hAnsi="Times New Roman" w:cs="Times New Roman"/>
        </w:rPr>
        <w:t xml:space="preserve"> $46.</w:t>
      </w:r>
      <w:r w:rsidR="00E320A2">
        <w:rPr>
          <w:rFonts w:ascii="Times New Roman" w:hAnsi="Times New Roman" w:cs="Times New Roman"/>
        </w:rPr>
        <w:t>6</w:t>
      </w:r>
      <w:r w:rsidR="00181056">
        <w:rPr>
          <w:rFonts w:ascii="Times New Roman" w:hAnsi="Times New Roman" w:cs="Times New Roman"/>
        </w:rPr>
        <w:t xml:space="preserve"> billion, but </w:t>
      </w:r>
      <w:r w:rsidR="003D5855">
        <w:rPr>
          <w:rFonts w:ascii="Times New Roman" w:hAnsi="Times New Roman" w:cs="Times New Roman"/>
        </w:rPr>
        <w:t xml:space="preserve">also </w:t>
      </w:r>
      <w:r w:rsidR="00FD1FD5">
        <w:rPr>
          <w:rFonts w:ascii="Times New Roman" w:hAnsi="Times New Roman" w:cs="Times New Roman"/>
        </w:rPr>
        <w:t xml:space="preserve">a </w:t>
      </w:r>
      <w:r w:rsidR="00181056">
        <w:rPr>
          <w:rFonts w:ascii="Times New Roman" w:hAnsi="Times New Roman" w:cs="Times New Roman"/>
        </w:rPr>
        <w:t xml:space="preserve">large </w:t>
      </w:r>
      <w:r w:rsidR="00FD1FD5">
        <w:rPr>
          <w:rFonts w:ascii="Times New Roman" w:hAnsi="Times New Roman" w:cs="Times New Roman"/>
        </w:rPr>
        <w:t>residual unmanaged cost of $</w:t>
      </w:r>
      <w:r w:rsidR="00181056">
        <w:rPr>
          <w:rFonts w:ascii="Times New Roman" w:hAnsi="Times New Roman" w:cs="Times New Roman"/>
        </w:rPr>
        <w:t>2</w:t>
      </w:r>
      <w:r w:rsidR="002E3041">
        <w:rPr>
          <w:rFonts w:ascii="Times New Roman" w:hAnsi="Times New Roman" w:cs="Times New Roman"/>
        </w:rPr>
        <w:t>3.7</w:t>
      </w:r>
      <w:r w:rsidR="00181056">
        <w:rPr>
          <w:rFonts w:ascii="Times New Roman" w:hAnsi="Times New Roman" w:cs="Times New Roman"/>
        </w:rPr>
        <w:t xml:space="preserve"> billion. Significant uncertainty exists but </w:t>
      </w:r>
      <w:r w:rsidR="00A126A9">
        <w:rPr>
          <w:rFonts w:ascii="Times New Roman" w:hAnsi="Times New Roman" w:cs="Times New Roman"/>
        </w:rPr>
        <w:t xml:space="preserve">estimated </w:t>
      </w:r>
      <w:r w:rsidR="00181056">
        <w:rPr>
          <w:rFonts w:ascii="Times New Roman" w:hAnsi="Times New Roman" w:cs="Times New Roman"/>
        </w:rPr>
        <w:t xml:space="preserve">net benefits </w:t>
      </w:r>
      <w:r w:rsidR="003D5855">
        <w:rPr>
          <w:rFonts w:ascii="Times New Roman" w:hAnsi="Times New Roman" w:cs="Times New Roman"/>
        </w:rPr>
        <w:t>remain positive</w:t>
      </w:r>
      <w:r w:rsidR="00181056">
        <w:rPr>
          <w:rFonts w:ascii="Times New Roman" w:hAnsi="Times New Roman" w:cs="Times New Roman"/>
        </w:rPr>
        <w:t>.</w:t>
      </w:r>
    </w:p>
    <w:p w14:paraId="09F581CC" w14:textId="77777777" w:rsidR="00583352" w:rsidRDefault="00583352" w:rsidP="00583352">
      <w:pPr>
        <w:ind w:left="720" w:right="630"/>
        <w:rPr>
          <w:rFonts w:ascii="Times New Roman" w:hAnsi="Times New Roman" w:cs="Times New Roman"/>
        </w:rPr>
      </w:pPr>
    </w:p>
    <w:p w14:paraId="2A812DD3" w14:textId="77777777" w:rsidR="00583352" w:rsidRDefault="00583352" w:rsidP="00583352">
      <w:pPr>
        <w:ind w:left="720" w:right="630"/>
        <w:rPr>
          <w:rFonts w:ascii="Times New Roman" w:hAnsi="Times New Roman" w:cs="Times New Roman"/>
        </w:rPr>
      </w:pPr>
    </w:p>
    <w:p w14:paraId="64ED7E3F" w14:textId="40FC8ACA" w:rsidR="00583352" w:rsidRDefault="00583352" w:rsidP="002636E1">
      <w:pPr>
        <w:ind w:right="630"/>
        <w:rPr>
          <w:rFonts w:ascii="Times New Roman" w:hAnsi="Times New Roman" w:cs="Times New Roman"/>
        </w:rPr>
      </w:pPr>
    </w:p>
    <w:p w14:paraId="33652F04" w14:textId="4BC978CE" w:rsidR="008520C4" w:rsidRDefault="008520C4" w:rsidP="002636E1">
      <w:pPr>
        <w:ind w:right="630"/>
        <w:rPr>
          <w:rFonts w:ascii="Times New Roman" w:hAnsi="Times New Roman" w:cs="Times New Roman"/>
        </w:rPr>
      </w:pPr>
    </w:p>
    <w:p w14:paraId="0B2C5433" w14:textId="3EA6E871" w:rsidR="008520C4" w:rsidRDefault="008520C4" w:rsidP="002636E1">
      <w:pPr>
        <w:ind w:right="630"/>
        <w:rPr>
          <w:rFonts w:ascii="Times New Roman" w:hAnsi="Times New Roman" w:cs="Times New Roman"/>
        </w:rPr>
      </w:pPr>
    </w:p>
    <w:p w14:paraId="24300E92" w14:textId="62ABB082" w:rsidR="008520C4" w:rsidRDefault="008520C4" w:rsidP="002636E1">
      <w:pPr>
        <w:ind w:right="630"/>
        <w:rPr>
          <w:rFonts w:ascii="Times New Roman" w:hAnsi="Times New Roman" w:cs="Times New Roman"/>
        </w:rPr>
      </w:pPr>
    </w:p>
    <w:p w14:paraId="6F9F5147" w14:textId="4DFDF9C4" w:rsidR="008520C4" w:rsidRDefault="008520C4" w:rsidP="002636E1">
      <w:pPr>
        <w:ind w:right="630"/>
        <w:rPr>
          <w:rFonts w:ascii="Times New Roman" w:hAnsi="Times New Roman" w:cs="Times New Roman"/>
        </w:rPr>
      </w:pPr>
    </w:p>
    <w:p w14:paraId="2363C07A" w14:textId="44DBCDDB" w:rsidR="008520C4" w:rsidRDefault="008520C4" w:rsidP="002636E1">
      <w:pPr>
        <w:ind w:right="630"/>
        <w:rPr>
          <w:rFonts w:ascii="Times New Roman" w:hAnsi="Times New Roman" w:cs="Times New Roman"/>
        </w:rPr>
      </w:pPr>
    </w:p>
    <w:p w14:paraId="3F75139D" w14:textId="097E4BB3" w:rsidR="008520C4" w:rsidRDefault="008520C4" w:rsidP="002636E1">
      <w:pPr>
        <w:ind w:right="630"/>
        <w:rPr>
          <w:rFonts w:ascii="Times New Roman" w:hAnsi="Times New Roman" w:cs="Times New Roman"/>
        </w:rPr>
      </w:pPr>
    </w:p>
    <w:p w14:paraId="4D2AC773" w14:textId="7D32742B" w:rsidR="008520C4" w:rsidRDefault="008520C4" w:rsidP="002636E1">
      <w:pPr>
        <w:ind w:right="630"/>
        <w:rPr>
          <w:rFonts w:ascii="Times New Roman" w:hAnsi="Times New Roman" w:cs="Times New Roman"/>
        </w:rPr>
      </w:pPr>
    </w:p>
    <w:p w14:paraId="139F9D52" w14:textId="6D630477" w:rsidR="008520C4" w:rsidRDefault="008520C4" w:rsidP="002636E1">
      <w:pPr>
        <w:ind w:right="630"/>
        <w:rPr>
          <w:rFonts w:ascii="Times New Roman" w:hAnsi="Times New Roman" w:cs="Times New Roman"/>
        </w:rPr>
      </w:pPr>
    </w:p>
    <w:p w14:paraId="0AAF337B" w14:textId="7E56BF09" w:rsidR="008520C4" w:rsidRDefault="008520C4" w:rsidP="002636E1">
      <w:pPr>
        <w:ind w:right="630"/>
        <w:rPr>
          <w:rFonts w:ascii="Times New Roman" w:hAnsi="Times New Roman" w:cs="Times New Roman"/>
        </w:rPr>
      </w:pPr>
    </w:p>
    <w:p w14:paraId="60EBB5CD" w14:textId="4DAA6B4A" w:rsidR="008520C4" w:rsidRDefault="008520C4" w:rsidP="002636E1">
      <w:pPr>
        <w:ind w:right="630"/>
        <w:rPr>
          <w:rFonts w:ascii="Times New Roman" w:hAnsi="Times New Roman" w:cs="Times New Roman"/>
        </w:rPr>
      </w:pPr>
    </w:p>
    <w:p w14:paraId="1DE2CC5A" w14:textId="77777777" w:rsidR="008520C4" w:rsidRPr="007508DF" w:rsidRDefault="008520C4" w:rsidP="002636E1">
      <w:pPr>
        <w:ind w:right="630"/>
        <w:rPr>
          <w:rFonts w:ascii="Times New Roman" w:hAnsi="Times New Roman" w:cs="Times New Roman"/>
        </w:rPr>
      </w:pPr>
    </w:p>
    <w:p w14:paraId="061116F3" w14:textId="77777777" w:rsidR="00583352" w:rsidRDefault="00583352" w:rsidP="00583352">
      <w:pPr>
        <w:rPr>
          <w:rFonts w:ascii="Times New Roman" w:hAnsi="Times New Roman" w:cs="Times New Roman"/>
        </w:rPr>
      </w:pPr>
    </w:p>
    <w:p w14:paraId="3D74985D" w14:textId="458E6D6C" w:rsidR="00583352" w:rsidRDefault="00FA4EF9">
      <w:pPr>
        <w:rPr>
          <w:rFonts w:ascii="Times New Roman" w:hAnsi="Times New Roman" w:cs="Times New Roman"/>
          <w:sz w:val="20"/>
          <w:szCs w:val="20"/>
        </w:rPr>
      </w:pPr>
      <w:r w:rsidRPr="00FA4EF9">
        <w:rPr>
          <w:rFonts w:ascii="Times New Roman" w:hAnsi="Times New Roman" w:cs="Times New Roman"/>
          <w:sz w:val="20"/>
          <w:szCs w:val="20"/>
        </w:rPr>
        <w:t>The core of th</w:t>
      </w:r>
      <w:r>
        <w:rPr>
          <w:rFonts w:ascii="Times New Roman" w:hAnsi="Times New Roman" w:cs="Times New Roman"/>
          <w:sz w:val="20"/>
          <w:szCs w:val="20"/>
        </w:rPr>
        <w:t>is</w:t>
      </w:r>
      <w:r w:rsidRPr="00FA4EF9">
        <w:rPr>
          <w:rFonts w:ascii="Times New Roman" w:hAnsi="Times New Roman" w:cs="Times New Roman"/>
          <w:sz w:val="20"/>
          <w:szCs w:val="20"/>
        </w:rPr>
        <w:t xml:space="preserve"> research </w:t>
      </w:r>
      <w:r w:rsidRPr="00FA4EF9">
        <w:rPr>
          <w:rFonts w:ascii="Times New Roman" w:hAnsi="Times New Roman" w:cs="Times New Roman"/>
          <w:noProof/>
          <w:sz w:val="20"/>
          <w:szCs w:val="20"/>
        </w:rPr>
        <w:t xml:space="preserve">was supported by the </w:t>
      </w:r>
      <w:r w:rsidR="002636E1">
        <w:rPr>
          <w:rFonts w:ascii="Times New Roman" w:hAnsi="Times New Roman" w:cs="Times New Roman"/>
          <w:noProof/>
          <w:sz w:val="20"/>
          <w:szCs w:val="20"/>
        </w:rPr>
        <w:t>US</w:t>
      </w:r>
      <w:r w:rsidRPr="00FA4EF9">
        <w:rPr>
          <w:rFonts w:ascii="Times New Roman" w:hAnsi="Times New Roman" w:cs="Times New Roman"/>
          <w:noProof/>
          <w:sz w:val="20"/>
          <w:szCs w:val="20"/>
        </w:rPr>
        <w:t xml:space="preserve"> Department of Homeland Security(DHS) through the National Center for Risk and Economic Analysis of </w:t>
      </w:r>
      <w:r w:rsidR="009D0DE6">
        <w:rPr>
          <w:rFonts w:ascii="Times New Roman" w:hAnsi="Times New Roman" w:cs="Times New Roman"/>
          <w:noProof/>
          <w:sz w:val="20"/>
          <w:szCs w:val="20"/>
        </w:rPr>
        <w:t>Threats and Emergencies</w:t>
      </w:r>
      <w:r w:rsidRPr="00FA4EF9">
        <w:rPr>
          <w:rFonts w:ascii="Times New Roman" w:hAnsi="Times New Roman" w:cs="Times New Roman"/>
          <w:noProof/>
          <w:sz w:val="20"/>
          <w:szCs w:val="20"/>
        </w:rPr>
        <w:t xml:space="preserve"> (CREATE) under Basic Ordering Agreement No. HSHQDC10BOA19. However, any opinions, findings, </w:t>
      </w:r>
      <w:r w:rsidR="00F137B5">
        <w:rPr>
          <w:rFonts w:ascii="Times New Roman" w:hAnsi="Times New Roman" w:cs="Times New Roman"/>
          <w:noProof/>
          <w:sz w:val="20"/>
          <w:szCs w:val="20"/>
        </w:rPr>
        <w:t xml:space="preserve">errors </w:t>
      </w:r>
      <w:r w:rsidRPr="00FA4EF9">
        <w:rPr>
          <w:rFonts w:ascii="Times New Roman" w:hAnsi="Times New Roman" w:cs="Times New Roman"/>
          <w:noProof/>
          <w:sz w:val="20"/>
          <w:szCs w:val="20"/>
        </w:rPr>
        <w:t>and conclusions or recommendations in this document are those of the author and do not necessarily reflect views of the DHS or the University of Southern California (USC).</w:t>
      </w:r>
      <w:r w:rsidRPr="00FA4EF9">
        <w:rPr>
          <w:rFonts w:ascii="Times New Roman" w:hAnsi="Times New Roman" w:cs="Times New Roman"/>
          <w:sz w:val="20"/>
          <w:szCs w:val="20"/>
        </w:rPr>
        <w:t xml:space="preserve">  Modest data corrections and updates have occurred since that contract without s</w:t>
      </w:r>
      <w:r>
        <w:rPr>
          <w:rFonts w:ascii="Times New Roman" w:hAnsi="Times New Roman" w:cs="Times New Roman"/>
          <w:sz w:val="20"/>
          <w:szCs w:val="20"/>
        </w:rPr>
        <w:t>ignificantly</w:t>
      </w:r>
      <w:r w:rsidRPr="00FA4EF9">
        <w:rPr>
          <w:rFonts w:ascii="Times New Roman" w:hAnsi="Times New Roman" w:cs="Times New Roman"/>
          <w:sz w:val="20"/>
          <w:szCs w:val="20"/>
        </w:rPr>
        <w:t xml:space="preserve"> changing the results.</w:t>
      </w:r>
      <w:r w:rsidRPr="00FA4EF9">
        <w:rPr>
          <w:rFonts w:ascii="Times New Roman" w:hAnsi="Times New Roman" w:cs="Times New Roman"/>
          <w:noProof/>
          <w:sz w:val="20"/>
          <w:szCs w:val="20"/>
        </w:rPr>
        <w:t xml:space="preserve"> </w:t>
      </w:r>
      <w:r w:rsidRPr="00FA4EF9">
        <w:rPr>
          <w:rFonts w:ascii="Times New Roman" w:hAnsi="Times New Roman" w:cs="Times New Roman"/>
          <w:sz w:val="20"/>
          <w:szCs w:val="20"/>
        </w:rPr>
        <w:t xml:space="preserve">The original work was not reviewed by DHS.  </w:t>
      </w:r>
      <w:r w:rsidR="00583352" w:rsidRPr="00FA4EF9">
        <w:rPr>
          <w:rFonts w:ascii="Times New Roman" w:hAnsi="Times New Roman" w:cs="Times New Roman"/>
          <w:sz w:val="20"/>
          <w:szCs w:val="20"/>
        </w:rPr>
        <w:t xml:space="preserve">Appreciation is extended to the Landscape project group at CREATE/USC: </w:t>
      </w:r>
      <w:proofErr w:type="spellStart"/>
      <w:r w:rsidR="00583352" w:rsidRPr="00FA4EF9">
        <w:rPr>
          <w:rFonts w:ascii="Times New Roman" w:hAnsi="Times New Roman" w:cs="Times New Roman"/>
          <w:sz w:val="20"/>
          <w:szCs w:val="20"/>
        </w:rPr>
        <w:t>Detlof</w:t>
      </w:r>
      <w:proofErr w:type="spellEnd"/>
      <w:r w:rsidR="00583352" w:rsidRPr="00FA4EF9">
        <w:rPr>
          <w:rFonts w:ascii="Times New Roman" w:hAnsi="Times New Roman" w:cs="Times New Roman"/>
          <w:sz w:val="20"/>
          <w:szCs w:val="20"/>
        </w:rPr>
        <w:t xml:space="preserve"> von </w:t>
      </w:r>
      <w:proofErr w:type="spellStart"/>
      <w:r w:rsidR="00583352" w:rsidRPr="00FA4EF9">
        <w:rPr>
          <w:rFonts w:ascii="Times New Roman" w:hAnsi="Times New Roman" w:cs="Times New Roman"/>
          <w:sz w:val="20"/>
          <w:szCs w:val="20"/>
        </w:rPr>
        <w:t>Winterfeldt</w:t>
      </w:r>
      <w:proofErr w:type="spellEnd"/>
      <w:r w:rsidR="00583352" w:rsidRPr="00FA4EF9">
        <w:rPr>
          <w:rFonts w:ascii="Times New Roman" w:hAnsi="Times New Roman" w:cs="Times New Roman"/>
          <w:sz w:val="20"/>
          <w:szCs w:val="20"/>
        </w:rPr>
        <w:t xml:space="preserve">, Richard John, Adam Rose, Dan </w:t>
      </w:r>
      <w:proofErr w:type="gramStart"/>
      <w:r w:rsidR="00583352" w:rsidRPr="00FA4EF9">
        <w:rPr>
          <w:rFonts w:ascii="Times New Roman" w:hAnsi="Times New Roman" w:cs="Times New Roman"/>
          <w:sz w:val="20"/>
          <w:szCs w:val="20"/>
        </w:rPr>
        <w:t>Wei</w:t>
      </w:r>
      <w:proofErr w:type="gramEnd"/>
      <w:r w:rsidR="00583352" w:rsidRPr="00FA4EF9">
        <w:rPr>
          <w:rFonts w:ascii="Times New Roman" w:hAnsi="Times New Roman" w:cs="Times New Roman"/>
          <w:sz w:val="20"/>
          <w:szCs w:val="20"/>
        </w:rPr>
        <w:t xml:space="preserve"> and Isaac Maya; to the RESECON </w:t>
      </w:r>
      <w:r w:rsidR="009D0DE6">
        <w:rPr>
          <w:rFonts w:ascii="Times New Roman" w:hAnsi="Times New Roman" w:cs="Times New Roman"/>
          <w:sz w:val="20"/>
          <w:szCs w:val="20"/>
        </w:rPr>
        <w:t xml:space="preserve">internet group </w:t>
      </w:r>
      <w:r w:rsidR="00583352" w:rsidRPr="00FA4EF9">
        <w:rPr>
          <w:rFonts w:ascii="Times New Roman" w:hAnsi="Times New Roman" w:cs="Times New Roman"/>
          <w:sz w:val="20"/>
          <w:szCs w:val="20"/>
        </w:rPr>
        <w:t>for lively feedback on the value of a foreign life, to Br</w:t>
      </w:r>
      <w:r w:rsidR="005F5727" w:rsidRPr="00FA4EF9">
        <w:rPr>
          <w:rFonts w:ascii="Times New Roman" w:hAnsi="Times New Roman" w:cs="Times New Roman"/>
          <w:sz w:val="20"/>
          <w:szCs w:val="20"/>
        </w:rPr>
        <w:t>y</w:t>
      </w:r>
      <w:r w:rsidR="00583352" w:rsidRPr="00FA4EF9">
        <w:rPr>
          <w:rFonts w:ascii="Times New Roman" w:hAnsi="Times New Roman" w:cs="Times New Roman"/>
          <w:sz w:val="20"/>
          <w:szCs w:val="20"/>
        </w:rPr>
        <w:t xml:space="preserve">an Roberts, and Lynn </w:t>
      </w:r>
      <w:proofErr w:type="spellStart"/>
      <w:r w:rsidR="00583352" w:rsidRPr="00FA4EF9">
        <w:rPr>
          <w:rFonts w:ascii="Times New Roman" w:hAnsi="Times New Roman" w:cs="Times New Roman"/>
          <w:sz w:val="20"/>
          <w:szCs w:val="20"/>
        </w:rPr>
        <w:t>Karoly</w:t>
      </w:r>
      <w:proofErr w:type="spellEnd"/>
      <w:r w:rsidR="00583352" w:rsidRPr="00FA4EF9">
        <w:rPr>
          <w:rFonts w:ascii="Times New Roman" w:hAnsi="Times New Roman" w:cs="Times New Roman"/>
          <w:sz w:val="20"/>
          <w:szCs w:val="20"/>
        </w:rPr>
        <w:t xml:space="preserve"> for research suggestions and to Dinah Bear for additional near-border context and data</w:t>
      </w:r>
      <w:r w:rsidR="002636E1">
        <w:rPr>
          <w:rFonts w:ascii="Times New Roman" w:hAnsi="Times New Roman" w:cs="Times New Roman"/>
          <w:sz w:val="20"/>
          <w:szCs w:val="20"/>
        </w:rPr>
        <w:t xml:space="preserve">.  </w:t>
      </w:r>
    </w:p>
    <w:p w14:paraId="57A9D2B1" w14:textId="2904C69D" w:rsidR="003D5855" w:rsidRDefault="003D5855">
      <w:pPr>
        <w:rPr>
          <w:rFonts w:ascii="Times New Roman" w:hAnsi="Times New Roman" w:cs="Times New Roman"/>
          <w:sz w:val="20"/>
          <w:szCs w:val="20"/>
        </w:rPr>
      </w:pPr>
    </w:p>
    <w:p w14:paraId="03E338C9" w14:textId="2796DDD5" w:rsidR="003D5855" w:rsidRDefault="003D5855">
      <w:pPr>
        <w:rPr>
          <w:rFonts w:ascii="Times New Roman" w:hAnsi="Times New Roman" w:cs="Times New Roman"/>
          <w:sz w:val="20"/>
          <w:szCs w:val="20"/>
        </w:rPr>
      </w:pPr>
      <w:r>
        <w:rPr>
          <w:rFonts w:ascii="Times New Roman" w:hAnsi="Times New Roman" w:cs="Times New Roman"/>
          <w:sz w:val="20"/>
          <w:szCs w:val="20"/>
        </w:rPr>
        <w:br w:type="page"/>
      </w:r>
    </w:p>
    <w:p w14:paraId="0B501925" w14:textId="45AC1FAC" w:rsidR="008D5139" w:rsidRPr="008D5139" w:rsidRDefault="008D5139" w:rsidP="0085533D">
      <w:pPr>
        <w:pStyle w:val="Heading1"/>
        <w:spacing w:line="360" w:lineRule="auto"/>
      </w:pPr>
      <w:bookmarkStart w:id="1" w:name="_Toc80602199"/>
      <w:r w:rsidRPr="008D5139">
        <w:lastRenderedPageBreak/>
        <w:t>Border management and economics</w:t>
      </w:r>
      <w:bookmarkEnd w:id="1"/>
    </w:p>
    <w:p w14:paraId="48D259C4" w14:textId="39E22650" w:rsidR="000F51E3" w:rsidRDefault="00AE4A44" w:rsidP="0085533D">
      <w:pPr>
        <w:spacing w:after="160" w:line="360" w:lineRule="auto"/>
        <w:rPr>
          <w:rFonts w:ascii="Times New Roman" w:hAnsi="Times New Roman" w:cs="Times New Roman"/>
        </w:rPr>
      </w:pPr>
      <w:r>
        <w:rPr>
          <w:rFonts w:ascii="Times New Roman" w:hAnsi="Times New Roman" w:cs="Times New Roman"/>
        </w:rPr>
        <w:t>The management of people at the border includes legal and illegal approaches</w:t>
      </w:r>
      <w:r w:rsidR="008D5139" w:rsidRPr="008D5139">
        <w:rPr>
          <w:rFonts w:ascii="Times New Roman" w:hAnsi="Times New Roman" w:cs="Times New Roman"/>
        </w:rPr>
        <w:t xml:space="preserve"> at Ports of Entry (POEs) and the typically </w:t>
      </w:r>
      <w:r w:rsidR="00970F62">
        <w:rPr>
          <w:rFonts w:ascii="Times New Roman" w:hAnsi="Times New Roman" w:cs="Times New Roman"/>
        </w:rPr>
        <w:t xml:space="preserve">undocumented or </w:t>
      </w:r>
      <w:r w:rsidR="008D5139" w:rsidRPr="008D5139">
        <w:rPr>
          <w:rFonts w:ascii="Times New Roman" w:hAnsi="Times New Roman" w:cs="Times New Roman"/>
        </w:rPr>
        <w:t>illegal attempts to cross between POEs.  The vast majority of those approaching the border</w:t>
      </w:r>
      <w:r w:rsidR="00EC5511">
        <w:rPr>
          <w:rFonts w:ascii="Times New Roman" w:hAnsi="Times New Roman" w:cs="Times New Roman"/>
        </w:rPr>
        <w:t xml:space="preserve"> </w:t>
      </w:r>
      <w:r w:rsidR="008D5139" w:rsidRPr="008D5139">
        <w:rPr>
          <w:rFonts w:ascii="Times New Roman" w:hAnsi="Times New Roman" w:cs="Times New Roman"/>
        </w:rPr>
        <w:t xml:space="preserve">represent the </w:t>
      </w:r>
      <w:r w:rsidR="00A77ED2">
        <w:rPr>
          <w:rFonts w:ascii="Times New Roman" w:hAnsi="Times New Roman" w:cs="Times New Roman"/>
        </w:rPr>
        <w:t>admissible</w:t>
      </w:r>
      <w:r w:rsidR="008D5139" w:rsidRPr="008D5139">
        <w:rPr>
          <w:rFonts w:ascii="Times New Roman" w:hAnsi="Times New Roman" w:cs="Times New Roman"/>
        </w:rPr>
        <w:t xml:space="preserve"> </w:t>
      </w:r>
      <w:r w:rsidR="00A77ED2">
        <w:rPr>
          <w:rFonts w:ascii="Times New Roman" w:hAnsi="Times New Roman" w:cs="Times New Roman"/>
        </w:rPr>
        <w:t>flows</w:t>
      </w:r>
      <w:r w:rsidR="008D5139" w:rsidRPr="008D5139">
        <w:rPr>
          <w:rFonts w:ascii="Times New Roman" w:hAnsi="Times New Roman" w:cs="Times New Roman"/>
        </w:rPr>
        <w:t xml:space="preserve"> of travelers and workers with documentation, </w:t>
      </w:r>
      <w:r w:rsidR="00A77ED2">
        <w:rPr>
          <w:rFonts w:ascii="Times New Roman" w:hAnsi="Times New Roman" w:cs="Times New Roman"/>
        </w:rPr>
        <w:t>even if</w:t>
      </w:r>
      <w:r w:rsidR="008D5139" w:rsidRPr="008D5139">
        <w:rPr>
          <w:rFonts w:ascii="Times New Roman" w:hAnsi="Times New Roman" w:cs="Times New Roman"/>
        </w:rPr>
        <w:t xml:space="preserve"> some later violate terms of their entry.  Other cases can be more complex such as </w:t>
      </w:r>
      <w:r w:rsidR="00970F62">
        <w:rPr>
          <w:rFonts w:ascii="Times New Roman" w:hAnsi="Times New Roman" w:cs="Times New Roman"/>
        </w:rPr>
        <w:t>undocumented</w:t>
      </w:r>
      <w:r w:rsidR="008D5139" w:rsidRPr="008D5139">
        <w:rPr>
          <w:rFonts w:ascii="Times New Roman" w:hAnsi="Times New Roman" w:cs="Times New Roman"/>
        </w:rPr>
        <w:t xml:space="preserve"> people seeking asylum and various categories of inadmissibility including criminals and illegal attempts to cross the border.   This analysis focuses on </w:t>
      </w:r>
      <w:r>
        <w:rPr>
          <w:rFonts w:ascii="Times New Roman" w:hAnsi="Times New Roman" w:cs="Times New Roman"/>
        </w:rPr>
        <w:t>those</w:t>
      </w:r>
      <w:r w:rsidR="008D5139" w:rsidRPr="008D5139">
        <w:rPr>
          <w:rFonts w:ascii="Times New Roman" w:hAnsi="Times New Roman" w:cs="Times New Roman"/>
        </w:rPr>
        <w:t xml:space="preserve"> who are initially identified as inadmissible, </w:t>
      </w:r>
      <w:r>
        <w:rPr>
          <w:rFonts w:ascii="Times New Roman" w:hAnsi="Times New Roman" w:cs="Times New Roman"/>
        </w:rPr>
        <w:t>about 1 million</w:t>
      </w:r>
      <w:r w:rsidR="000F51E3">
        <w:rPr>
          <w:rFonts w:ascii="Times New Roman" w:hAnsi="Times New Roman" w:cs="Times New Roman"/>
        </w:rPr>
        <w:t xml:space="preserve"> in the base year of this analysis, 2017.  </w:t>
      </w:r>
      <w:r w:rsidR="008D5139" w:rsidRPr="008D5139">
        <w:rPr>
          <w:rFonts w:ascii="Times New Roman" w:hAnsi="Times New Roman" w:cs="Times New Roman"/>
        </w:rPr>
        <w:t>Many of these</w:t>
      </w:r>
      <w:r w:rsidR="000F51E3">
        <w:rPr>
          <w:rFonts w:ascii="Times New Roman" w:hAnsi="Times New Roman" w:cs="Times New Roman"/>
        </w:rPr>
        <w:t xml:space="preserve"> individuals</w:t>
      </w:r>
      <w:r w:rsidR="008D5139" w:rsidRPr="008D5139">
        <w:rPr>
          <w:rFonts w:ascii="Times New Roman" w:hAnsi="Times New Roman" w:cs="Times New Roman"/>
        </w:rPr>
        <w:t xml:space="preserve"> are at the southern US border that has a long history intertwined with immigration, legal and illegal work, and humanitarian policy involving refugees and asylum seekers. </w:t>
      </w:r>
    </w:p>
    <w:p w14:paraId="1BC9A3EA" w14:textId="05898C70" w:rsidR="000F51E3" w:rsidRPr="008D5139" w:rsidRDefault="000F51E3" w:rsidP="0085533D">
      <w:pPr>
        <w:spacing w:after="160" w:line="360" w:lineRule="auto"/>
        <w:rPr>
          <w:rFonts w:ascii="Times New Roman" w:hAnsi="Times New Roman" w:cs="Times New Roman"/>
        </w:rPr>
      </w:pPr>
      <w:r>
        <w:rPr>
          <w:rFonts w:ascii="Times New Roman" w:hAnsi="Times New Roman" w:cs="Times New Roman"/>
        </w:rPr>
        <w:t>B</w:t>
      </w:r>
      <w:r w:rsidRPr="008D5139">
        <w:rPr>
          <w:rFonts w:ascii="Times New Roman" w:hAnsi="Times New Roman" w:cs="Times New Roman"/>
        </w:rPr>
        <w:t>order management has elements of standard economics where inputs are combined to produce multiple outcomes including screening and treatment among adults, families, children, criminals, get-aways and turn-back</w:t>
      </w:r>
      <w:r>
        <w:rPr>
          <w:rFonts w:ascii="Times New Roman" w:hAnsi="Times New Roman" w:cs="Times New Roman"/>
        </w:rPr>
        <w:t>s--</w:t>
      </w:r>
      <w:r w:rsidRPr="008D5139">
        <w:rPr>
          <w:rFonts w:ascii="Times New Roman" w:hAnsi="Times New Roman" w:cs="Times New Roman"/>
        </w:rPr>
        <w:t xml:space="preserve"> some of whom who may try to re-cross </w:t>
      </w:r>
      <w:proofErr w:type="gramStart"/>
      <w:r w:rsidR="00371323">
        <w:rPr>
          <w:rFonts w:ascii="Times New Roman" w:hAnsi="Times New Roman" w:cs="Times New Roman"/>
        </w:rPr>
        <w:t>at a later time</w:t>
      </w:r>
      <w:proofErr w:type="gramEnd"/>
      <w:r w:rsidRPr="008D5139">
        <w:rPr>
          <w:rFonts w:ascii="Times New Roman" w:hAnsi="Times New Roman" w:cs="Times New Roman"/>
        </w:rPr>
        <w:t xml:space="preserve">.  Different </w:t>
      </w:r>
      <w:r>
        <w:rPr>
          <w:rFonts w:ascii="Times New Roman" w:hAnsi="Times New Roman" w:cs="Times New Roman"/>
        </w:rPr>
        <w:t xml:space="preserve">management </w:t>
      </w:r>
      <w:r w:rsidRPr="008D5139">
        <w:rPr>
          <w:rFonts w:ascii="Times New Roman" w:hAnsi="Times New Roman" w:cs="Times New Roman"/>
        </w:rPr>
        <w:t>technologies</w:t>
      </w:r>
      <w:r>
        <w:rPr>
          <w:rFonts w:ascii="Times New Roman" w:hAnsi="Times New Roman" w:cs="Times New Roman"/>
        </w:rPr>
        <w:t>, including different policies,</w:t>
      </w:r>
      <w:r w:rsidRPr="008D5139">
        <w:rPr>
          <w:rFonts w:ascii="Times New Roman" w:hAnsi="Times New Roman" w:cs="Times New Roman"/>
        </w:rPr>
        <w:t xml:space="preserve"> can affect probabilities </w:t>
      </w:r>
      <w:r>
        <w:rPr>
          <w:rFonts w:ascii="Times New Roman" w:hAnsi="Times New Roman" w:cs="Times New Roman"/>
        </w:rPr>
        <w:t xml:space="preserve">and value </w:t>
      </w:r>
      <w:r w:rsidRPr="008D5139">
        <w:rPr>
          <w:rFonts w:ascii="Times New Roman" w:hAnsi="Times New Roman" w:cs="Times New Roman"/>
        </w:rPr>
        <w:t>of these outcomes</w:t>
      </w:r>
      <w:r>
        <w:rPr>
          <w:rFonts w:ascii="Times New Roman" w:hAnsi="Times New Roman" w:cs="Times New Roman"/>
        </w:rPr>
        <w:t>.  This research is the first to value</w:t>
      </w:r>
      <w:r w:rsidR="007366CD">
        <w:rPr>
          <w:rFonts w:ascii="Times New Roman" w:hAnsi="Times New Roman" w:cs="Times New Roman"/>
        </w:rPr>
        <w:t xml:space="preserve"> and synthesize</w:t>
      </w:r>
      <w:r>
        <w:rPr>
          <w:rFonts w:ascii="Times New Roman" w:hAnsi="Times New Roman" w:cs="Times New Roman"/>
        </w:rPr>
        <w:t xml:space="preserve">, using benefit-cost principles, the numerous outcomes </w:t>
      </w:r>
      <w:r w:rsidR="007366CD">
        <w:rPr>
          <w:rFonts w:ascii="Times New Roman" w:hAnsi="Times New Roman" w:cs="Times New Roman"/>
        </w:rPr>
        <w:t xml:space="preserve">at </w:t>
      </w:r>
      <w:r>
        <w:rPr>
          <w:rFonts w:ascii="Times New Roman" w:hAnsi="Times New Roman" w:cs="Times New Roman"/>
        </w:rPr>
        <w:t>the border and to estimate the net present value of border control activities.  The results inform both the aggregate net benefit</w:t>
      </w:r>
      <w:r w:rsidR="007366CD">
        <w:rPr>
          <w:rFonts w:ascii="Times New Roman" w:hAnsi="Times New Roman" w:cs="Times New Roman"/>
        </w:rPr>
        <w:t xml:space="preserve"> of policy in 2017, the residual un-managed costs, and more detailed debates about the value of successful asylees, removed criminals, and fiscal effects.  </w:t>
      </w:r>
      <w:r w:rsidR="00371323">
        <w:rPr>
          <w:rFonts w:ascii="Times New Roman" w:hAnsi="Times New Roman" w:cs="Times New Roman"/>
        </w:rPr>
        <w:t>The net benefits of illustrative potential policies are also explored but nothing definitive can be stated about future policies</w:t>
      </w:r>
      <w:r w:rsidR="00371323" w:rsidRPr="00371323">
        <w:rPr>
          <w:rFonts w:ascii="Times New Roman" w:hAnsi="Times New Roman" w:cs="Times New Roman"/>
        </w:rPr>
        <w:t xml:space="preserve"> </w:t>
      </w:r>
      <w:r w:rsidR="00371323">
        <w:rPr>
          <w:rFonts w:ascii="Times New Roman" w:hAnsi="Times New Roman" w:cs="Times New Roman"/>
        </w:rPr>
        <w:t xml:space="preserve">in the absence of cost </w:t>
      </w:r>
      <w:r w:rsidR="00E87BBA">
        <w:rPr>
          <w:rFonts w:ascii="Times New Roman" w:hAnsi="Times New Roman" w:cs="Times New Roman"/>
        </w:rPr>
        <w:t xml:space="preserve">and specific effectiveness </w:t>
      </w:r>
      <w:r w:rsidR="00371323">
        <w:rPr>
          <w:rFonts w:ascii="Times New Roman" w:hAnsi="Times New Roman" w:cs="Times New Roman"/>
        </w:rPr>
        <w:t>information.</w:t>
      </w:r>
    </w:p>
    <w:p w14:paraId="61C4E301" w14:textId="6A4263F9" w:rsidR="008D5139" w:rsidRPr="008D5139" w:rsidRDefault="00745627" w:rsidP="0085533D">
      <w:pPr>
        <w:spacing w:after="160" w:line="360" w:lineRule="auto"/>
        <w:rPr>
          <w:rFonts w:ascii="Times New Roman" w:hAnsi="Times New Roman" w:cs="Times New Roman"/>
        </w:rPr>
      </w:pPr>
      <w:r w:rsidRPr="00851711">
        <w:rPr>
          <w:rFonts w:ascii="Times New Roman" w:hAnsi="Times New Roman" w:cs="Times New Roman"/>
        </w:rPr>
        <w:t xml:space="preserve">The economics of border management </w:t>
      </w:r>
      <w:r w:rsidR="007366CD">
        <w:rPr>
          <w:rFonts w:ascii="Times New Roman" w:hAnsi="Times New Roman" w:cs="Times New Roman"/>
        </w:rPr>
        <w:t>references</w:t>
      </w:r>
      <w:r w:rsidRPr="00851711">
        <w:rPr>
          <w:rFonts w:ascii="Times New Roman" w:hAnsi="Times New Roman" w:cs="Times New Roman"/>
        </w:rPr>
        <w:t xml:space="preserve"> </w:t>
      </w:r>
      <w:r w:rsidR="00570332" w:rsidRPr="00851711">
        <w:rPr>
          <w:rFonts w:ascii="Times New Roman" w:hAnsi="Times New Roman" w:cs="Times New Roman"/>
        </w:rPr>
        <w:t>many</w:t>
      </w:r>
      <w:r w:rsidRPr="00851711">
        <w:rPr>
          <w:rFonts w:ascii="Times New Roman" w:hAnsi="Times New Roman" w:cs="Times New Roman"/>
        </w:rPr>
        <w:t xml:space="preserve"> </w:t>
      </w:r>
      <w:r w:rsidR="00570332" w:rsidRPr="00851711">
        <w:rPr>
          <w:rFonts w:ascii="Times New Roman" w:hAnsi="Times New Roman" w:cs="Times New Roman"/>
        </w:rPr>
        <w:t>literature</w:t>
      </w:r>
      <w:r w:rsidR="00710E60">
        <w:rPr>
          <w:rFonts w:ascii="Times New Roman" w:hAnsi="Times New Roman" w:cs="Times New Roman"/>
        </w:rPr>
        <w:t>s</w:t>
      </w:r>
      <w:r w:rsidRPr="00851711">
        <w:rPr>
          <w:rFonts w:ascii="Times New Roman" w:hAnsi="Times New Roman" w:cs="Times New Roman"/>
        </w:rPr>
        <w:t>.  Perhaps most directly related are studies of immigration economics such as th</w:t>
      </w:r>
      <w:r w:rsidR="007D1259" w:rsidRPr="00851711">
        <w:rPr>
          <w:rFonts w:ascii="Times New Roman" w:hAnsi="Times New Roman" w:cs="Times New Roman"/>
        </w:rPr>
        <w:t>ose by the National Academy of Science</w:t>
      </w:r>
      <w:r w:rsidRPr="00851711">
        <w:rPr>
          <w:rFonts w:ascii="Times New Roman" w:hAnsi="Times New Roman" w:cs="Times New Roman"/>
        </w:rPr>
        <w:t xml:space="preserve"> (</w:t>
      </w:r>
      <w:r w:rsidR="007D1259" w:rsidRPr="00851711">
        <w:rPr>
          <w:rFonts w:ascii="Times New Roman" w:hAnsi="Times New Roman" w:cs="Times New Roman"/>
        </w:rPr>
        <w:t>2017</w:t>
      </w:r>
      <w:r w:rsidRPr="00851711">
        <w:rPr>
          <w:rFonts w:ascii="Times New Roman" w:hAnsi="Times New Roman" w:cs="Times New Roman"/>
        </w:rPr>
        <w:t xml:space="preserve">), </w:t>
      </w:r>
      <w:proofErr w:type="spellStart"/>
      <w:r w:rsidRPr="00851711">
        <w:rPr>
          <w:rFonts w:ascii="Times New Roman" w:hAnsi="Times New Roman" w:cs="Times New Roman"/>
        </w:rPr>
        <w:t>Borjas</w:t>
      </w:r>
      <w:proofErr w:type="spellEnd"/>
      <w:r w:rsidRPr="00851711">
        <w:rPr>
          <w:rFonts w:ascii="Times New Roman" w:hAnsi="Times New Roman" w:cs="Times New Roman"/>
        </w:rPr>
        <w:t xml:space="preserve"> (</w:t>
      </w:r>
      <w:r w:rsidR="007D1259" w:rsidRPr="00851711">
        <w:rPr>
          <w:rFonts w:ascii="Times New Roman" w:hAnsi="Times New Roman" w:cs="Times New Roman"/>
        </w:rPr>
        <w:t>2014</w:t>
      </w:r>
      <w:r w:rsidRPr="00851711">
        <w:rPr>
          <w:rFonts w:ascii="Times New Roman" w:hAnsi="Times New Roman" w:cs="Times New Roman"/>
        </w:rPr>
        <w:t>), W</w:t>
      </w:r>
      <w:r w:rsidR="00B95476" w:rsidRPr="00851711">
        <w:rPr>
          <w:rFonts w:ascii="Times New Roman" w:hAnsi="Times New Roman" w:cs="Times New Roman"/>
        </w:rPr>
        <w:t>est</w:t>
      </w:r>
      <w:r w:rsidRPr="00851711">
        <w:rPr>
          <w:rFonts w:ascii="Times New Roman" w:hAnsi="Times New Roman" w:cs="Times New Roman"/>
        </w:rPr>
        <w:t xml:space="preserve"> (</w:t>
      </w:r>
      <w:r w:rsidR="00A92650" w:rsidRPr="00851711">
        <w:rPr>
          <w:rFonts w:ascii="Times New Roman" w:hAnsi="Times New Roman" w:cs="Times New Roman"/>
        </w:rPr>
        <w:t xml:space="preserve">2011), </w:t>
      </w:r>
      <w:proofErr w:type="spellStart"/>
      <w:r w:rsidRPr="00851711">
        <w:rPr>
          <w:rFonts w:ascii="Times New Roman" w:hAnsi="Times New Roman" w:cs="Times New Roman"/>
        </w:rPr>
        <w:t>Karoly</w:t>
      </w:r>
      <w:proofErr w:type="spellEnd"/>
      <w:r w:rsidR="007D1259" w:rsidRPr="00851711">
        <w:rPr>
          <w:rFonts w:ascii="Times New Roman" w:hAnsi="Times New Roman" w:cs="Times New Roman"/>
        </w:rPr>
        <w:t xml:space="preserve"> and </w:t>
      </w:r>
      <w:r w:rsidR="007D1259" w:rsidRPr="00851711">
        <w:rPr>
          <w:rFonts w:ascii="Times New Roman" w:hAnsi="Times New Roman" w:cs="Times New Roman"/>
        </w:rPr>
        <w:lastRenderedPageBreak/>
        <w:t>Perez-Arce</w:t>
      </w:r>
      <w:r w:rsidRPr="00851711">
        <w:rPr>
          <w:rFonts w:ascii="Times New Roman" w:hAnsi="Times New Roman" w:cs="Times New Roman"/>
        </w:rPr>
        <w:t xml:space="preserve"> (</w:t>
      </w:r>
      <w:r w:rsidR="007D1259" w:rsidRPr="00851711">
        <w:rPr>
          <w:rFonts w:ascii="Times New Roman" w:hAnsi="Times New Roman" w:cs="Times New Roman"/>
        </w:rPr>
        <w:t>2016</w:t>
      </w:r>
      <w:r w:rsidRPr="00851711">
        <w:rPr>
          <w:rFonts w:ascii="Times New Roman" w:hAnsi="Times New Roman" w:cs="Times New Roman"/>
        </w:rPr>
        <w:t>)</w:t>
      </w:r>
      <w:r w:rsidR="00A92650" w:rsidRPr="00851711">
        <w:rPr>
          <w:rFonts w:ascii="Times New Roman" w:hAnsi="Times New Roman" w:cs="Times New Roman"/>
        </w:rPr>
        <w:t xml:space="preserve"> and</w:t>
      </w:r>
      <w:r w:rsidRPr="00851711">
        <w:rPr>
          <w:rFonts w:ascii="Times New Roman" w:hAnsi="Times New Roman" w:cs="Times New Roman"/>
        </w:rPr>
        <w:t xml:space="preserve"> </w:t>
      </w:r>
      <w:r w:rsidR="00A92650" w:rsidRPr="00851711">
        <w:rPr>
          <w:rFonts w:ascii="Times New Roman" w:hAnsi="Times New Roman" w:cs="Times New Roman"/>
        </w:rPr>
        <w:t xml:space="preserve">CBO (2007) </w:t>
      </w:r>
      <w:r w:rsidRPr="00851711">
        <w:rPr>
          <w:rFonts w:ascii="Times New Roman" w:hAnsi="Times New Roman" w:cs="Times New Roman"/>
        </w:rPr>
        <w:t>that look at outcomes inside a country or state</w:t>
      </w:r>
      <w:r w:rsidR="00570332" w:rsidRPr="00851711">
        <w:rPr>
          <w:rFonts w:ascii="Times New Roman" w:hAnsi="Times New Roman" w:cs="Times New Roman"/>
        </w:rPr>
        <w:t xml:space="preserve"> and not uniquely at the border</w:t>
      </w:r>
      <w:r w:rsidRPr="00851711">
        <w:rPr>
          <w:rFonts w:ascii="Times New Roman" w:hAnsi="Times New Roman" w:cs="Times New Roman"/>
        </w:rPr>
        <w:t xml:space="preserve">.  These studies identify the generally positive contribution of immigrants to economic </w:t>
      </w:r>
      <w:r w:rsidR="00562A6B" w:rsidRPr="00851711">
        <w:rPr>
          <w:rFonts w:ascii="Times New Roman" w:hAnsi="Times New Roman" w:cs="Times New Roman"/>
        </w:rPr>
        <w:t>activity and growth</w:t>
      </w:r>
      <w:r w:rsidRPr="00851711">
        <w:rPr>
          <w:rFonts w:ascii="Times New Roman" w:hAnsi="Times New Roman" w:cs="Times New Roman"/>
        </w:rPr>
        <w:t xml:space="preserve"> while </w:t>
      </w:r>
      <w:r w:rsidR="00570332" w:rsidRPr="00851711">
        <w:rPr>
          <w:rFonts w:ascii="Times New Roman" w:hAnsi="Times New Roman" w:cs="Times New Roman"/>
        </w:rPr>
        <w:t xml:space="preserve">investigating </w:t>
      </w:r>
      <w:r w:rsidRPr="00851711">
        <w:rPr>
          <w:rFonts w:ascii="Times New Roman" w:hAnsi="Times New Roman" w:cs="Times New Roman"/>
        </w:rPr>
        <w:t>distributional consequences in labor markets</w:t>
      </w:r>
      <w:r w:rsidR="00570332" w:rsidRPr="00851711">
        <w:rPr>
          <w:rFonts w:ascii="Times New Roman" w:hAnsi="Times New Roman" w:cs="Times New Roman"/>
        </w:rPr>
        <w:t xml:space="preserve"> and fiscal impacts at the federal and state levels</w:t>
      </w:r>
      <w:r w:rsidRPr="00851711">
        <w:rPr>
          <w:rFonts w:ascii="Times New Roman" w:hAnsi="Times New Roman" w:cs="Times New Roman"/>
        </w:rPr>
        <w:t xml:space="preserve">.  </w:t>
      </w:r>
      <w:r w:rsidR="00BF1A15" w:rsidRPr="00851711">
        <w:rPr>
          <w:rFonts w:ascii="Times New Roman" w:hAnsi="Times New Roman" w:cs="Times New Roman"/>
        </w:rPr>
        <w:t xml:space="preserve">The socio-economic demographics of immigrants </w:t>
      </w:r>
      <w:r w:rsidR="00570332" w:rsidRPr="00851711">
        <w:rPr>
          <w:rFonts w:ascii="Times New Roman" w:hAnsi="Times New Roman" w:cs="Times New Roman"/>
        </w:rPr>
        <w:t xml:space="preserve">also </w:t>
      </w:r>
      <w:r w:rsidR="00BF1A15" w:rsidRPr="00851711">
        <w:rPr>
          <w:rFonts w:ascii="Times New Roman" w:hAnsi="Times New Roman" w:cs="Times New Roman"/>
        </w:rPr>
        <w:t xml:space="preserve">receive attention </w:t>
      </w:r>
      <w:r w:rsidR="00562A6B" w:rsidRPr="00851711">
        <w:rPr>
          <w:rFonts w:ascii="Times New Roman" w:hAnsi="Times New Roman" w:cs="Times New Roman"/>
        </w:rPr>
        <w:t xml:space="preserve">in this literature </w:t>
      </w:r>
      <w:r w:rsidR="00BF1A15" w:rsidRPr="00851711">
        <w:rPr>
          <w:rFonts w:ascii="Times New Roman" w:hAnsi="Times New Roman" w:cs="Times New Roman"/>
        </w:rPr>
        <w:t>including education levels and multi-generational dynamics</w:t>
      </w:r>
      <w:r w:rsidR="00562A6B" w:rsidRPr="00851711">
        <w:rPr>
          <w:rFonts w:ascii="Times New Roman" w:hAnsi="Times New Roman" w:cs="Times New Roman"/>
        </w:rPr>
        <w:t xml:space="preserve">.  </w:t>
      </w:r>
      <w:r w:rsidR="00BF1A15" w:rsidRPr="00851711">
        <w:rPr>
          <w:rFonts w:ascii="Times New Roman" w:hAnsi="Times New Roman" w:cs="Times New Roman"/>
        </w:rPr>
        <w:t xml:space="preserve">Other literatures are important </w:t>
      </w:r>
      <w:r w:rsidR="00562A6B" w:rsidRPr="00851711">
        <w:rPr>
          <w:rFonts w:ascii="Times New Roman" w:hAnsi="Times New Roman" w:cs="Times New Roman"/>
        </w:rPr>
        <w:t xml:space="preserve">for this study </w:t>
      </w:r>
      <w:r w:rsidR="00BF1A15" w:rsidRPr="00851711">
        <w:rPr>
          <w:rFonts w:ascii="Times New Roman" w:hAnsi="Times New Roman" w:cs="Times New Roman"/>
        </w:rPr>
        <w:t>such as those related to the costs of crime (</w:t>
      </w:r>
      <w:proofErr w:type="gramStart"/>
      <w:r w:rsidR="00E87BBA">
        <w:rPr>
          <w:rFonts w:ascii="Times New Roman" w:hAnsi="Times New Roman" w:cs="Times New Roman"/>
        </w:rPr>
        <w:t>e.g.</w:t>
      </w:r>
      <w:proofErr w:type="gramEnd"/>
      <w:r w:rsidR="00E87BBA">
        <w:rPr>
          <w:rFonts w:ascii="Times New Roman" w:hAnsi="Times New Roman" w:cs="Times New Roman"/>
        </w:rPr>
        <w:t xml:space="preserve"> </w:t>
      </w:r>
      <w:r w:rsidR="00562A6B" w:rsidRPr="00851711">
        <w:rPr>
          <w:rFonts w:ascii="Times New Roman" w:hAnsi="Times New Roman" w:cs="Times New Roman"/>
        </w:rPr>
        <w:t xml:space="preserve">Cohen and </w:t>
      </w:r>
      <w:r w:rsidR="004E402D" w:rsidRPr="00851711">
        <w:rPr>
          <w:rFonts w:ascii="Times New Roman" w:hAnsi="Times New Roman" w:cs="Times New Roman"/>
        </w:rPr>
        <w:t>Piquero, 2009</w:t>
      </w:r>
      <w:r w:rsidR="00BF1A15" w:rsidRPr="00851711">
        <w:rPr>
          <w:rFonts w:ascii="Times New Roman" w:hAnsi="Times New Roman" w:cs="Times New Roman"/>
        </w:rPr>
        <w:t>), the value of a statistical life</w:t>
      </w:r>
      <w:r w:rsidR="00622A7E" w:rsidRPr="00851711">
        <w:rPr>
          <w:rFonts w:ascii="Times New Roman" w:hAnsi="Times New Roman" w:cs="Times New Roman"/>
        </w:rPr>
        <w:t xml:space="preserve"> (</w:t>
      </w:r>
      <w:r w:rsidR="00E87BBA">
        <w:rPr>
          <w:rFonts w:ascii="Times New Roman" w:hAnsi="Times New Roman" w:cs="Times New Roman"/>
        </w:rPr>
        <w:t xml:space="preserve">e.g. </w:t>
      </w:r>
      <w:proofErr w:type="spellStart"/>
      <w:r w:rsidR="00622A7E" w:rsidRPr="00851711">
        <w:rPr>
          <w:rFonts w:ascii="Times New Roman" w:hAnsi="Times New Roman" w:cs="Times New Roman"/>
        </w:rPr>
        <w:t>Viscusi</w:t>
      </w:r>
      <w:proofErr w:type="spellEnd"/>
      <w:r w:rsidR="00622A7E" w:rsidRPr="00851711">
        <w:rPr>
          <w:rFonts w:ascii="Times New Roman" w:hAnsi="Times New Roman" w:cs="Times New Roman"/>
        </w:rPr>
        <w:t xml:space="preserve"> and </w:t>
      </w:r>
      <w:proofErr w:type="spellStart"/>
      <w:r w:rsidR="00622A7E" w:rsidRPr="00851711">
        <w:rPr>
          <w:rFonts w:ascii="Times New Roman" w:hAnsi="Times New Roman" w:cs="Times New Roman"/>
        </w:rPr>
        <w:t>Masterman</w:t>
      </w:r>
      <w:proofErr w:type="spellEnd"/>
      <w:r w:rsidR="00562A6B" w:rsidRPr="00851711">
        <w:rPr>
          <w:rFonts w:ascii="Times New Roman" w:hAnsi="Times New Roman" w:cs="Times New Roman"/>
        </w:rPr>
        <w:t>, 2017</w:t>
      </w:r>
      <w:r w:rsidR="00622A7E" w:rsidRPr="00851711">
        <w:rPr>
          <w:rFonts w:ascii="Times New Roman" w:hAnsi="Times New Roman" w:cs="Times New Roman"/>
        </w:rPr>
        <w:t>)</w:t>
      </w:r>
      <w:r w:rsidR="00BF1A15" w:rsidRPr="00851711">
        <w:rPr>
          <w:rFonts w:ascii="Times New Roman" w:hAnsi="Times New Roman" w:cs="Times New Roman"/>
        </w:rPr>
        <w:t xml:space="preserve"> and administrative data on border management </w:t>
      </w:r>
      <w:r w:rsidR="004417A2" w:rsidRPr="00851711">
        <w:rPr>
          <w:rFonts w:ascii="Times New Roman" w:hAnsi="Times New Roman" w:cs="Times New Roman"/>
        </w:rPr>
        <w:t xml:space="preserve">including the treatment of children and families </w:t>
      </w:r>
      <w:r w:rsidR="00BF1A15" w:rsidRPr="00851711">
        <w:rPr>
          <w:rFonts w:ascii="Times New Roman" w:hAnsi="Times New Roman" w:cs="Times New Roman"/>
        </w:rPr>
        <w:t xml:space="preserve">(e.g. GAO, </w:t>
      </w:r>
      <w:r w:rsidR="00656F8C" w:rsidRPr="00851711">
        <w:rPr>
          <w:rFonts w:ascii="Times New Roman" w:hAnsi="Times New Roman" w:cs="Times New Roman"/>
        </w:rPr>
        <w:t>2020, 2021; DHS 2019, 2021;</w:t>
      </w:r>
      <w:r w:rsidR="004417A2" w:rsidRPr="00851711">
        <w:rPr>
          <w:rFonts w:ascii="Times New Roman" w:hAnsi="Times New Roman" w:cs="Times New Roman"/>
        </w:rPr>
        <w:t xml:space="preserve"> </w:t>
      </w:r>
      <w:r w:rsidR="00656F8C" w:rsidRPr="00851711">
        <w:rPr>
          <w:rFonts w:ascii="Times New Roman" w:hAnsi="Times New Roman" w:cs="Times New Roman"/>
        </w:rPr>
        <w:t>H</w:t>
      </w:r>
      <w:r w:rsidR="004417A2" w:rsidRPr="00851711">
        <w:rPr>
          <w:rFonts w:ascii="Times New Roman" w:hAnsi="Times New Roman" w:cs="Times New Roman"/>
        </w:rPr>
        <w:t xml:space="preserve">umane </w:t>
      </w:r>
      <w:r w:rsidR="00656F8C" w:rsidRPr="00851711">
        <w:rPr>
          <w:rFonts w:ascii="Times New Roman" w:hAnsi="Times New Roman" w:cs="Times New Roman"/>
        </w:rPr>
        <w:t>B</w:t>
      </w:r>
      <w:r w:rsidR="004417A2" w:rsidRPr="00851711">
        <w:rPr>
          <w:rFonts w:ascii="Times New Roman" w:hAnsi="Times New Roman" w:cs="Times New Roman"/>
        </w:rPr>
        <w:t>orders</w:t>
      </w:r>
      <w:r w:rsidR="00656F8C" w:rsidRPr="00851711">
        <w:rPr>
          <w:rFonts w:ascii="Times New Roman" w:hAnsi="Times New Roman" w:cs="Times New Roman"/>
        </w:rPr>
        <w:t>, 2021</w:t>
      </w:r>
      <w:r w:rsidR="00BF1A15" w:rsidRPr="00851711">
        <w:rPr>
          <w:rFonts w:ascii="Times New Roman" w:hAnsi="Times New Roman" w:cs="Times New Roman"/>
        </w:rPr>
        <w:t>).  In contrast to studies about all immigrants when in the US interior, a benefit-cost study of border management requires careful delineation of who has standin</w:t>
      </w:r>
      <w:r w:rsidR="00E87BBA">
        <w:rPr>
          <w:rFonts w:ascii="Times New Roman" w:hAnsi="Times New Roman" w:cs="Times New Roman"/>
        </w:rPr>
        <w:t>g--</w:t>
      </w:r>
      <w:r w:rsidR="00BF1A15" w:rsidRPr="00851711">
        <w:rPr>
          <w:rFonts w:ascii="Times New Roman" w:hAnsi="Times New Roman" w:cs="Times New Roman"/>
        </w:rPr>
        <w:t xml:space="preserve"> </w:t>
      </w:r>
      <w:r w:rsidR="00622A7E" w:rsidRPr="00851711">
        <w:rPr>
          <w:rFonts w:ascii="Times New Roman" w:hAnsi="Times New Roman" w:cs="Times New Roman"/>
        </w:rPr>
        <w:t xml:space="preserve">that is </w:t>
      </w:r>
      <w:r w:rsidR="00BF1A15" w:rsidRPr="00851711">
        <w:rPr>
          <w:rFonts w:ascii="Times New Roman" w:hAnsi="Times New Roman" w:cs="Times New Roman"/>
        </w:rPr>
        <w:t>whose benefits or costs are counted (</w:t>
      </w:r>
      <w:r w:rsidR="004E402D" w:rsidRPr="00851711">
        <w:rPr>
          <w:rFonts w:ascii="Times New Roman" w:hAnsi="Times New Roman" w:cs="Times New Roman"/>
        </w:rPr>
        <w:t xml:space="preserve">Whittington and </w:t>
      </w:r>
      <w:proofErr w:type="spellStart"/>
      <w:r w:rsidR="004E402D" w:rsidRPr="00851711">
        <w:rPr>
          <w:rFonts w:ascii="Times New Roman" w:hAnsi="Times New Roman" w:cs="Times New Roman"/>
        </w:rPr>
        <w:t>MacRae</w:t>
      </w:r>
      <w:proofErr w:type="spellEnd"/>
      <w:r w:rsidR="004E402D" w:rsidRPr="00851711">
        <w:rPr>
          <w:rFonts w:ascii="Times New Roman" w:hAnsi="Times New Roman" w:cs="Times New Roman"/>
        </w:rPr>
        <w:t>, 1990;</w:t>
      </w:r>
      <w:r w:rsidR="00BF1A15" w:rsidRPr="00851711">
        <w:rPr>
          <w:rFonts w:ascii="Times New Roman" w:hAnsi="Times New Roman" w:cs="Times New Roman"/>
        </w:rPr>
        <w:t xml:space="preserve"> OMB</w:t>
      </w:r>
      <w:r w:rsidR="004E402D" w:rsidRPr="00851711">
        <w:rPr>
          <w:rFonts w:ascii="Times New Roman" w:hAnsi="Times New Roman" w:cs="Times New Roman"/>
        </w:rPr>
        <w:t xml:space="preserve"> 1993, 2003</w:t>
      </w:r>
      <w:r w:rsidR="00BF1A15" w:rsidRPr="00851711">
        <w:rPr>
          <w:rFonts w:ascii="Times New Roman" w:hAnsi="Times New Roman" w:cs="Times New Roman"/>
        </w:rPr>
        <w:t xml:space="preserve">).  </w:t>
      </w:r>
      <w:r w:rsidR="00622A7E" w:rsidRPr="00851711">
        <w:rPr>
          <w:rFonts w:ascii="Times New Roman" w:hAnsi="Times New Roman" w:cs="Times New Roman"/>
        </w:rPr>
        <w:t xml:space="preserve">While this delineation may be offensive to some, it is designed to be consistent with current law and policy thus setting up </w:t>
      </w:r>
      <w:r w:rsidR="007366CD">
        <w:rPr>
          <w:rFonts w:ascii="Times New Roman" w:hAnsi="Times New Roman" w:cs="Times New Roman"/>
        </w:rPr>
        <w:t>analyses</w:t>
      </w:r>
      <w:r w:rsidR="00622A7E" w:rsidRPr="00851711">
        <w:rPr>
          <w:rFonts w:ascii="Times New Roman" w:hAnsi="Times New Roman" w:cs="Times New Roman"/>
        </w:rPr>
        <w:t xml:space="preserve"> of changes to law or policy.  </w:t>
      </w:r>
      <w:r w:rsidR="007366CD">
        <w:rPr>
          <w:rFonts w:ascii="Times New Roman" w:hAnsi="Times New Roman" w:cs="Times New Roman"/>
        </w:rPr>
        <w:t>F</w:t>
      </w:r>
      <w:r w:rsidR="007D1259" w:rsidRPr="00851711">
        <w:rPr>
          <w:rFonts w:ascii="Times New Roman" w:hAnsi="Times New Roman" w:cs="Times New Roman"/>
        </w:rPr>
        <w:t>urther</w:t>
      </w:r>
      <w:r w:rsidR="002804AB" w:rsidRPr="00851711">
        <w:rPr>
          <w:rFonts w:ascii="Times New Roman" w:hAnsi="Times New Roman" w:cs="Times New Roman"/>
        </w:rPr>
        <w:t xml:space="preserve"> </w:t>
      </w:r>
      <w:r w:rsidR="00570332" w:rsidRPr="00851711">
        <w:rPr>
          <w:rFonts w:ascii="Times New Roman" w:hAnsi="Times New Roman" w:cs="Times New Roman"/>
        </w:rPr>
        <w:t xml:space="preserve">literature </w:t>
      </w:r>
      <w:r w:rsidR="00656F8C" w:rsidRPr="00851711">
        <w:rPr>
          <w:rFonts w:ascii="Times New Roman" w:hAnsi="Times New Roman" w:cs="Times New Roman"/>
        </w:rPr>
        <w:t xml:space="preserve">details </w:t>
      </w:r>
      <w:r w:rsidR="00622A7E" w:rsidRPr="00851711">
        <w:rPr>
          <w:rFonts w:ascii="Times New Roman" w:hAnsi="Times New Roman" w:cs="Times New Roman"/>
        </w:rPr>
        <w:t>are discussed</w:t>
      </w:r>
      <w:r w:rsidR="007D1259" w:rsidRPr="00851711">
        <w:rPr>
          <w:rFonts w:ascii="Times New Roman" w:hAnsi="Times New Roman" w:cs="Times New Roman"/>
        </w:rPr>
        <w:t xml:space="preserve"> </w:t>
      </w:r>
      <w:r w:rsidR="00622A7E" w:rsidRPr="00851711">
        <w:rPr>
          <w:rFonts w:ascii="Times New Roman" w:hAnsi="Times New Roman" w:cs="Times New Roman"/>
        </w:rPr>
        <w:t xml:space="preserve">in the context of </w:t>
      </w:r>
      <w:r w:rsidR="00851711">
        <w:rPr>
          <w:rFonts w:ascii="Times New Roman" w:hAnsi="Times New Roman" w:cs="Times New Roman"/>
        </w:rPr>
        <w:t xml:space="preserve">specific </w:t>
      </w:r>
      <w:r w:rsidR="00622A7E" w:rsidRPr="00851711">
        <w:rPr>
          <w:rFonts w:ascii="Times New Roman" w:hAnsi="Times New Roman" w:cs="Times New Roman"/>
        </w:rPr>
        <w:t>estimation issues.</w:t>
      </w:r>
      <w:r w:rsidR="00570332" w:rsidRPr="00851711">
        <w:rPr>
          <w:rFonts w:ascii="Times New Roman" w:hAnsi="Times New Roman" w:cs="Times New Roman"/>
        </w:rPr>
        <w:t xml:space="preserve">  </w:t>
      </w:r>
      <w:r w:rsidR="008D5139" w:rsidRPr="008D5139">
        <w:rPr>
          <w:rFonts w:ascii="Times New Roman" w:hAnsi="Times New Roman" w:cs="Times New Roman"/>
        </w:rPr>
        <w:t xml:space="preserve">  </w:t>
      </w:r>
    </w:p>
    <w:p w14:paraId="1B451809" w14:textId="44B7C2F2" w:rsidR="00DA259A" w:rsidRPr="008D5139" w:rsidRDefault="008D5139" w:rsidP="0085533D">
      <w:pPr>
        <w:spacing w:after="160" w:line="360" w:lineRule="auto"/>
        <w:rPr>
          <w:rFonts w:ascii="Times New Roman" w:hAnsi="Times New Roman" w:cs="Times New Roman"/>
        </w:rPr>
      </w:pPr>
      <w:r w:rsidRPr="009054E2">
        <w:rPr>
          <w:rFonts w:ascii="Times New Roman" w:hAnsi="Times New Roman" w:cs="Times New Roman"/>
        </w:rPr>
        <w:t xml:space="preserve">The manuscript </w:t>
      </w:r>
      <w:r w:rsidR="009054E2">
        <w:rPr>
          <w:rFonts w:ascii="Times New Roman" w:hAnsi="Times New Roman" w:cs="Times New Roman"/>
        </w:rPr>
        <w:t xml:space="preserve">is organized </w:t>
      </w:r>
      <w:r w:rsidR="00E87BBA">
        <w:rPr>
          <w:rFonts w:ascii="Times New Roman" w:hAnsi="Times New Roman" w:cs="Times New Roman"/>
        </w:rPr>
        <w:t xml:space="preserve">as follows </w:t>
      </w:r>
      <w:r w:rsidR="009809F0">
        <w:rPr>
          <w:rFonts w:ascii="Times New Roman" w:hAnsi="Times New Roman" w:cs="Times New Roman"/>
        </w:rPr>
        <w:t>with</w:t>
      </w:r>
      <w:r w:rsidRPr="009054E2">
        <w:rPr>
          <w:rFonts w:ascii="Times New Roman" w:hAnsi="Times New Roman" w:cs="Times New Roman"/>
        </w:rPr>
        <w:t xml:space="preserve"> Section 2 present</w:t>
      </w:r>
      <w:r w:rsidR="009809F0">
        <w:rPr>
          <w:rFonts w:ascii="Times New Roman" w:hAnsi="Times New Roman" w:cs="Times New Roman"/>
        </w:rPr>
        <w:t>ing</w:t>
      </w:r>
      <w:r w:rsidRPr="009054E2">
        <w:rPr>
          <w:rFonts w:ascii="Times New Roman" w:hAnsi="Times New Roman" w:cs="Times New Roman"/>
        </w:rPr>
        <w:t xml:space="preserve"> the analytical framework</w:t>
      </w:r>
      <w:r w:rsidR="009054E2">
        <w:rPr>
          <w:rFonts w:ascii="Times New Roman" w:hAnsi="Times New Roman" w:cs="Times New Roman"/>
        </w:rPr>
        <w:t>,</w:t>
      </w:r>
      <w:r w:rsidR="00851711" w:rsidRPr="009054E2">
        <w:rPr>
          <w:rFonts w:ascii="Times New Roman" w:hAnsi="Times New Roman" w:cs="Times New Roman"/>
        </w:rPr>
        <w:t xml:space="preserve"> </w:t>
      </w:r>
      <w:r w:rsidRPr="009054E2">
        <w:rPr>
          <w:rFonts w:ascii="Times New Roman" w:hAnsi="Times New Roman" w:cs="Times New Roman"/>
        </w:rPr>
        <w:t xml:space="preserve">Section 3 </w:t>
      </w:r>
      <w:r w:rsidR="009054E2">
        <w:rPr>
          <w:rFonts w:ascii="Times New Roman" w:hAnsi="Times New Roman" w:cs="Times New Roman"/>
        </w:rPr>
        <w:t>review</w:t>
      </w:r>
      <w:r w:rsidR="009809F0">
        <w:rPr>
          <w:rFonts w:ascii="Times New Roman" w:hAnsi="Times New Roman" w:cs="Times New Roman"/>
        </w:rPr>
        <w:t>ing</w:t>
      </w:r>
      <w:r w:rsidR="00710E60" w:rsidRPr="009054E2">
        <w:rPr>
          <w:rFonts w:ascii="Times New Roman" w:hAnsi="Times New Roman" w:cs="Times New Roman"/>
        </w:rPr>
        <w:t xml:space="preserve"> </w:t>
      </w:r>
      <w:r w:rsidR="009054E2">
        <w:rPr>
          <w:rFonts w:ascii="Times New Roman" w:hAnsi="Times New Roman" w:cs="Times New Roman"/>
        </w:rPr>
        <w:t>the frequency of the outcomes</w:t>
      </w:r>
      <w:r w:rsidR="00710E60" w:rsidRPr="009054E2">
        <w:rPr>
          <w:rFonts w:ascii="Times New Roman" w:hAnsi="Times New Roman" w:cs="Times New Roman"/>
        </w:rPr>
        <w:t xml:space="preserve"> and the base case for</w:t>
      </w:r>
      <w:r w:rsidR="008F7C9F" w:rsidRPr="009054E2">
        <w:rPr>
          <w:rFonts w:ascii="Times New Roman" w:hAnsi="Times New Roman" w:cs="Times New Roman"/>
        </w:rPr>
        <w:t xml:space="preserve"> 2017</w:t>
      </w:r>
      <w:r w:rsidRPr="009054E2">
        <w:rPr>
          <w:rFonts w:ascii="Times New Roman" w:hAnsi="Times New Roman" w:cs="Times New Roman"/>
        </w:rPr>
        <w:t xml:space="preserve">, Section 4 </w:t>
      </w:r>
      <w:r w:rsidR="008F7C9F" w:rsidRPr="009054E2">
        <w:rPr>
          <w:rFonts w:ascii="Times New Roman" w:hAnsi="Times New Roman" w:cs="Times New Roman"/>
        </w:rPr>
        <w:t>present</w:t>
      </w:r>
      <w:r w:rsidR="009809F0">
        <w:rPr>
          <w:rFonts w:ascii="Times New Roman" w:hAnsi="Times New Roman" w:cs="Times New Roman"/>
        </w:rPr>
        <w:t xml:space="preserve">ing </w:t>
      </w:r>
      <w:r w:rsidRPr="009054E2">
        <w:rPr>
          <w:rFonts w:ascii="Times New Roman" w:hAnsi="Times New Roman" w:cs="Times New Roman"/>
        </w:rPr>
        <w:t xml:space="preserve">major estimation </w:t>
      </w:r>
      <w:r w:rsidR="008F7C9F" w:rsidRPr="009054E2">
        <w:rPr>
          <w:rFonts w:ascii="Times New Roman" w:hAnsi="Times New Roman" w:cs="Times New Roman"/>
        </w:rPr>
        <w:t>issues, their literature</w:t>
      </w:r>
      <w:r w:rsidRPr="009054E2">
        <w:rPr>
          <w:rFonts w:ascii="Times New Roman" w:hAnsi="Times New Roman" w:cs="Times New Roman"/>
        </w:rPr>
        <w:t xml:space="preserve"> and </w:t>
      </w:r>
      <w:r w:rsidR="009054E2">
        <w:rPr>
          <w:rFonts w:ascii="Times New Roman" w:hAnsi="Times New Roman" w:cs="Times New Roman"/>
        </w:rPr>
        <w:t>valuation estimates</w:t>
      </w:r>
      <w:r w:rsidRPr="009054E2">
        <w:rPr>
          <w:rFonts w:ascii="Times New Roman" w:hAnsi="Times New Roman" w:cs="Times New Roman"/>
        </w:rPr>
        <w:t xml:space="preserve">, Section 5 </w:t>
      </w:r>
      <w:r w:rsidR="009054E2">
        <w:rPr>
          <w:rFonts w:ascii="Times New Roman" w:hAnsi="Times New Roman" w:cs="Times New Roman"/>
        </w:rPr>
        <w:t>report</w:t>
      </w:r>
      <w:r w:rsidR="009809F0">
        <w:rPr>
          <w:rFonts w:ascii="Times New Roman" w:hAnsi="Times New Roman" w:cs="Times New Roman"/>
        </w:rPr>
        <w:t>ing</w:t>
      </w:r>
      <w:r w:rsidRPr="009054E2">
        <w:rPr>
          <w:rFonts w:ascii="Times New Roman" w:hAnsi="Times New Roman" w:cs="Times New Roman"/>
        </w:rPr>
        <w:t xml:space="preserve"> results </w:t>
      </w:r>
      <w:r w:rsidR="00710E60" w:rsidRPr="009054E2">
        <w:rPr>
          <w:rFonts w:ascii="Times New Roman" w:hAnsi="Times New Roman" w:cs="Times New Roman"/>
        </w:rPr>
        <w:t>for both the managed and unmanaged outcomes</w:t>
      </w:r>
      <w:r w:rsidR="009054E2">
        <w:rPr>
          <w:rFonts w:ascii="Times New Roman" w:hAnsi="Times New Roman" w:cs="Times New Roman"/>
        </w:rPr>
        <w:t xml:space="preserve">, </w:t>
      </w:r>
      <w:r w:rsidRPr="008D5139">
        <w:rPr>
          <w:rFonts w:ascii="Times New Roman" w:hAnsi="Times New Roman" w:cs="Times New Roman"/>
        </w:rPr>
        <w:t>Section 6</w:t>
      </w:r>
      <w:r w:rsidR="001F46E8">
        <w:rPr>
          <w:rFonts w:ascii="Times New Roman" w:hAnsi="Times New Roman" w:cs="Times New Roman"/>
        </w:rPr>
        <w:t xml:space="preserve"> </w:t>
      </w:r>
      <w:r w:rsidR="007366CD">
        <w:rPr>
          <w:rFonts w:ascii="Times New Roman" w:hAnsi="Times New Roman" w:cs="Times New Roman"/>
        </w:rPr>
        <w:t>investigating</w:t>
      </w:r>
      <w:r w:rsidR="001F46E8">
        <w:rPr>
          <w:rFonts w:ascii="Times New Roman" w:hAnsi="Times New Roman" w:cs="Times New Roman"/>
        </w:rPr>
        <w:t xml:space="preserve"> the sensitivity of results to key parameters</w:t>
      </w:r>
      <w:r w:rsidR="00E87BBA">
        <w:rPr>
          <w:rFonts w:ascii="Times New Roman" w:hAnsi="Times New Roman" w:cs="Times New Roman"/>
        </w:rPr>
        <w:t xml:space="preserve">, </w:t>
      </w:r>
      <w:r w:rsidR="001F46E8">
        <w:rPr>
          <w:rFonts w:ascii="Times New Roman" w:hAnsi="Times New Roman" w:cs="Times New Roman"/>
        </w:rPr>
        <w:t>Section 7</w:t>
      </w:r>
      <w:r w:rsidRPr="008D5139">
        <w:rPr>
          <w:rFonts w:ascii="Times New Roman" w:hAnsi="Times New Roman" w:cs="Times New Roman"/>
        </w:rPr>
        <w:t xml:space="preserve"> </w:t>
      </w:r>
      <w:r w:rsidR="00E87BBA">
        <w:rPr>
          <w:rFonts w:ascii="Times New Roman" w:hAnsi="Times New Roman" w:cs="Times New Roman"/>
        </w:rPr>
        <w:t xml:space="preserve">analyzing the benefits of illustrative potential policies and Section 8 </w:t>
      </w:r>
      <w:r w:rsidR="008F7C9F">
        <w:rPr>
          <w:rFonts w:ascii="Times New Roman" w:hAnsi="Times New Roman" w:cs="Times New Roman"/>
        </w:rPr>
        <w:t>summarizes</w:t>
      </w:r>
      <w:r w:rsidRPr="008D5139">
        <w:rPr>
          <w:rFonts w:ascii="Times New Roman" w:hAnsi="Times New Roman" w:cs="Times New Roman"/>
        </w:rPr>
        <w:t xml:space="preserve">.  </w:t>
      </w:r>
      <w:r w:rsidR="008F7C9F">
        <w:rPr>
          <w:rFonts w:ascii="Times New Roman" w:hAnsi="Times New Roman" w:cs="Times New Roman"/>
        </w:rPr>
        <w:t xml:space="preserve"> </w:t>
      </w:r>
    </w:p>
    <w:p w14:paraId="4207739C" w14:textId="4AF8D487" w:rsidR="008D5139" w:rsidRPr="001856E4" w:rsidRDefault="008D5139" w:rsidP="0085533D">
      <w:pPr>
        <w:pStyle w:val="Heading1"/>
        <w:spacing w:line="360" w:lineRule="auto"/>
      </w:pPr>
      <w:bookmarkStart w:id="2" w:name="_Toc80602200"/>
      <w:r w:rsidRPr="008D5139">
        <w:t xml:space="preserve">Analytical </w:t>
      </w:r>
      <w:r w:rsidR="00EC2ED0">
        <w:t>f</w:t>
      </w:r>
      <w:r w:rsidRPr="008D5139">
        <w:t>ramework</w:t>
      </w:r>
      <w:bookmarkEnd w:id="2"/>
    </w:p>
    <w:p w14:paraId="5A895A2E" w14:textId="2E1DF140" w:rsidR="005D7495" w:rsidRDefault="00DC2FE8" w:rsidP="005D7495">
      <w:pPr>
        <w:spacing w:after="160" w:line="360" w:lineRule="auto"/>
        <w:contextualSpacing/>
        <w:rPr>
          <w:rFonts w:ascii="Times New Roman" w:hAnsi="Times New Roman" w:cs="Times New Roman"/>
        </w:rPr>
      </w:pPr>
      <w:r>
        <w:rPr>
          <w:rFonts w:ascii="Times New Roman" w:hAnsi="Times New Roman" w:cs="Times New Roman"/>
        </w:rPr>
        <w:t>Central to border management</w:t>
      </w:r>
      <w:r w:rsidR="005D7495">
        <w:rPr>
          <w:rFonts w:ascii="Times New Roman" w:hAnsi="Times New Roman" w:cs="Times New Roman"/>
        </w:rPr>
        <w:t xml:space="preserve"> is</w:t>
      </w:r>
      <w:r>
        <w:rPr>
          <w:rFonts w:ascii="Times New Roman" w:hAnsi="Times New Roman" w:cs="Times New Roman"/>
        </w:rPr>
        <w:t xml:space="preserve"> s</w:t>
      </w:r>
      <w:r w:rsidR="008D5139" w:rsidRPr="008D5139">
        <w:rPr>
          <w:rFonts w:ascii="Times New Roman" w:hAnsi="Times New Roman" w:cs="Times New Roman"/>
        </w:rPr>
        <w:t>creening</w:t>
      </w:r>
      <w:r w:rsidR="001B6EED">
        <w:rPr>
          <w:rFonts w:ascii="Times New Roman" w:hAnsi="Times New Roman" w:cs="Times New Roman"/>
        </w:rPr>
        <w:t xml:space="preserve"> that</w:t>
      </w:r>
      <w:r w:rsidR="00BC6552">
        <w:rPr>
          <w:rFonts w:ascii="Times New Roman" w:hAnsi="Times New Roman" w:cs="Times New Roman"/>
        </w:rPr>
        <w:t xml:space="preserve"> </w:t>
      </w:r>
      <w:r w:rsidR="00CB35B5">
        <w:rPr>
          <w:rFonts w:ascii="Times New Roman" w:hAnsi="Times New Roman" w:cs="Times New Roman"/>
        </w:rPr>
        <w:t>directs</w:t>
      </w:r>
      <w:r>
        <w:rPr>
          <w:rFonts w:ascii="Times New Roman" w:hAnsi="Times New Roman" w:cs="Times New Roman"/>
        </w:rPr>
        <w:t xml:space="preserve"> individuals into </w:t>
      </w:r>
      <w:r w:rsidR="00785485">
        <w:rPr>
          <w:rFonts w:ascii="Times New Roman" w:hAnsi="Times New Roman" w:cs="Times New Roman"/>
        </w:rPr>
        <w:t>legally or policy identified categories</w:t>
      </w:r>
      <w:r>
        <w:rPr>
          <w:rFonts w:ascii="Times New Roman" w:hAnsi="Times New Roman" w:cs="Times New Roman"/>
        </w:rPr>
        <w:t xml:space="preserve"> </w:t>
      </w:r>
      <w:r w:rsidR="008D5139" w:rsidRPr="008D5139">
        <w:rPr>
          <w:rFonts w:ascii="Times New Roman" w:hAnsi="Times New Roman" w:cs="Times New Roman"/>
        </w:rPr>
        <w:t xml:space="preserve">and </w:t>
      </w:r>
      <w:r w:rsidR="00BC6552">
        <w:rPr>
          <w:rFonts w:ascii="Times New Roman" w:hAnsi="Times New Roman" w:cs="Times New Roman"/>
        </w:rPr>
        <w:t>implements policy</w:t>
      </w:r>
      <w:r w:rsidR="001B6EED">
        <w:rPr>
          <w:rFonts w:ascii="Times New Roman" w:hAnsi="Times New Roman" w:cs="Times New Roman"/>
        </w:rPr>
        <w:t xml:space="preserve"> </w:t>
      </w:r>
      <w:r w:rsidR="00BC6552">
        <w:rPr>
          <w:rFonts w:ascii="Times New Roman" w:hAnsi="Times New Roman" w:cs="Times New Roman"/>
        </w:rPr>
        <w:t xml:space="preserve">for </w:t>
      </w:r>
      <w:r w:rsidR="005D7495">
        <w:rPr>
          <w:rFonts w:ascii="Times New Roman" w:hAnsi="Times New Roman" w:cs="Times New Roman"/>
        </w:rPr>
        <w:t>those categories</w:t>
      </w:r>
      <w:r w:rsidR="008D5139" w:rsidRPr="008D5139">
        <w:rPr>
          <w:rFonts w:ascii="Times New Roman" w:hAnsi="Times New Roman" w:cs="Times New Roman"/>
        </w:rPr>
        <w:t xml:space="preserve">. </w:t>
      </w:r>
      <w:r w:rsidR="005D7495">
        <w:rPr>
          <w:rFonts w:ascii="Times New Roman" w:hAnsi="Times New Roman" w:cs="Times New Roman"/>
        </w:rPr>
        <w:t xml:space="preserve">There are </w:t>
      </w:r>
      <w:r w:rsidR="005D7495">
        <w:rPr>
          <w:rFonts w:ascii="Times New Roman" w:hAnsi="Times New Roman" w:cs="Times New Roman"/>
        </w:rPr>
        <w:lastRenderedPageBreak/>
        <w:t xml:space="preserve">analogies to policing in a city and to pollution control.  With policing, the challenge is to not disturb </w:t>
      </w:r>
      <w:r w:rsidR="008D5139" w:rsidRPr="008D5139">
        <w:rPr>
          <w:rFonts w:ascii="Times New Roman" w:hAnsi="Times New Roman" w:cs="Times New Roman"/>
        </w:rPr>
        <w:t>legal activity while preventing or investigating potentially illegal actions</w:t>
      </w:r>
      <w:r w:rsidR="005D7495">
        <w:rPr>
          <w:rFonts w:ascii="Times New Roman" w:hAnsi="Times New Roman" w:cs="Times New Roman"/>
        </w:rPr>
        <w:t xml:space="preserve"> and then taking policy consistent action</w:t>
      </w:r>
      <w:r w:rsidR="008D5139" w:rsidRPr="008D5139">
        <w:rPr>
          <w:rFonts w:ascii="Times New Roman" w:hAnsi="Times New Roman" w:cs="Times New Roman"/>
        </w:rPr>
        <w:t xml:space="preserve">.  </w:t>
      </w:r>
      <w:r w:rsidR="00AE7834">
        <w:rPr>
          <w:rFonts w:ascii="Times New Roman" w:hAnsi="Times New Roman" w:cs="Times New Roman"/>
        </w:rPr>
        <w:t>Benefits come from illegal activities interrupted and deterred, sorting occurs between the innocent and the guilty</w:t>
      </w:r>
      <w:r w:rsidR="001B6EED">
        <w:rPr>
          <w:rFonts w:ascii="Times New Roman" w:hAnsi="Times New Roman" w:cs="Times New Roman"/>
        </w:rPr>
        <w:t>, sometimes with error</w:t>
      </w:r>
      <w:r w:rsidR="00AE7834">
        <w:rPr>
          <w:rFonts w:ascii="Times New Roman" w:hAnsi="Times New Roman" w:cs="Times New Roman"/>
        </w:rPr>
        <w:t xml:space="preserve">, and implementation costs exist. </w:t>
      </w:r>
      <w:r w:rsidR="005D7495">
        <w:rPr>
          <w:rFonts w:ascii="Times New Roman" w:hAnsi="Times New Roman" w:cs="Times New Roman"/>
        </w:rPr>
        <w:t>The analogy to</w:t>
      </w:r>
      <w:r w:rsidR="005D7495" w:rsidRPr="008D5139">
        <w:rPr>
          <w:rFonts w:ascii="Times New Roman" w:hAnsi="Times New Roman" w:cs="Times New Roman"/>
        </w:rPr>
        <w:t xml:space="preserve"> pollution control </w:t>
      </w:r>
      <w:r w:rsidR="005D7495">
        <w:rPr>
          <w:rFonts w:ascii="Times New Roman" w:hAnsi="Times New Roman" w:cs="Times New Roman"/>
        </w:rPr>
        <w:t xml:space="preserve">is based on </w:t>
      </w:r>
      <w:r w:rsidR="00717142">
        <w:rPr>
          <w:rFonts w:ascii="Times New Roman" w:hAnsi="Times New Roman" w:cs="Times New Roman"/>
        </w:rPr>
        <w:t>optimal pollution control</w:t>
      </w:r>
      <w:r w:rsidR="005D7495">
        <w:rPr>
          <w:rFonts w:ascii="Times New Roman" w:hAnsi="Times New Roman" w:cs="Times New Roman"/>
        </w:rPr>
        <w:t xml:space="preserve">.  Control is not expected to be complete </w:t>
      </w:r>
      <w:r w:rsidR="001B6EED">
        <w:rPr>
          <w:rFonts w:ascii="Times New Roman" w:hAnsi="Times New Roman" w:cs="Times New Roman"/>
        </w:rPr>
        <w:t>as some</w:t>
      </w:r>
      <w:r w:rsidR="005D7495">
        <w:rPr>
          <w:rFonts w:ascii="Times New Roman" w:hAnsi="Times New Roman" w:cs="Times New Roman"/>
        </w:rPr>
        <w:t xml:space="preserve"> residual </w:t>
      </w:r>
      <w:r w:rsidR="00717142">
        <w:rPr>
          <w:rFonts w:ascii="Times New Roman" w:hAnsi="Times New Roman" w:cs="Times New Roman"/>
        </w:rPr>
        <w:t>pollution</w:t>
      </w:r>
      <w:r w:rsidR="005D7495">
        <w:rPr>
          <w:rFonts w:ascii="Times New Roman" w:hAnsi="Times New Roman" w:cs="Times New Roman"/>
        </w:rPr>
        <w:t xml:space="preserve"> occur</w:t>
      </w:r>
      <w:r w:rsidR="007C2B3D">
        <w:rPr>
          <w:rFonts w:ascii="Times New Roman" w:hAnsi="Times New Roman" w:cs="Times New Roman"/>
        </w:rPr>
        <w:t>s</w:t>
      </w:r>
      <w:r w:rsidR="00EC4239">
        <w:rPr>
          <w:rFonts w:ascii="Times New Roman" w:hAnsi="Times New Roman" w:cs="Times New Roman"/>
        </w:rPr>
        <w:t xml:space="preserve"> (</w:t>
      </w:r>
      <w:proofErr w:type="gramStart"/>
      <w:r w:rsidR="00EC4239">
        <w:rPr>
          <w:rFonts w:ascii="Times New Roman" w:hAnsi="Times New Roman" w:cs="Times New Roman"/>
        </w:rPr>
        <w:t>e.g.</w:t>
      </w:r>
      <w:proofErr w:type="gramEnd"/>
      <w:r w:rsidR="00EC4239">
        <w:rPr>
          <w:rFonts w:ascii="Times New Roman" w:hAnsi="Times New Roman" w:cs="Times New Roman"/>
        </w:rPr>
        <w:t xml:space="preserve"> </w:t>
      </w:r>
      <w:proofErr w:type="spellStart"/>
      <w:r w:rsidR="00EC4239">
        <w:rPr>
          <w:rFonts w:ascii="Times New Roman" w:hAnsi="Times New Roman" w:cs="Times New Roman"/>
        </w:rPr>
        <w:t>Shogren</w:t>
      </w:r>
      <w:proofErr w:type="spellEnd"/>
      <w:r w:rsidR="00EC4239">
        <w:rPr>
          <w:rFonts w:ascii="Times New Roman" w:hAnsi="Times New Roman" w:cs="Times New Roman"/>
        </w:rPr>
        <w:t xml:space="preserve"> and White, 2000; Farrow, 2016)</w:t>
      </w:r>
      <w:r w:rsidR="005D7495" w:rsidRPr="008D5139">
        <w:rPr>
          <w:rFonts w:ascii="Times New Roman" w:hAnsi="Times New Roman" w:cs="Times New Roman"/>
        </w:rPr>
        <w:t>.  Border management is analytically simpler than pollution control in that the government carries out the actual control and does not act indirectly through firms</w:t>
      </w:r>
      <w:r w:rsidR="00717142">
        <w:rPr>
          <w:rFonts w:ascii="Times New Roman" w:hAnsi="Times New Roman" w:cs="Times New Roman"/>
        </w:rPr>
        <w:t xml:space="preserve"> but in place of residual pollution there are unmanaged individuals from imperfect control.</w:t>
      </w:r>
    </w:p>
    <w:p w14:paraId="211846D2" w14:textId="77777777" w:rsidR="00AE7834" w:rsidRDefault="00AE7834" w:rsidP="005D7495">
      <w:pPr>
        <w:spacing w:after="160" w:line="360" w:lineRule="auto"/>
        <w:contextualSpacing/>
        <w:rPr>
          <w:rFonts w:ascii="Times New Roman" w:hAnsi="Times New Roman" w:cs="Times New Roman"/>
        </w:rPr>
      </w:pPr>
    </w:p>
    <w:p w14:paraId="32EAEFE7" w14:textId="5F7A5C07" w:rsidR="008D5139" w:rsidRDefault="00717142" w:rsidP="0085533D">
      <w:pPr>
        <w:spacing w:after="160" w:line="360" w:lineRule="auto"/>
        <w:contextualSpacing/>
        <w:rPr>
          <w:rFonts w:ascii="Times New Roman" w:hAnsi="Times New Roman" w:cs="Times New Roman"/>
        </w:rPr>
      </w:pPr>
      <w:r>
        <w:rPr>
          <w:rFonts w:ascii="Times New Roman" w:hAnsi="Times New Roman" w:cs="Times New Roman"/>
        </w:rPr>
        <w:t xml:space="preserve">Returning to the </w:t>
      </w:r>
      <w:r w:rsidR="00E320A2">
        <w:rPr>
          <w:rFonts w:ascii="Times New Roman" w:hAnsi="Times New Roman" w:cs="Times New Roman"/>
        </w:rPr>
        <w:t>policing</w:t>
      </w:r>
      <w:r>
        <w:rPr>
          <w:rFonts w:ascii="Times New Roman" w:hAnsi="Times New Roman" w:cs="Times New Roman"/>
        </w:rPr>
        <w:t xml:space="preserve"> analogy and f</w:t>
      </w:r>
      <w:r w:rsidR="008D5139" w:rsidRPr="008D5139">
        <w:rPr>
          <w:rFonts w:ascii="Times New Roman" w:hAnsi="Times New Roman" w:cs="Times New Roman"/>
        </w:rPr>
        <w:t xml:space="preserve">ocusing on </w:t>
      </w:r>
      <w:r w:rsidR="00AE7834">
        <w:rPr>
          <w:rFonts w:ascii="Times New Roman" w:hAnsi="Times New Roman" w:cs="Times New Roman"/>
        </w:rPr>
        <w:t>potentially</w:t>
      </w:r>
      <w:r w:rsidR="00785485">
        <w:rPr>
          <w:rFonts w:ascii="Times New Roman" w:hAnsi="Times New Roman" w:cs="Times New Roman"/>
        </w:rPr>
        <w:t xml:space="preserve"> </w:t>
      </w:r>
      <w:r w:rsidR="008D5139" w:rsidRPr="008D5139">
        <w:rPr>
          <w:rFonts w:ascii="Times New Roman" w:hAnsi="Times New Roman" w:cs="Times New Roman"/>
        </w:rPr>
        <w:t xml:space="preserve">illegal activity, </w:t>
      </w:r>
      <w:r w:rsidR="00785485">
        <w:rPr>
          <w:rFonts w:ascii="Times New Roman" w:hAnsi="Times New Roman" w:cs="Times New Roman"/>
        </w:rPr>
        <w:t>w</w:t>
      </w:r>
      <w:r w:rsidR="00785485" w:rsidRPr="008D5139">
        <w:rPr>
          <w:rFonts w:ascii="Times New Roman" w:hAnsi="Times New Roman" w:cs="Times New Roman"/>
        </w:rPr>
        <w:t xml:space="preserve">hat appears to be </w:t>
      </w:r>
      <w:r w:rsidR="002E1601">
        <w:rPr>
          <w:rFonts w:ascii="Times New Roman" w:hAnsi="Times New Roman" w:cs="Times New Roman"/>
        </w:rPr>
        <w:t>illegal</w:t>
      </w:r>
      <w:r w:rsidR="00785485" w:rsidRPr="008D5139">
        <w:rPr>
          <w:rFonts w:ascii="Times New Roman" w:hAnsi="Times New Roman" w:cs="Times New Roman"/>
        </w:rPr>
        <w:t xml:space="preserve"> can become legal if the person is screened at a cost and found “innocent”, </w:t>
      </w:r>
      <w:r w:rsidR="00AE7834">
        <w:rPr>
          <w:rFonts w:ascii="Times New Roman" w:hAnsi="Times New Roman" w:cs="Times New Roman"/>
        </w:rPr>
        <w:t>analogous</w:t>
      </w:r>
      <w:r w:rsidR="00785485" w:rsidRPr="008D5139">
        <w:rPr>
          <w:rFonts w:ascii="Times New Roman" w:hAnsi="Times New Roman" w:cs="Times New Roman"/>
        </w:rPr>
        <w:t xml:space="preserve"> to those granted asylum.  </w:t>
      </w:r>
      <w:r w:rsidR="005860DF">
        <w:rPr>
          <w:rFonts w:ascii="Times New Roman" w:hAnsi="Times New Roman" w:cs="Times New Roman"/>
        </w:rPr>
        <w:t>T</w:t>
      </w:r>
      <w:r w:rsidR="00785485" w:rsidRPr="008D5139">
        <w:rPr>
          <w:rFonts w:ascii="Times New Roman" w:hAnsi="Times New Roman" w:cs="Times New Roman"/>
        </w:rPr>
        <w:t xml:space="preserve">he benefits are the </w:t>
      </w:r>
      <w:r w:rsidR="005860DF">
        <w:rPr>
          <w:rFonts w:ascii="Times New Roman" w:hAnsi="Times New Roman" w:cs="Times New Roman"/>
        </w:rPr>
        <w:t xml:space="preserve">economic </w:t>
      </w:r>
      <w:r w:rsidR="002D7E23">
        <w:rPr>
          <w:rFonts w:ascii="Times New Roman" w:hAnsi="Times New Roman" w:cs="Times New Roman"/>
        </w:rPr>
        <w:t xml:space="preserve">and security </w:t>
      </w:r>
      <w:r w:rsidR="00374498">
        <w:rPr>
          <w:rFonts w:ascii="Times New Roman" w:hAnsi="Times New Roman" w:cs="Times New Roman"/>
        </w:rPr>
        <w:t xml:space="preserve">gains </w:t>
      </w:r>
      <w:r w:rsidR="00785485" w:rsidRPr="008D5139">
        <w:rPr>
          <w:rFonts w:ascii="Times New Roman" w:hAnsi="Times New Roman" w:cs="Times New Roman"/>
        </w:rPr>
        <w:t xml:space="preserve">from the person newly entering the United States.   </w:t>
      </w:r>
      <w:r w:rsidR="002E1601">
        <w:rPr>
          <w:rFonts w:ascii="Times New Roman" w:hAnsi="Times New Roman" w:cs="Times New Roman"/>
        </w:rPr>
        <w:t xml:space="preserve">An actual illegal entry that is stopped </w:t>
      </w:r>
      <w:r w:rsidR="002E1601" w:rsidRPr="008D5139">
        <w:rPr>
          <w:rFonts w:ascii="Times New Roman" w:hAnsi="Times New Roman" w:cs="Times New Roman"/>
        </w:rPr>
        <w:t>has a benefit of the costs avoided</w:t>
      </w:r>
      <w:r w:rsidR="002E1601">
        <w:rPr>
          <w:rFonts w:ascii="Times New Roman" w:hAnsi="Times New Roman" w:cs="Times New Roman"/>
        </w:rPr>
        <w:t xml:space="preserve"> had the illegal activity continued.  </w:t>
      </w:r>
      <w:r w:rsidR="008D5139" w:rsidRPr="008D5139">
        <w:rPr>
          <w:rFonts w:ascii="Times New Roman" w:hAnsi="Times New Roman" w:cs="Times New Roman"/>
        </w:rPr>
        <w:t xml:space="preserve">An illegal activity that is </w:t>
      </w:r>
      <w:r w:rsidR="008D5139" w:rsidRPr="008D5139">
        <w:rPr>
          <w:rFonts w:ascii="Times New Roman" w:hAnsi="Times New Roman" w:cs="Times New Roman"/>
          <w:i/>
          <w:iCs/>
        </w:rPr>
        <w:t>not</w:t>
      </w:r>
      <w:r w:rsidR="008D5139" w:rsidRPr="008D5139">
        <w:rPr>
          <w:rFonts w:ascii="Times New Roman" w:hAnsi="Times New Roman" w:cs="Times New Roman"/>
        </w:rPr>
        <w:t xml:space="preserve"> stopped has a cost, but it is a residual social cost that would have occurred without policing. </w:t>
      </w:r>
      <w:r w:rsidR="00AE7834">
        <w:rPr>
          <w:rFonts w:ascii="Times New Roman" w:hAnsi="Times New Roman" w:cs="Times New Roman"/>
        </w:rPr>
        <w:t xml:space="preserve">Deterrence </w:t>
      </w:r>
      <w:r w:rsidR="00374498">
        <w:rPr>
          <w:rFonts w:ascii="Times New Roman" w:hAnsi="Times New Roman" w:cs="Times New Roman"/>
        </w:rPr>
        <w:t xml:space="preserve">avoids costs and </w:t>
      </w:r>
      <w:r w:rsidR="00AE7834">
        <w:rPr>
          <w:rFonts w:ascii="Times New Roman" w:hAnsi="Times New Roman" w:cs="Times New Roman"/>
        </w:rPr>
        <w:t xml:space="preserve">occurs as a function of enforcement.  </w:t>
      </w:r>
      <w:r>
        <w:rPr>
          <w:rFonts w:ascii="Times New Roman" w:hAnsi="Times New Roman" w:cs="Times New Roman"/>
        </w:rPr>
        <w:t>O</w:t>
      </w:r>
      <w:r w:rsidR="008D5139" w:rsidRPr="008D5139">
        <w:rPr>
          <w:rFonts w:ascii="Times New Roman" w:hAnsi="Times New Roman" w:cs="Times New Roman"/>
        </w:rPr>
        <w:t xml:space="preserve">utcomes </w:t>
      </w:r>
      <w:r>
        <w:rPr>
          <w:rFonts w:ascii="Times New Roman" w:hAnsi="Times New Roman" w:cs="Times New Roman"/>
        </w:rPr>
        <w:t xml:space="preserve">also </w:t>
      </w:r>
      <w:r w:rsidR="008D5139" w:rsidRPr="008D5139">
        <w:rPr>
          <w:rFonts w:ascii="Times New Roman" w:hAnsi="Times New Roman" w:cs="Times New Roman"/>
        </w:rPr>
        <w:t xml:space="preserve">have impacts that may persist for years as when a person is </w:t>
      </w:r>
      <w:r w:rsidR="00D95707">
        <w:rPr>
          <w:rFonts w:ascii="Times New Roman" w:hAnsi="Times New Roman" w:cs="Times New Roman"/>
        </w:rPr>
        <w:t xml:space="preserve">granted asylum with permission to work, or alternatively </w:t>
      </w:r>
      <w:r w:rsidR="00AE7834">
        <w:rPr>
          <w:rFonts w:ascii="Times New Roman" w:hAnsi="Times New Roman" w:cs="Times New Roman"/>
        </w:rPr>
        <w:t xml:space="preserve">an </w:t>
      </w:r>
      <w:r w:rsidR="00D95707">
        <w:rPr>
          <w:rFonts w:ascii="Times New Roman" w:hAnsi="Times New Roman" w:cs="Times New Roman"/>
        </w:rPr>
        <w:t>illegal entrant</w:t>
      </w:r>
      <w:r w:rsidR="00AE7834">
        <w:rPr>
          <w:rFonts w:ascii="Times New Roman" w:hAnsi="Times New Roman" w:cs="Times New Roman"/>
        </w:rPr>
        <w:t xml:space="preserve"> removed across the border </w:t>
      </w:r>
      <w:r w:rsidR="0053357F">
        <w:rPr>
          <w:rFonts w:ascii="Times New Roman" w:hAnsi="Times New Roman" w:cs="Times New Roman"/>
        </w:rPr>
        <w:t xml:space="preserve">may only be deterred for a short time.   </w:t>
      </w:r>
    </w:p>
    <w:p w14:paraId="1368F1D1" w14:textId="3C119B2B" w:rsidR="002D7E23" w:rsidRDefault="002D7E23" w:rsidP="0085533D">
      <w:pPr>
        <w:spacing w:after="160" w:line="360" w:lineRule="auto"/>
        <w:contextualSpacing/>
        <w:rPr>
          <w:rFonts w:ascii="Times New Roman" w:hAnsi="Times New Roman" w:cs="Times New Roman"/>
        </w:rPr>
      </w:pPr>
    </w:p>
    <w:p w14:paraId="0A7A9BF6" w14:textId="0200B9A4" w:rsidR="002D7E23" w:rsidRPr="008D5139" w:rsidRDefault="002D7E23" w:rsidP="0085533D">
      <w:pPr>
        <w:spacing w:after="160" w:line="360" w:lineRule="auto"/>
        <w:contextualSpacing/>
        <w:rPr>
          <w:rFonts w:ascii="Times New Roman" w:hAnsi="Times New Roman" w:cs="Times New Roman"/>
        </w:rPr>
      </w:pPr>
      <w:r>
        <w:rPr>
          <w:rFonts w:ascii="Times New Roman" w:hAnsi="Times New Roman" w:cs="Times New Roman"/>
        </w:rPr>
        <w:t>Th</w:t>
      </w:r>
      <w:r w:rsidR="0042227E">
        <w:rPr>
          <w:rFonts w:ascii="Times New Roman" w:hAnsi="Times New Roman" w:cs="Times New Roman"/>
        </w:rPr>
        <w:t>is</w:t>
      </w:r>
      <w:r>
        <w:rPr>
          <w:rFonts w:ascii="Times New Roman" w:hAnsi="Times New Roman" w:cs="Times New Roman"/>
        </w:rPr>
        <w:t xml:space="preserve"> analysis computes the net benefits and residual costs of the border technology in place </w:t>
      </w:r>
      <w:r w:rsidR="00830D82">
        <w:rPr>
          <w:rFonts w:ascii="Times New Roman" w:hAnsi="Times New Roman" w:cs="Times New Roman"/>
        </w:rPr>
        <w:t>in</w:t>
      </w:r>
      <w:r>
        <w:rPr>
          <w:rFonts w:ascii="Times New Roman" w:hAnsi="Times New Roman" w:cs="Times New Roman"/>
        </w:rPr>
        <w:t xml:space="preserve"> 2017.  The </w:t>
      </w:r>
      <w:r w:rsidR="007C0051">
        <w:rPr>
          <w:rFonts w:ascii="Times New Roman" w:hAnsi="Times New Roman" w:cs="Times New Roman"/>
        </w:rPr>
        <w:t>actual</w:t>
      </w:r>
      <w:r>
        <w:rPr>
          <w:rFonts w:ascii="Times New Roman" w:hAnsi="Times New Roman" w:cs="Times New Roman"/>
        </w:rPr>
        <w:t xml:space="preserve"> outcomes of that year</w:t>
      </w:r>
      <w:r w:rsidR="0051119C">
        <w:rPr>
          <w:rFonts w:ascii="Times New Roman" w:hAnsi="Times New Roman" w:cs="Times New Roman"/>
        </w:rPr>
        <w:t>--</w:t>
      </w:r>
      <w:r>
        <w:rPr>
          <w:rFonts w:ascii="Times New Roman" w:hAnsi="Times New Roman" w:cs="Times New Roman"/>
        </w:rPr>
        <w:t>the managed, unmanaged, and deterred</w:t>
      </w:r>
      <w:r w:rsidR="00B303A0">
        <w:rPr>
          <w:rFonts w:ascii="Times New Roman" w:hAnsi="Times New Roman" w:cs="Times New Roman"/>
        </w:rPr>
        <w:t xml:space="preserve"> as a function of the managed</w:t>
      </w:r>
      <w:r w:rsidR="0051119C">
        <w:rPr>
          <w:rFonts w:ascii="Times New Roman" w:hAnsi="Times New Roman" w:cs="Times New Roman"/>
        </w:rPr>
        <w:t>--</w:t>
      </w:r>
      <w:r>
        <w:rPr>
          <w:rFonts w:ascii="Times New Roman" w:hAnsi="Times New Roman" w:cs="Times New Roman"/>
        </w:rPr>
        <w:t xml:space="preserve">represent the </w:t>
      </w:r>
      <w:r w:rsidR="00717142">
        <w:rPr>
          <w:rFonts w:ascii="Times New Roman" w:hAnsi="Times New Roman" w:cs="Times New Roman"/>
        </w:rPr>
        <w:t>“with policy”</w:t>
      </w:r>
      <w:r w:rsidR="007C0051">
        <w:rPr>
          <w:rFonts w:ascii="Times New Roman" w:hAnsi="Times New Roman" w:cs="Times New Roman"/>
        </w:rPr>
        <w:t xml:space="preserve"> scenario</w:t>
      </w:r>
      <w:r>
        <w:rPr>
          <w:rFonts w:ascii="Times New Roman" w:hAnsi="Times New Roman" w:cs="Times New Roman"/>
        </w:rPr>
        <w:t>.</w:t>
      </w:r>
      <w:r w:rsidR="007C0051">
        <w:rPr>
          <w:rFonts w:ascii="Times New Roman" w:hAnsi="Times New Roman" w:cs="Times New Roman"/>
        </w:rPr>
        <w:t xml:space="preserve">  </w:t>
      </w:r>
      <w:r w:rsidR="00717142">
        <w:rPr>
          <w:rFonts w:ascii="Times New Roman" w:hAnsi="Times New Roman" w:cs="Times New Roman"/>
        </w:rPr>
        <w:t xml:space="preserve">In </w:t>
      </w:r>
      <w:r w:rsidR="007C0051">
        <w:rPr>
          <w:rFonts w:ascii="Times New Roman" w:hAnsi="Times New Roman" w:cs="Times New Roman"/>
        </w:rPr>
        <w:t xml:space="preserve">contrast, </w:t>
      </w:r>
      <w:r w:rsidR="00717142">
        <w:rPr>
          <w:rFonts w:ascii="Times New Roman" w:hAnsi="Times New Roman" w:cs="Times New Roman"/>
        </w:rPr>
        <w:t>the</w:t>
      </w:r>
      <w:r w:rsidR="0042227E">
        <w:rPr>
          <w:rFonts w:ascii="Times New Roman" w:hAnsi="Times New Roman" w:cs="Times New Roman"/>
        </w:rPr>
        <w:t xml:space="preserve"> “without” </w:t>
      </w:r>
      <w:r>
        <w:rPr>
          <w:rFonts w:ascii="Times New Roman" w:hAnsi="Times New Roman" w:cs="Times New Roman"/>
        </w:rPr>
        <w:t>border management</w:t>
      </w:r>
      <w:r w:rsidR="0042227E">
        <w:rPr>
          <w:rFonts w:ascii="Times New Roman" w:hAnsi="Times New Roman" w:cs="Times New Roman"/>
        </w:rPr>
        <w:t xml:space="preserve"> counterfactual</w:t>
      </w:r>
      <w:r w:rsidR="00717142">
        <w:rPr>
          <w:rFonts w:ascii="Times New Roman" w:hAnsi="Times New Roman" w:cs="Times New Roman"/>
        </w:rPr>
        <w:t xml:space="preserve"> </w:t>
      </w:r>
      <w:r w:rsidR="007C0051">
        <w:rPr>
          <w:rFonts w:ascii="Times New Roman" w:hAnsi="Times New Roman" w:cs="Times New Roman"/>
        </w:rPr>
        <w:lastRenderedPageBreak/>
        <w:t>has all the</w:t>
      </w:r>
      <w:r>
        <w:rPr>
          <w:rFonts w:ascii="Times New Roman" w:hAnsi="Times New Roman" w:cs="Times New Roman"/>
        </w:rPr>
        <w:t xml:space="preserve"> </w:t>
      </w:r>
      <w:r w:rsidR="00A25F88">
        <w:rPr>
          <w:rFonts w:ascii="Times New Roman" w:hAnsi="Times New Roman" w:cs="Times New Roman"/>
        </w:rPr>
        <w:t xml:space="preserve">initially inadmissible </w:t>
      </w:r>
      <w:r>
        <w:rPr>
          <w:rFonts w:ascii="Times New Roman" w:hAnsi="Times New Roman" w:cs="Times New Roman"/>
        </w:rPr>
        <w:t xml:space="preserve">individuals </w:t>
      </w:r>
      <w:r w:rsidR="007C0051">
        <w:rPr>
          <w:rFonts w:ascii="Times New Roman" w:hAnsi="Times New Roman" w:cs="Times New Roman"/>
        </w:rPr>
        <w:t xml:space="preserve">plus those deterred </w:t>
      </w:r>
      <w:r w:rsidR="007C2B3D">
        <w:rPr>
          <w:rFonts w:ascii="Times New Roman" w:hAnsi="Times New Roman" w:cs="Times New Roman"/>
        </w:rPr>
        <w:t xml:space="preserve">hypothetically </w:t>
      </w:r>
      <w:r w:rsidR="00A25F88">
        <w:rPr>
          <w:rFonts w:ascii="Times New Roman" w:hAnsi="Times New Roman" w:cs="Times New Roman"/>
        </w:rPr>
        <w:t>enter</w:t>
      </w:r>
      <w:r w:rsidR="007C2B3D">
        <w:rPr>
          <w:rFonts w:ascii="Times New Roman" w:hAnsi="Times New Roman" w:cs="Times New Roman"/>
        </w:rPr>
        <w:t>ing</w:t>
      </w:r>
      <w:r w:rsidR="00A25F88">
        <w:rPr>
          <w:rFonts w:ascii="Times New Roman" w:hAnsi="Times New Roman" w:cs="Times New Roman"/>
        </w:rPr>
        <w:t xml:space="preserve"> the US successfully but </w:t>
      </w:r>
      <w:r w:rsidR="007C0051">
        <w:rPr>
          <w:rFonts w:ascii="Times New Roman" w:hAnsi="Times New Roman" w:cs="Times New Roman"/>
        </w:rPr>
        <w:t>illegally.</w:t>
      </w:r>
      <w:r>
        <w:rPr>
          <w:rFonts w:ascii="Times New Roman" w:hAnsi="Times New Roman" w:cs="Times New Roman"/>
        </w:rPr>
        <w:t xml:space="preserve"> </w:t>
      </w:r>
      <w:r w:rsidR="007C0051">
        <w:rPr>
          <w:rFonts w:ascii="Times New Roman" w:hAnsi="Times New Roman" w:cs="Times New Roman"/>
        </w:rPr>
        <w:t>T</w:t>
      </w:r>
      <w:r>
        <w:rPr>
          <w:rFonts w:ascii="Times New Roman" w:hAnsi="Times New Roman" w:cs="Times New Roman"/>
        </w:rPr>
        <w:t>he same laws would exist but there would be no enforcement.</w:t>
      </w:r>
      <w:r w:rsidR="0051119C">
        <w:rPr>
          <w:rFonts w:ascii="Times New Roman" w:hAnsi="Times New Roman" w:cs="Times New Roman"/>
        </w:rPr>
        <w:t xml:space="preserve">  One might imagine dramatic dynamic changes in immigration if there were actually no enforcement but </w:t>
      </w:r>
      <w:r w:rsidR="007C0051">
        <w:rPr>
          <w:rFonts w:ascii="Times New Roman" w:hAnsi="Times New Roman" w:cs="Times New Roman"/>
        </w:rPr>
        <w:t>an estimate of those</w:t>
      </w:r>
      <w:r w:rsidR="0051119C">
        <w:rPr>
          <w:rFonts w:ascii="Times New Roman" w:hAnsi="Times New Roman" w:cs="Times New Roman"/>
        </w:rPr>
        <w:t xml:space="preserve"> deterred </w:t>
      </w:r>
      <w:r w:rsidR="00830D82">
        <w:rPr>
          <w:rFonts w:ascii="Times New Roman" w:hAnsi="Times New Roman" w:cs="Times New Roman"/>
        </w:rPr>
        <w:t>in</w:t>
      </w:r>
      <w:r w:rsidR="0051119C">
        <w:rPr>
          <w:rFonts w:ascii="Times New Roman" w:hAnsi="Times New Roman" w:cs="Times New Roman"/>
        </w:rPr>
        <w:t xml:space="preserve"> 2017 </w:t>
      </w:r>
      <w:r w:rsidR="00853202">
        <w:rPr>
          <w:rFonts w:ascii="Times New Roman" w:hAnsi="Times New Roman" w:cs="Times New Roman"/>
        </w:rPr>
        <w:t>provides</w:t>
      </w:r>
      <w:r w:rsidR="0051119C">
        <w:rPr>
          <w:rFonts w:ascii="Times New Roman" w:hAnsi="Times New Roman" w:cs="Times New Roman"/>
        </w:rPr>
        <w:t xml:space="preserve"> an analytical basis </w:t>
      </w:r>
      <w:r w:rsidR="007C0051">
        <w:rPr>
          <w:rFonts w:ascii="Times New Roman" w:hAnsi="Times New Roman" w:cs="Times New Roman"/>
        </w:rPr>
        <w:t>for the “without policy” baseline</w:t>
      </w:r>
      <w:r w:rsidR="0051119C">
        <w:rPr>
          <w:rFonts w:ascii="Times New Roman" w:hAnsi="Times New Roman" w:cs="Times New Roman"/>
        </w:rPr>
        <w:t>.</w:t>
      </w:r>
      <w:r w:rsidR="001134F9">
        <w:rPr>
          <w:rFonts w:ascii="Times New Roman" w:hAnsi="Times New Roman" w:cs="Times New Roman"/>
        </w:rPr>
        <w:t xml:space="preserve">  New </w:t>
      </w:r>
      <w:r w:rsidR="0051119C">
        <w:rPr>
          <w:rFonts w:ascii="Times New Roman" w:hAnsi="Times New Roman" w:cs="Times New Roman"/>
        </w:rPr>
        <w:t>applications of the model</w:t>
      </w:r>
      <w:r w:rsidR="007C2B3D">
        <w:rPr>
          <w:rFonts w:ascii="Times New Roman" w:hAnsi="Times New Roman" w:cs="Times New Roman"/>
        </w:rPr>
        <w:t>, such as those explored in Section 7,</w:t>
      </w:r>
      <w:r w:rsidR="0051119C">
        <w:rPr>
          <w:rFonts w:ascii="Times New Roman" w:hAnsi="Times New Roman" w:cs="Times New Roman"/>
        </w:rPr>
        <w:t xml:space="preserve"> would </w:t>
      </w:r>
      <w:r w:rsidR="001134F9">
        <w:rPr>
          <w:rFonts w:ascii="Times New Roman" w:hAnsi="Times New Roman" w:cs="Times New Roman"/>
        </w:rPr>
        <w:t>estimate</w:t>
      </w:r>
      <w:r w:rsidR="0051119C">
        <w:rPr>
          <w:rFonts w:ascii="Times New Roman" w:hAnsi="Times New Roman" w:cs="Times New Roman"/>
        </w:rPr>
        <w:t xml:space="preserve"> incremental changes compared to the 2017 </w:t>
      </w:r>
      <w:r w:rsidR="001134F9">
        <w:rPr>
          <w:rFonts w:ascii="Times New Roman" w:hAnsi="Times New Roman" w:cs="Times New Roman"/>
        </w:rPr>
        <w:t>“with policy” scenario.</w:t>
      </w:r>
    </w:p>
    <w:p w14:paraId="38473F7E" w14:textId="77777777" w:rsidR="009B173B" w:rsidRDefault="009B173B" w:rsidP="0085533D">
      <w:pPr>
        <w:spacing w:after="160" w:line="360" w:lineRule="auto"/>
        <w:contextualSpacing/>
        <w:rPr>
          <w:rFonts w:ascii="Times New Roman" w:hAnsi="Times New Roman" w:cs="Times New Roman"/>
        </w:rPr>
      </w:pPr>
    </w:p>
    <w:p w14:paraId="49DDFBA9" w14:textId="72859CFA" w:rsidR="008D5139" w:rsidRPr="008D5139" w:rsidRDefault="0053357F" w:rsidP="0085533D">
      <w:pPr>
        <w:spacing w:after="160" w:line="360" w:lineRule="auto"/>
        <w:contextualSpacing/>
        <w:rPr>
          <w:rFonts w:ascii="Times New Roman" w:hAnsi="Times New Roman" w:cs="Times New Roman"/>
        </w:rPr>
      </w:pPr>
      <w:r>
        <w:rPr>
          <w:rFonts w:ascii="Times New Roman" w:hAnsi="Times New Roman" w:cs="Times New Roman"/>
        </w:rPr>
        <w:t xml:space="preserve">The </w:t>
      </w:r>
      <w:r w:rsidR="00D92DCB">
        <w:rPr>
          <w:rFonts w:ascii="Times New Roman" w:hAnsi="Times New Roman" w:cs="Times New Roman"/>
        </w:rPr>
        <w:t xml:space="preserve">benefit-cost </w:t>
      </w:r>
      <w:r w:rsidR="008D5139" w:rsidRPr="008D5139">
        <w:rPr>
          <w:rFonts w:ascii="Times New Roman" w:hAnsi="Times New Roman" w:cs="Times New Roman"/>
        </w:rPr>
        <w:t xml:space="preserve">optimization problem </w:t>
      </w:r>
      <w:r>
        <w:rPr>
          <w:rFonts w:ascii="Times New Roman" w:hAnsi="Times New Roman" w:cs="Times New Roman"/>
        </w:rPr>
        <w:t>is to</w:t>
      </w:r>
      <w:r w:rsidR="008D5139" w:rsidRPr="008D5139">
        <w:rPr>
          <w:rFonts w:ascii="Times New Roman" w:hAnsi="Times New Roman" w:cs="Times New Roman"/>
        </w:rPr>
        <w:t xml:space="preserve"> maximize </w:t>
      </w:r>
      <w:r w:rsidR="00D92DCB">
        <w:rPr>
          <w:rFonts w:ascii="Times New Roman" w:hAnsi="Times New Roman" w:cs="Times New Roman"/>
        </w:rPr>
        <w:t xml:space="preserve">social </w:t>
      </w:r>
      <w:r w:rsidR="008D5139" w:rsidRPr="008D5139">
        <w:rPr>
          <w:rFonts w:ascii="Times New Roman" w:hAnsi="Times New Roman" w:cs="Times New Roman"/>
        </w:rPr>
        <w:t>net benefits, here comprised of the costs of border management</w:t>
      </w:r>
      <w:r w:rsidR="00820D11">
        <w:rPr>
          <w:rFonts w:ascii="Times New Roman" w:hAnsi="Times New Roman" w:cs="Times New Roman"/>
        </w:rPr>
        <w:t xml:space="preserve">, </w:t>
      </w:r>
      <w:r w:rsidR="008D5139" w:rsidRPr="008D5139">
        <w:rPr>
          <w:rFonts w:ascii="Times New Roman" w:hAnsi="Times New Roman" w:cs="Times New Roman"/>
        </w:rPr>
        <w:t>the benefits from costs avoided</w:t>
      </w:r>
      <w:r w:rsidR="00A25F88">
        <w:rPr>
          <w:rFonts w:ascii="Times New Roman" w:hAnsi="Times New Roman" w:cs="Times New Roman"/>
        </w:rPr>
        <w:t xml:space="preserve"> </w:t>
      </w:r>
      <w:r w:rsidR="00820D11">
        <w:rPr>
          <w:rFonts w:ascii="Times New Roman" w:hAnsi="Times New Roman" w:cs="Times New Roman"/>
        </w:rPr>
        <w:t xml:space="preserve">of those who are illegal and </w:t>
      </w:r>
      <w:r w:rsidR="008A3DB1">
        <w:rPr>
          <w:rFonts w:ascii="Times New Roman" w:hAnsi="Times New Roman" w:cs="Times New Roman"/>
        </w:rPr>
        <w:t xml:space="preserve">the </w:t>
      </w:r>
      <w:r w:rsidR="00820D11">
        <w:rPr>
          <w:rFonts w:ascii="Times New Roman" w:hAnsi="Times New Roman" w:cs="Times New Roman"/>
        </w:rPr>
        <w:t>benefits</w:t>
      </w:r>
      <w:r w:rsidR="00A25F88">
        <w:rPr>
          <w:rFonts w:ascii="Times New Roman" w:hAnsi="Times New Roman" w:cs="Times New Roman"/>
        </w:rPr>
        <w:t xml:space="preserve"> </w:t>
      </w:r>
      <w:r w:rsidR="00820D11">
        <w:rPr>
          <w:rFonts w:ascii="Times New Roman" w:hAnsi="Times New Roman" w:cs="Times New Roman"/>
        </w:rPr>
        <w:t>from those determined to be legal asylees</w:t>
      </w:r>
      <w:r w:rsidR="008D5139" w:rsidRPr="008D5139">
        <w:rPr>
          <w:rFonts w:ascii="Times New Roman" w:hAnsi="Times New Roman" w:cs="Times New Roman"/>
          <w:vertAlign w:val="superscript"/>
        </w:rPr>
        <w:footnoteReference w:id="2"/>
      </w:r>
      <w:r w:rsidR="008D5139" w:rsidRPr="008D5139">
        <w:rPr>
          <w:rFonts w:ascii="Times New Roman" w:hAnsi="Times New Roman" w:cs="Times New Roman"/>
        </w:rPr>
        <w:t xml:space="preserve">.  The optimal level of control balances the incremental costs of control with the incremental benefits of </w:t>
      </w:r>
      <w:r w:rsidR="00820D11">
        <w:rPr>
          <w:rFonts w:ascii="Times New Roman" w:hAnsi="Times New Roman" w:cs="Times New Roman"/>
        </w:rPr>
        <w:t xml:space="preserve">legal and </w:t>
      </w:r>
      <w:r w:rsidRPr="008D5139">
        <w:rPr>
          <w:rFonts w:ascii="Times New Roman" w:hAnsi="Times New Roman" w:cs="Times New Roman"/>
        </w:rPr>
        <w:t xml:space="preserve">avoided </w:t>
      </w:r>
      <w:r w:rsidR="008D5139" w:rsidRPr="008D5139">
        <w:rPr>
          <w:rFonts w:ascii="Times New Roman" w:hAnsi="Times New Roman" w:cs="Times New Roman"/>
        </w:rPr>
        <w:t xml:space="preserve">illegal activity.  At the optimum, there is likely some illegal activity that is not controlled.  That remaining illegal activity is a residual risk that defines the maximum potential for </w:t>
      </w:r>
      <w:r w:rsidR="009357B9">
        <w:rPr>
          <w:rFonts w:ascii="Times New Roman" w:hAnsi="Times New Roman" w:cs="Times New Roman"/>
        </w:rPr>
        <w:t>additional control actions</w:t>
      </w:r>
      <w:r w:rsidR="008D5139" w:rsidRPr="008D5139">
        <w:rPr>
          <w:rFonts w:ascii="Times New Roman" w:hAnsi="Times New Roman" w:cs="Times New Roman"/>
        </w:rPr>
        <w:t xml:space="preserve">.  </w:t>
      </w:r>
      <w:r w:rsidR="00D92DCB">
        <w:rPr>
          <w:rFonts w:ascii="Times New Roman" w:hAnsi="Times New Roman" w:cs="Times New Roman"/>
        </w:rPr>
        <w:t>T</w:t>
      </w:r>
      <w:r w:rsidR="008D5139" w:rsidRPr="008D5139">
        <w:rPr>
          <w:rFonts w:ascii="Times New Roman" w:hAnsi="Times New Roman" w:cs="Times New Roman"/>
        </w:rPr>
        <w:t xml:space="preserve">he optimal level of control </w:t>
      </w:r>
      <w:r w:rsidR="00D92DCB">
        <w:rPr>
          <w:rFonts w:ascii="Times New Roman" w:hAnsi="Times New Roman" w:cs="Times New Roman"/>
        </w:rPr>
        <w:t>is unlikely to</w:t>
      </w:r>
      <w:r w:rsidR="008D5139" w:rsidRPr="008D5139">
        <w:rPr>
          <w:rFonts w:ascii="Times New Roman" w:hAnsi="Times New Roman" w:cs="Times New Roman"/>
        </w:rPr>
        <w:t xml:space="preserve"> be implemented leading to </w:t>
      </w:r>
      <w:r w:rsidR="00D92DCB">
        <w:rPr>
          <w:rFonts w:ascii="Times New Roman" w:hAnsi="Times New Roman" w:cs="Times New Roman"/>
        </w:rPr>
        <w:t>the usefulness of analyzing policy options to modify management technologies.</w:t>
      </w:r>
      <w:r w:rsidR="008D5139" w:rsidRPr="008D5139">
        <w:rPr>
          <w:rFonts w:ascii="Times New Roman" w:hAnsi="Times New Roman" w:cs="Times New Roman"/>
        </w:rPr>
        <w:t xml:space="preserve"> </w:t>
      </w:r>
    </w:p>
    <w:p w14:paraId="4BDCB19D" w14:textId="77777777" w:rsidR="000E6472" w:rsidRDefault="000E6472" w:rsidP="0085533D">
      <w:pPr>
        <w:spacing w:line="360" w:lineRule="auto"/>
        <w:contextualSpacing/>
        <w:rPr>
          <w:rFonts w:ascii="Times New Roman" w:hAnsi="Times New Roman" w:cs="Times New Roman"/>
          <w:i/>
          <w:iCs/>
        </w:rPr>
      </w:pPr>
    </w:p>
    <w:p w14:paraId="296ECE41" w14:textId="253DB886" w:rsidR="008D5139" w:rsidRPr="008D5139" w:rsidRDefault="008D5139" w:rsidP="0085533D">
      <w:pPr>
        <w:spacing w:line="360" w:lineRule="auto"/>
        <w:contextualSpacing/>
        <w:rPr>
          <w:rFonts w:ascii="Times New Roman" w:hAnsi="Times New Roman" w:cs="Times New Roman"/>
          <w:i/>
          <w:iCs/>
        </w:rPr>
      </w:pPr>
      <w:r w:rsidRPr="008D5139">
        <w:rPr>
          <w:rFonts w:ascii="Times New Roman" w:hAnsi="Times New Roman" w:cs="Times New Roman"/>
          <w:i/>
          <w:iCs/>
        </w:rPr>
        <w:t>Benefit-Cost</w:t>
      </w:r>
      <w:r w:rsidR="00E33679">
        <w:rPr>
          <w:rFonts w:ascii="Times New Roman" w:hAnsi="Times New Roman" w:cs="Times New Roman"/>
          <w:i/>
          <w:iCs/>
        </w:rPr>
        <w:t>,</w:t>
      </w:r>
      <w:r w:rsidR="001819FD">
        <w:rPr>
          <w:rFonts w:ascii="Times New Roman" w:hAnsi="Times New Roman" w:cs="Times New Roman"/>
          <w:i/>
          <w:iCs/>
        </w:rPr>
        <w:t xml:space="preserve"> </w:t>
      </w:r>
      <w:r w:rsidRPr="008D5139">
        <w:rPr>
          <w:rFonts w:ascii="Times New Roman" w:hAnsi="Times New Roman" w:cs="Times New Roman"/>
          <w:i/>
          <w:iCs/>
        </w:rPr>
        <w:t>Decision Analysis</w:t>
      </w:r>
      <w:r w:rsidR="00E33679">
        <w:rPr>
          <w:rFonts w:ascii="Times New Roman" w:hAnsi="Times New Roman" w:cs="Times New Roman"/>
          <w:i/>
          <w:iCs/>
        </w:rPr>
        <w:t xml:space="preserve"> or Both?</w:t>
      </w:r>
    </w:p>
    <w:p w14:paraId="7739CD32" w14:textId="7E3497D8" w:rsidR="008D5139" w:rsidRDefault="008D5139" w:rsidP="0069684D">
      <w:pPr>
        <w:spacing w:line="360" w:lineRule="auto"/>
        <w:contextualSpacing/>
        <w:rPr>
          <w:rFonts w:ascii="Times New Roman" w:hAnsi="Times New Roman" w:cs="Times New Roman"/>
        </w:rPr>
      </w:pPr>
      <w:r w:rsidRPr="008D5139">
        <w:rPr>
          <w:rFonts w:ascii="Times New Roman" w:hAnsi="Times New Roman" w:cs="Times New Roman"/>
        </w:rPr>
        <w:t xml:space="preserve">Both benefit-cost and decision analysis (BCA, DA) are core techniques to inform the </w:t>
      </w:r>
      <w:r w:rsidR="001819FD">
        <w:rPr>
          <w:rFonts w:ascii="Times New Roman" w:hAnsi="Times New Roman" w:cs="Times New Roman"/>
        </w:rPr>
        <w:t xml:space="preserve">welfare impacts and </w:t>
      </w:r>
      <w:r w:rsidRPr="008D5139">
        <w:rPr>
          <w:rFonts w:ascii="Times New Roman" w:hAnsi="Times New Roman" w:cs="Times New Roman"/>
        </w:rPr>
        <w:t>net benefits of government investment decisions (</w:t>
      </w:r>
      <w:r w:rsidR="002B0EB9">
        <w:rPr>
          <w:rFonts w:ascii="Times New Roman" w:hAnsi="Times New Roman" w:cs="Times New Roman"/>
        </w:rPr>
        <w:t>Boardman, et al., 2017,</w:t>
      </w:r>
      <w:r w:rsidRPr="008D5139">
        <w:rPr>
          <w:rFonts w:ascii="Times New Roman" w:hAnsi="Times New Roman" w:cs="Times New Roman"/>
        </w:rPr>
        <w:t xml:space="preserve"> Weimer and Vining, 2017).  BCA is </w:t>
      </w:r>
      <w:r w:rsidR="00E33679">
        <w:rPr>
          <w:rFonts w:ascii="Times New Roman" w:hAnsi="Times New Roman" w:cs="Times New Roman"/>
        </w:rPr>
        <w:t xml:space="preserve">most familiar to economists and </w:t>
      </w:r>
      <w:r w:rsidRPr="008D5139">
        <w:rPr>
          <w:rFonts w:ascii="Times New Roman" w:hAnsi="Times New Roman" w:cs="Times New Roman"/>
        </w:rPr>
        <w:t xml:space="preserve">identified in government guidance as the appropriate tool for US Government investments in general and for analyzing regulation (OMB </w:t>
      </w:r>
      <w:r w:rsidR="000E6472">
        <w:rPr>
          <w:rFonts w:ascii="Times New Roman" w:hAnsi="Times New Roman" w:cs="Times New Roman"/>
        </w:rPr>
        <w:t>1993</w:t>
      </w:r>
      <w:r w:rsidRPr="008D5139">
        <w:rPr>
          <w:rFonts w:ascii="Times New Roman" w:hAnsi="Times New Roman" w:cs="Times New Roman"/>
        </w:rPr>
        <w:t xml:space="preserve">, </w:t>
      </w:r>
      <w:r w:rsidR="000E6472">
        <w:rPr>
          <w:rFonts w:ascii="Times New Roman" w:hAnsi="Times New Roman" w:cs="Times New Roman"/>
        </w:rPr>
        <w:t>2003</w:t>
      </w:r>
      <w:r w:rsidRPr="008D5139">
        <w:rPr>
          <w:rFonts w:ascii="Times New Roman" w:hAnsi="Times New Roman" w:cs="Times New Roman"/>
        </w:rPr>
        <w:t>).  The DA structure will be useful</w:t>
      </w:r>
      <w:r w:rsidR="00853202">
        <w:rPr>
          <w:rFonts w:ascii="Times New Roman" w:hAnsi="Times New Roman" w:cs="Times New Roman"/>
        </w:rPr>
        <w:t xml:space="preserve"> however</w:t>
      </w:r>
      <w:r w:rsidRPr="008D5139">
        <w:rPr>
          <w:rFonts w:ascii="Times New Roman" w:hAnsi="Times New Roman" w:cs="Times New Roman"/>
        </w:rPr>
        <w:t xml:space="preserve"> to present results </w:t>
      </w:r>
      <w:r w:rsidR="0069684D">
        <w:rPr>
          <w:rFonts w:ascii="Times New Roman" w:hAnsi="Times New Roman" w:cs="Times New Roman"/>
        </w:rPr>
        <w:t xml:space="preserve">by </w:t>
      </w:r>
      <w:r w:rsidRPr="008D5139">
        <w:rPr>
          <w:rFonts w:ascii="Times New Roman" w:hAnsi="Times New Roman" w:cs="Times New Roman"/>
        </w:rPr>
        <w:t>outcome</w:t>
      </w:r>
      <w:r w:rsidR="00853202">
        <w:rPr>
          <w:rFonts w:ascii="Times New Roman" w:hAnsi="Times New Roman" w:cs="Times New Roman"/>
        </w:rPr>
        <w:t xml:space="preserve"> </w:t>
      </w:r>
      <w:r w:rsidR="00853202">
        <w:rPr>
          <w:rFonts w:ascii="Times New Roman" w:hAnsi="Times New Roman" w:cs="Times New Roman"/>
        </w:rPr>
        <w:lastRenderedPageBreak/>
        <w:t>categories</w:t>
      </w:r>
      <w:r w:rsidRPr="008D5139">
        <w:rPr>
          <w:rFonts w:ascii="Times New Roman" w:hAnsi="Times New Roman" w:cs="Times New Roman"/>
        </w:rPr>
        <w:t xml:space="preserve">, such as removing an illegal </w:t>
      </w:r>
      <w:r w:rsidR="0069684D">
        <w:rPr>
          <w:rFonts w:ascii="Times New Roman" w:hAnsi="Times New Roman" w:cs="Times New Roman"/>
        </w:rPr>
        <w:t xml:space="preserve">immigrant </w:t>
      </w:r>
      <w:r w:rsidRPr="008D5139">
        <w:rPr>
          <w:rFonts w:ascii="Times New Roman" w:hAnsi="Times New Roman" w:cs="Times New Roman"/>
        </w:rPr>
        <w:t xml:space="preserve">or granting asylum. </w:t>
      </w:r>
      <w:r w:rsidR="0069684D">
        <w:rPr>
          <w:rFonts w:ascii="Times New Roman" w:hAnsi="Times New Roman" w:cs="Times New Roman"/>
        </w:rPr>
        <w:t xml:space="preserve">Presenting results in both formats increases the relevant metrics </w:t>
      </w:r>
      <w:r w:rsidR="002B0EB9">
        <w:rPr>
          <w:rFonts w:ascii="Times New Roman" w:hAnsi="Times New Roman" w:cs="Times New Roman"/>
        </w:rPr>
        <w:t>without changing the bottom-line.</w:t>
      </w:r>
    </w:p>
    <w:p w14:paraId="75930B1D" w14:textId="77777777" w:rsidR="0069684D" w:rsidRPr="008D5139" w:rsidRDefault="0069684D" w:rsidP="0069684D">
      <w:pPr>
        <w:spacing w:line="360" w:lineRule="auto"/>
        <w:contextualSpacing/>
        <w:rPr>
          <w:rFonts w:ascii="Times New Roman" w:hAnsi="Times New Roman" w:cs="Times New Roman"/>
        </w:rPr>
      </w:pPr>
    </w:p>
    <w:p w14:paraId="68CAC69E" w14:textId="28466683" w:rsidR="008D5139" w:rsidRPr="008D5139" w:rsidRDefault="008D5139" w:rsidP="0085533D">
      <w:pPr>
        <w:pStyle w:val="Heading1"/>
        <w:spacing w:line="360" w:lineRule="auto"/>
      </w:pPr>
      <w:bookmarkStart w:id="3" w:name="_Toc80602201"/>
      <w:r w:rsidRPr="008D5139">
        <w:t>Outcome</w:t>
      </w:r>
      <w:bookmarkEnd w:id="3"/>
      <w:r w:rsidR="0069684D">
        <w:t>s</w:t>
      </w:r>
      <w:r w:rsidR="007E334B">
        <w:t xml:space="preserve"> </w:t>
      </w:r>
    </w:p>
    <w:p w14:paraId="463279F5" w14:textId="280E15B9"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Flows of people at the US border are large and variable over time.  National and international economic, policy and political conditions affect business and leisure travel, migration, refugees, asylees, and so on.  This section reports the size of the initially inadmissible portion of those flows in </w:t>
      </w:r>
      <w:r w:rsidR="00243030">
        <w:rPr>
          <w:rFonts w:ascii="Times New Roman" w:hAnsi="Times New Roman" w:cs="Times New Roman"/>
        </w:rPr>
        <w:t xml:space="preserve">the </w:t>
      </w:r>
      <w:r w:rsidRPr="008D5139">
        <w:rPr>
          <w:rFonts w:ascii="Times New Roman" w:hAnsi="Times New Roman" w:cs="Times New Roman"/>
        </w:rPr>
        <w:t xml:space="preserve">context of total flows and identifies major categories of the initially inadmissible.  Percentages are provided for 2017, a year for which data are generally available, and prior to expanded family separation by the Trump Administration, Covid, and the initial policies of the Biden Administration which are </w:t>
      </w:r>
      <w:r w:rsidR="00B303A0">
        <w:rPr>
          <w:rFonts w:ascii="Times New Roman" w:hAnsi="Times New Roman" w:cs="Times New Roman"/>
        </w:rPr>
        <w:t xml:space="preserve">here </w:t>
      </w:r>
      <w:r w:rsidRPr="008D5139">
        <w:rPr>
          <w:rFonts w:ascii="Times New Roman" w:hAnsi="Times New Roman" w:cs="Times New Roman"/>
        </w:rPr>
        <w:t>viewed as short-term shocks until border policy becomes more settled.</w:t>
      </w:r>
      <w:r w:rsidR="0069684D">
        <w:rPr>
          <w:rFonts w:ascii="Times New Roman" w:hAnsi="Times New Roman" w:cs="Times New Roman"/>
        </w:rPr>
        <w:t xml:space="preserve"> </w:t>
      </w:r>
    </w:p>
    <w:p w14:paraId="197D8EB0" w14:textId="35BEF72A"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The initially inadmissible, here defined as those apprehended between POEs or deemed inadmissible at POEs but omitting illegal maritime</w:t>
      </w:r>
      <w:r w:rsidR="00243030">
        <w:rPr>
          <w:rFonts w:ascii="Times New Roman" w:hAnsi="Times New Roman" w:cs="Times New Roman"/>
        </w:rPr>
        <w:t xml:space="preserve"> and airport</w:t>
      </w:r>
      <w:r w:rsidRPr="008D5139">
        <w:rPr>
          <w:rFonts w:ascii="Times New Roman" w:hAnsi="Times New Roman" w:cs="Times New Roman"/>
        </w:rPr>
        <w:t xml:space="preserve"> flows, are a small proportion of total presentations at the border, less than 1 percent.  The focus of this paper is about 800,000 events (some individuals are encountered more than once)</w:t>
      </w:r>
      <w:r w:rsidR="0069684D">
        <w:rPr>
          <w:rFonts w:ascii="Times New Roman" w:hAnsi="Times New Roman" w:cs="Times New Roman"/>
        </w:rPr>
        <w:t xml:space="preserve"> in 2017</w:t>
      </w:r>
      <w:r w:rsidRPr="008D5139">
        <w:rPr>
          <w:rFonts w:ascii="Times New Roman" w:hAnsi="Times New Roman" w:cs="Times New Roman"/>
        </w:rPr>
        <w:t>.</w:t>
      </w:r>
    </w:p>
    <w:p w14:paraId="00D7B1E2" w14:textId="36AFEF59"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Three </w:t>
      </w:r>
      <w:r w:rsidR="0069684D">
        <w:rPr>
          <w:rFonts w:ascii="Times New Roman" w:hAnsi="Times New Roman" w:cs="Times New Roman"/>
        </w:rPr>
        <w:t xml:space="preserve">categories </w:t>
      </w:r>
      <w:r w:rsidRPr="008D5139">
        <w:rPr>
          <w:rFonts w:ascii="Times New Roman" w:hAnsi="Times New Roman" w:cs="Times New Roman"/>
        </w:rPr>
        <w:t>of events do not result in direct interaction with the border management system.  The Get Away category, estimated at 2</w:t>
      </w:r>
      <w:r w:rsidR="006146AC">
        <w:rPr>
          <w:rFonts w:ascii="Times New Roman" w:hAnsi="Times New Roman" w:cs="Times New Roman"/>
        </w:rPr>
        <w:t>0</w:t>
      </w:r>
      <w:r w:rsidRPr="008D5139">
        <w:rPr>
          <w:rFonts w:ascii="Times New Roman" w:hAnsi="Times New Roman" w:cs="Times New Roman"/>
        </w:rPr>
        <w:t xml:space="preserve"> percent of the total, is based on observation at the border and model estimates of total attempted crossings (DHS, 2019).  These individuals are assumed to add to the population of illegal immigrants in the US.  Turn Backs, </w:t>
      </w:r>
      <w:r w:rsidR="00243030" w:rsidRPr="008D5139">
        <w:rPr>
          <w:rFonts w:ascii="Times New Roman" w:hAnsi="Times New Roman" w:cs="Times New Roman"/>
        </w:rPr>
        <w:t xml:space="preserve">12 percent of the total </w:t>
      </w:r>
      <w:r w:rsidR="00243030">
        <w:rPr>
          <w:rFonts w:ascii="Times New Roman" w:hAnsi="Times New Roman" w:cs="Times New Roman"/>
        </w:rPr>
        <w:t xml:space="preserve">are </w:t>
      </w:r>
      <w:r w:rsidRPr="008D5139">
        <w:rPr>
          <w:rFonts w:ascii="Times New Roman" w:hAnsi="Times New Roman" w:cs="Times New Roman"/>
        </w:rPr>
        <w:t>based on indirect and direct observation (DHS, 2019)</w:t>
      </w:r>
      <w:r w:rsidR="00243030">
        <w:rPr>
          <w:rFonts w:ascii="Times New Roman" w:hAnsi="Times New Roman" w:cs="Times New Roman"/>
        </w:rPr>
        <w:t xml:space="preserve"> of those who</w:t>
      </w:r>
      <w:r w:rsidRPr="008D5139">
        <w:rPr>
          <w:rFonts w:ascii="Times New Roman" w:hAnsi="Times New Roman" w:cs="Times New Roman"/>
        </w:rPr>
        <w:t xml:space="preserve"> illegally enter the US but return to their country without being apprehended or </w:t>
      </w:r>
      <w:r w:rsidR="00DE1E9B">
        <w:rPr>
          <w:rFonts w:ascii="Times New Roman" w:hAnsi="Times New Roman" w:cs="Times New Roman"/>
        </w:rPr>
        <w:t xml:space="preserve">becoming a </w:t>
      </w:r>
      <w:r w:rsidRPr="008D5139">
        <w:rPr>
          <w:rFonts w:ascii="Times New Roman" w:hAnsi="Times New Roman" w:cs="Times New Roman"/>
        </w:rPr>
        <w:t xml:space="preserve">Get Away.  Some of these will try to re-cross the border.  Both Turn Backs and Get Aways </w:t>
      </w:r>
      <w:r w:rsidRPr="008D5139">
        <w:rPr>
          <w:rFonts w:ascii="Times New Roman" w:hAnsi="Times New Roman" w:cs="Times New Roman"/>
        </w:rPr>
        <w:lastRenderedPageBreak/>
        <w:t>are assumed to be a mixture of non-criminal and criminal individuals consistent with proportions from observed enforcement actions.   DHS also reports on about 300 individual deaths within the United States that they investigate along the Southwest border, whether in the desert or along waterways.  As DHS does not investigate all such cases, the number reported by DHS is adjusted by evidence in the Tucson sector.  That evidence suggests that actual deaths are about 70 percent greater than the reported number of deaths (Humane Borders, 2021</w:t>
      </w:r>
      <w:r w:rsidR="00F80DC7">
        <w:rPr>
          <w:rFonts w:ascii="Times New Roman" w:hAnsi="Times New Roman" w:cs="Times New Roman"/>
        </w:rPr>
        <w:t>; GAO, 2021</w:t>
      </w:r>
      <w:r w:rsidRPr="008D5139">
        <w:rPr>
          <w:rFonts w:ascii="Times New Roman" w:hAnsi="Times New Roman" w:cs="Times New Roman"/>
        </w:rPr>
        <w:t xml:space="preserve">) such that mortality </w:t>
      </w:r>
      <w:r w:rsidR="00243030">
        <w:rPr>
          <w:rFonts w:ascii="Times New Roman" w:hAnsi="Times New Roman" w:cs="Times New Roman"/>
        </w:rPr>
        <w:t xml:space="preserve">is </w:t>
      </w:r>
      <w:r w:rsidRPr="008D5139">
        <w:rPr>
          <w:rFonts w:ascii="Times New Roman" w:hAnsi="Times New Roman" w:cs="Times New Roman"/>
        </w:rPr>
        <w:t>about .0</w:t>
      </w:r>
      <w:r w:rsidR="006146AC">
        <w:rPr>
          <w:rFonts w:ascii="Times New Roman" w:hAnsi="Times New Roman" w:cs="Times New Roman"/>
        </w:rPr>
        <w:t>6</w:t>
      </w:r>
      <w:r w:rsidRPr="008D5139">
        <w:rPr>
          <w:rFonts w:ascii="Times New Roman" w:hAnsi="Times New Roman" w:cs="Times New Roman"/>
        </w:rPr>
        <w:t xml:space="preserve"> percent of</w:t>
      </w:r>
      <w:r w:rsidR="006146AC">
        <w:rPr>
          <w:rFonts w:ascii="Times New Roman" w:hAnsi="Times New Roman" w:cs="Times New Roman"/>
        </w:rPr>
        <w:t xml:space="preserve"> the </w:t>
      </w:r>
      <w:r w:rsidRPr="008D5139">
        <w:rPr>
          <w:rFonts w:ascii="Times New Roman" w:hAnsi="Times New Roman" w:cs="Times New Roman"/>
        </w:rPr>
        <w:t xml:space="preserve">cases. </w:t>
      </w:r>
    </w:p>
    <w:p w14:paraId="2ABA2E08" w14:textId="31C0341F" w:rsidR="00DE2CF6" w:rsidRPr="00870708"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Enforcement actions include those deemed Inadmissible by CBP and Apprehended by the Border Patrol (BP).   Within these categories are humanitarian actions comprising about one-third of all cases in 2017.  </w:t>
      </w:r>
      <w:r w:rsidR="00A16AAD">
        <w:rPr>
          <w:rFonts w:ascii="Times New Roman" w:hAnsi="Times New Roman" w:cs="Times New Roman"/>
        </w:rPr>
        <w:t xml:space="preserve">Humanitarian cases are </w:t>
      </w:r>
      <w:r w:rsidRPr="008D5139">
        <w:rPr>
          <w:rFonts w:ascii="Times New Roman" w:hAnsi="Times New Roman" w:cs="Times New Roman"/>
        </w:rPr>
        <w:t>th</w:t>
      </w:r>
      <w:r w:rsidR="00A16AAD">
        <w:rPr>
          <w:rFonts w:ascii="Times New Roman" w:hAnsi="Times New Roman" w:cs="Times New Roman"/>
        </w:rPr>
        <w:t>o</w:t>
      </w:r>
      <w:r w:rsidRPr="008D5139">
        <w:rPr>
          <w:rFonts w:ascii="Times New Roman" w:hAnsi="Times New Roman" w:cs="Times New Roman"/>
        </w:rPr>
        <w:t xml:space="preserve">se are people seeking asylum or are unaccompanied children who are likely to be taken </w:t>
      </w:r>
      <w:r w:rsidR="00A16AAD">
        <w:rPr>
          <w:rFonts w:ascii="Times New Roman" w:hAnsi="Times New Roman" w:cs="Times New Roman"/>
        </w:rPr>
        <w:t xml:space="preserve">at least temporarily </w:t>
      </w:r>
      <w:r w:rsidRPr="008D5139">
        <w:rPr>
          <w:rFonts w:ascii="Times New Roman" w:hAnsi="Times New Roman" w:cs="Times New Roman"/>
        </w:rPr>
        <w:t xml:space="preserve">into custodial care, a controversial issue.  </w:t>
      </w:r>
    </w:p>
    <w:p w14:paraId="7391D6F0" w14:textId="75BEFA52"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Those seeking asylum, either affirmatively as they arrive or defensively as they are in the process of being removed, must go through a complex process central to which is establishing “credible fear” if they</w:t>
      </w:r>
      <w:r w:rsidR="00DE1E9B">
        <w:rPr>
          <w:rFonts w:ascii="Times New Roman" w:hAnsi="Times New Roman" w:cs="Times New Roman"/>
        </w:rPr>
        <w:t xml:space="preserve"> were to</w:t>
      </w:r>
      <w:r w:rsidRPr="008D5139">
        <w:rPr>
          <w:rFonts w:ascii="Times New Roman" w:hAnsi="Times New Roman" w:cs="Times New Roman"/>
        </w:rPr>
        <w:t xml:space="preserve"> </w:t>
      </w:r>
      <w:r w:rsidR="00DE1E9B">
        <w:rPr>
          <w:rFonts w:ascii="Times New Roman" w:hAnsi="Times New Roman" w:cs="Times New Roman"/>
        </w:rPr>
        <w:t>be</w:t>
      </w:r>
      <w:r w:rsidRPr="008D5139">
        <w:rPr>
          <w:rFonts w:ascii="Times New Roman" w:hAnsi="Times New Roman" w:cs="Times New Roman"/>
        </w:rPr>
        <w:t xml:space="preserve"> in their home country.  Of these humanitarian cases, Unaccompanied Minors</w:t>
      </w:r>
      <w:r w:rsidR="00DE1E9B">
        <w:rPr>
          <w:rFonts w:ascii="Times New Roman" w:hAnsi="Times New Roman" w:cs="Times New Roman"/>
        </w:rPr>
        <w:t xml:space="preserve"> (UAM)</w:t>
      </w:r>
      <w:r w:rsidRPr="008D5139">
        <w:rPr>
          <w:rFonts w:ascii="Times New Roman" w:hAnsi="Times New Roman" w:cs="Times New Roman"/>
        </w:rPr>
        <w:t>, Family Units</w:t>
      </w:r>
      <w:r w:rsidR="00DE1E9B">
        <w:rPr>
          <w:rFonts w:ascii="Times New Roman" w:hAnsi="Times New Roman" w:cs="Times New Roman"/>
        </w:rPr>
        <w:t xml:space="preserve"> (FU)</w:t>
      </w:r>
      <w:r w:rsidRPr="008D5139">
        <w:rPr>
          <w:rFonts w:ascii="Times New Roman" w:hAnsi="Times New Roman" w:cs="Times New Roman"/>
        </w:rPr>
        <w:t>, and Adults</w:t>
      </w:r>
      <w:r w:rsidR="00DE1E9B">
        <w:rPr>
          <w:rFonts w:ascii="Times New Roman" w:hAnsi="Times New Roman" w:cs="Times New Roman"/>
        </w:rPr>
        <w:t xml:space="preserve"> (Other Humanitarian)</w:t>
      </w:r>
      <w:r w:rsidRPr="008D5139">
        <w:rPr>
          <w:rFonts w:ascii="Times New Roman" w:hAnsi="Times New Roman" w:cs="Times New Roman"/>
        </w:rPr>
        <w:t xml:space="preserve"> were about </w:t>
      </w:r>
      <w:r w:rsidR="00DE1E9B">
        <w:rPr>
          <w:rFonts w:ascii="Times New Roman" w:hAnsi="Times New Roman" w:cs="Times New Roman"/>
        </w:rPr>
        <w:t>7</w:t>
      </w:r>
      <w:r w:rsidRPr="008D5139">
        <w:rPr>
          <w:rFonts w:ascii="Times New Roman" w:hAnsi="Times New Roman" w:cs="Times New Roman"/>
        </w:rPr>
        <w:t xml:space="preserve"> percent, </w:t>
      </w:r>
      <w:r w:rsidR="00DE1E9B">
        <w:rPr>
          <w:rFonts w:ascii="Times New Roman" w:hAnsi="Times New Roman" w:cs="Times New Roman"/>
        </w:rPr>
        <w:t>13</w:t>
      </w:r>
      <w:r w:rsidRPr="008D5139">
        <w:rPr>
          <w:rFonts w:ascii="Times New Roman" w:hAnsi="Times New Roman" w:cs="Times New Roman"/>
        </w:rPr>
        <w:t xml:space="preserve"> percent and 1</w:t>
      </w:r>
      <w:r w:rsidR="00DE1E9B">
        <w:rPr>
          <w:rFonts w:ascii="Times New Roman" w:hAnsi="Times New Roman" w:cs="Times New Roman"/>
        </w:rPr>
        <w:t>2</w:t>
      </w:r>
      <w:r w:rsidRPr="008D5139">
        <w:rPr>
          <w:rFonts w:ascii="Times New Roman" w:hAnsi="Times New Roman" w:cs="Times New Roman"/>
        </w:rPr>
        <w:t xml:space="preserve"> percent respectively of total cases in 2017 although there are somewhat </w:t>
      </w:r>
      <w:r w:rsidR="006A03A5">
        <w:rPr>
          <w:rFonts w:ascii="Times New Roman" w:hAnsi="Times New Roman" w:cs="Times New Roman"/>
        </w:rPr>
        <w:t xml:space="preserve">ambiguous and </w:t>
      </w:r>
      <w:r w:rsidRPr="008D5139">
        <w:rPr>
          <w:rFonts w:ascii="Times New Roman" w:hAnsi="Times New Roman" w:cs="Times New Roman"/>
        </w:rPr>
        <w:t xml:space="preserve">overlapping sources of information (DHS, 2019).  Each of these categories has three further sub-groups depending on the resolution of their case.  </w:t>
      </w:r>
      <w:r w:rsidR="00DE1E9B">
        <w:rPr>
          <w:rFonts w:ascii="Times New Roman" w:hAnsi="Times New Roman" w:cs="Times New Roman"/>
        </w:rPr>
        <w:t>Resolution can be</w:t>
      </w:r>
      <w:r w:rsidRPr="008D5139">
        <w:rPr>
          <w:rFonts w:ascii="Times New Roman" w:hAnsi="Times New Roman" w:cs="Times New Roman"/>
        </w:rPr>
        <w:t xml:space="preserve">: 1) achieve legal asylum status, 2) be removed from country after being denied asylum, or 3) can </w:t>
      </w:r>
      <w:r w:rsidR="00DE1E9B">
        <w:rPr>
          <w:rFonts w:ascii="Times New Roman" w:hAnsi="Times New Roman" w:cs="Times New Roman"/>
        </w:rPr>
        <w:t xml:space="preserve">be </w:t>
      </w:r>
      <w:r w:rsidR="00DE1E9B" w:rsidRPr="008D5139">
        <w:rPr>
          <w:rFonts w:ascii="Times New Roman" w:hAnsi="Times New Roman" w:cs="Times New Roman"/>
        </w:rPr>
        <w:t xml:space="preserve">Removed in Absentia (RIA) </w:t>
      </w:r>
      <w:r w:rsidRPr="008D5139">
        <w:rPr>
          <w:rFonts w:ascii="Times New Roman" w:hAnsi="Times New Roman" w:cs="Times New Roman"/>
        </w:rPr>
        <w:t>essentially becom</w:t>
      </w:r>
      <w:r w:rsidR="00DE1E9B">
        <w:rPr>
          <w:rFonts w:ascii="Times New Roman" w:hAnsi="Times New Roman" w:cs="Times New Roman"/>
        </w:rPr>
        <w:t>ing</w:t>
      </w:r>
      <w:r w:rsidRPr="008D5139">
        <w:rPr>
          <w:rFonts w:ascii="Times New Roman" w:hAnsi="Times New Roman" w:cs="Times New Roman"/>
        </w:rPr>
        <w:t xml:space="preserve"> a Get Away.  Pending improved information, these three outcomes for all Humanitarian categories are assumed to follow long run averages </w:t>
      </w:r>
      <w:r w:rsidR="00DE1E9B">
        <w:rPr>
          <w:rFonts w:ascii="Times New Roman" w:hAnsi="Times New Roman" w:cs="Times New Roman"/>
        </w:rPr>
        <w:t>reported</w:t>
      </w:r>
      <w:r w:rsidRPr="008D5139">
        <w:rPr>
          <w:rFonts w:ascii="Times New Roman" w:hAnsi="Times New Roman" w:cs="Times New Roman"/>
        </w:rPr>
        <w:t xml:space="preserve"> by the Department of </w:t>
      </w:r>
      <w:r w:rsidRPr="008D5139">
        <w:rPr>
          <w:rFonts w:ascii="Times New Roman" w:hAnsi="Times New Roman" w:cs="Times New Roman"/>
        </w:rPr>
        <w:lastRenderedPageBreak/>
        <w:t>Justice (DOJ, 2019) of 59 percent being removed, 27 percent Get Away/RIA, and 14 percent achieving legal asylum status.</w:t>
      </w:r>
    </w:p>
    <w:p w14:paraId="3CEFB53E" w14:textId="77777777"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The remaining non-humanitarian, enforcement actions resulting in removal account for 34 percent of the total cases (DHS/CBP, 2021).  For valuation purposes, this category is further divided into non-criminal (32 percent of the total; 93 percent of this category) and criminal cases (2 percent of the total; 7 percent of this category).  Information about the types of prior convictions among the criminals informs both the benefit of both removing a criminal or the cost of a Get Away criminal.</w:t>
      </w:r>
    </w:p>
    <w:p w14:paraId="2C5F82D6" w14:textId="6D875CFB" w:rsidR="004101BD" w:rsidRDefault="008D5139" w:rsidP="004101BD">
      <w:pPr>
        <w:spacing w:after="160" w:line="360" w:lineRule="auto"/>
        <w:rPr>
          <w:rFonts w:ascii="Times New Roman" w:hAnsi="Times New Roman" w:cs="Times New Roman"/>
        </w:rPr>
      </w:pPr>
      <w:r w:rsidRPr="008D5139">
        <w:rPr>
          <w:rFonts w:ascii="Times New Roman" w:hAnsi="Times New Roman" w:cs="Times New Roman"/>
          <w:i/>
          <w:iCs/>
        </w:rPr>
        <w:t>Total, managed, and residual outcomes.</w:t>
      </w:r>
      <w:r w:rsidRPr="008D5139">
        <w:rPr>
          <w:rFonts w:ascii="Times New Roman" w:hAnsi="Times New Roman" w:cs="Times New Roman"/>
        </w:rPr>
        <w:t xml:space="preserve">  </w:t>
      </w:r>
      <w:r w:rsidR="007E334B">
        <w:rPr>
          <w:rFonts w:ascii="Times New Roman" w:hAnsi="Times New Roman" w:cs="Times New Roman"/>
        </w:rPr>
        <w:t>T</w:t>
      </w:r>
      <w:r w:rsidRPr="008D5139">
        <w:rPr>
          <w:rFonts w:ascii="Times New Roman" w:hAnsi="Times New Roman" w:cs="Times New Roman"/>
        </w:rPr>
        <w:t xml:space="preserve">here are 16 </w:t>
      </w:r>
      <w:r w:rsidR="007E334B">
        <w:rPr>
          <w:rFonts w:ascii="Times New Roman" w:hAnsi="Times New Roman" w:cs="Times New Roman"/>
        </w:rPr>
        <w:t>unique</w:t>
      </w:r>
      <w:r w:rsidRPr="008D5139">
        <w:rPr>
          <w:rFonts w:ascii="Times New Roman" w:hAnsi="Times New Roman" w:cs="Times New Roman"/>
        </w:rPr>
        <w:t xml:space="preserve"> outcomes for analysis</w:t>
      </w:r>
      <w:r w:rsidR="007E334B">
        <w:rPr>
          <w:rFonts w:ascii="Times New Roman" w:hAnsi="Times New Roman" w:cs="Times New Roman"/>
        </w:rPr>
        <w:t xml:space="preserve"> as identified in Tables 1 and 2</w:t>
      </w:r>
      <w:r w:rsidRPr="008D5139">
        <w:rPr>
          <w:rFonts w:ascii="Times New Roman" w:hAnsi="Times New Roman" w:cs="Times New Roman"/>
        </w:rPr>
        <w:t xml:space="preserve">.  Importantly, some of the outcomes will be identified as “managed” and others identified as “residual”.    Proportions of the managed are in Table 1 below </w:t>
      </w:r>
      <w:r w:rsidR="006146AC">
        <w:rPr>
          <w:rFonts w:ascii="Times New Roman" w:hAnsi="Times New Roman" w:cs="Times New Roman"/>
        </w:rPr>
        <w:t>where the</w:t>
      </w:r>
      <w:r w:rsidRPr="008D5139">
        <w:rPr>
          <w:rFonts w:ascii="Times New Roman" w:hAnsi="Times New Roman" w:cs="Times New Roman"/>
        </w:rPr>
        <w:t xml:space="preserve"> outcome </w:t>
      </w:r>
      <w:r w:rsidR="004101BD">
        <w:rPr>
          <w:rFonts w:ascii="Times New Roman" w:hAnsi="Times New Roman" w:cs="Times New Roman"/>
        </w:rPr>
        <w:t xml:space="preserve">proportions </w:t>
      </w:r>
      <w:r w:rsidR="006146AC">
        <w:rPr>
          <w:rFonts w:ascii="Times New Roman" w:hAnsi="Times New Roman" w:cs="Times New Roman"/>
        </w:rPr>
        <w:t xml:space="preserve">are </w:t>
      </w:r>
      <w:r w:rsidR="004101BD">
        <w:rPr>
          <w:rFonts w:ascii="Times New Roman" w:hAnsi="Times New Roman" w:cs="Times New Roman"/>
        </w:rPr>
        <w:t xml:space="preserve">used as </w:t>
      </w:r>
      <w:r w:rsidRPr="008D5139">
        <w:rPr>
          <w:rFonts w:ascii="Times New Roman" w:hAnsi="Times New Roman" w:cs="Times New Roman"/>
        </w:rPr>
        <w:t>probabilities for the estimat</w:t>
      </w:r>
      <w:r w:rsidR="006146AC">
        <w:rPr>
          <w:rFonts w:ascii="Times New Roman" w:hAnsi="Times New Roman" w:cs="Times New Roman"/>
        </w:rPr>
        <w:t>ing</w:t>
      </w:r>
      <w:r w:rsidRPr="008D5139">
        <w:rPr>
          <w:rFonts w:ascii="Times New Roman" w:hAnsi="Times New Roman" w:cs="Times New Roman"/>
        </w:rPr>
        <w:t xml:space="preserve"> </w:t>
      </w:r>
      <w:r w:rsidR="004101BD">
        <w:rPr>
          <w:rFonts w:ascii="Times New Roman" w:hAnsi="Times New Roman" w:cs="Times New Roman"/>
        </w:rPr>
        <w:t xml:space="preserve">expected </w:t>
      </w:r>
      <w:r w:rsidRPr="008D5139">
        <w:rPr>
          <w:rFonts w:ascii="Times New Roman" w:hAnsi="Times New Roman" w:cs="Times New Roman"/>
        </w:rPr>
        <w:t xml:space="preserve">net benefits.  </w:t>
      </w:r>
      <w:r w:rsidR="006A03A5">
        <w:rPr>
          <w:rFonts w:ascii="Times New Roman" w:hAnsi="Times New Roman" w:cs="Times New Roman"/>
        </w:rPr>
        <w:t xml:space="preserve">For example, </w:t>
      </w:r>
      <w:r w:rsidRPr="008D5139">
        <w:rPr>
          <w:rFonts w:ascii="Times New Roman" w:hAnsi="Times New Roman" w:cs="Times New Roman"/>
        </w:rPr>
        <w:t>Removals at the border account for 43 percent of the total managed with three percent of those being criminals.  Additional removals, in each of the humanitarian categories of Unaccompanied Minors (UM), Family Units (FU) and Other Humanitarian, account for 2</w:t>
      </w:r>
      <w:r w:rsidR="004101BD">
        <w:rPr>
          <w:rFonts w:ascii="Times New Roman" w:hAnsi="Times New Roman" w:cs="Times New Roman"/>
        </w:rPr>
        <w:t>4</w:t>
      </w:r>
      <w:r w:rsidRPr="008D5139">
        <w:rPr>
          <w:rFonts w:ascii="Times New Roman" w:hAnsi="Times New Roman" w:cs="Times New Roman"/>
        </w:rPr>
        <w:t xml:space="preserve"> percent of those managed. </w:t>
      </w:r>
    </w:p>
    <w:p w14:paraId="2A3CEBB6" w14:textId="108D5D51" w:rsidR="00357922" w:rsidRDefault="00357922" w:rsidP="004101BD">
      <w:pPr>
        <w:spacing w:after="160" w:line="360" w:lineRule="auto"/>
        <w:rPr>
          <w:rFonts w:ascii="Times New Roman" w:hAnsi="Times New Roman" w:cs="Times New Roman"/>
        </w:rPr>
      </w:pPr>
      <w:r w:rsidRPr="008D5139">
        <w:rPr>
          <w:rFonts w:ascii="Times New Roman" w:hAnsi="Times New Roman" w:cs="Times New Roman"/>
        </w:rPr>
        <w:t>The residual or “unmanaged” outcomes</w:t>
      </w:r>
      <w:r>
        <w:rPr>
          <w:rFonts w:ascii="Times New Roman" w:hAnsi="Times New Roman" w:cs="Times New Roman"/>
        </w:rPr>
        <w:t xml:space="preserve"> </w:t>
      </w:r>
      <w:r w:rsidRPr="008D5139">
        <w:rPr>
          <w:rFonts w:ascii="Times New Roman" w:hAnsi="Times New Roman" w:cs="Times New Roman"/>
        </w:rPr>
        <w:t>are the basis for residual costs that are unchanged from the baseline with the existing technology.  These most clearly include those who Get Away, whether criminal or non-criminal.  Further, some humanitarian cases ultimately Get Away and are Removed in Absentia (RIA) from the asylum process</w:t>
      </w:r>
      <w:r>
        <w:rPr>
          <w:rFonts w:ascii="Times New Roman" w:hAnsi="Times New Roman" w:cs="Times New Roman"/>
        </w:rPr>
        <w:t xml:space="preserve"> as presented in Table 2.</w:t>
      </w:r>
      <w:r w:rsidRPr="008D5139">
        <w:rPr>
          <w:rFonts w:ascii="Times New Roman" w:hAnsi="Times New Roman" w:cs="Times New Roman"/>
        </w:rPr>
        <w:t xml:space="preserve">  Note that the humanitarian RIA cases appear in both Table 1 and Table 2 to facilitate tracking the different kinds of costs they impose on the system</w:t>
      </w:r>
    </w:p>
    <w:p w14:paraId="1A41A839" w14:textId="77777777" w:rsidR="00357922" w:rsidRDefault="00357922" w:rsidP="004101BD">
      <w:pPr>
        <w:spacing w:after="160" w:line="360" w:lineRule="auto"/>
        <w:rPr>
          <w:rFonts w:ascii="Times New Roman" w:hAnsi="Times New Roman" w:cs="Times New Roman"/>
        </w:rPr>
      </w:pPr>
    </w:p>
    <w:p w14:paraId="47F219A4" w14:textId="06DC4167" w:rsidR="008D5139" w:rsidRDefault="004101BD" w:rsidP="004101BD">
      <w:pPr>
        <w:spacing w:after="160" w:line="360" w:lineRule="auto"/>
        <w:jc w:val="center"/>
        <w:rPr>
          <w:rFonts w:ascii="Times New Roman" w:hAnsi="Times New Roman" w:cs="Times New Roman"/>
        </w:rPr>
      </w:pPr>
      <w:r>
        <w:rPr>
          <w:rFonts w:ascii="Times New Roman" w:hAnsi="Times New Roman" w:cs="Times New Roman"/>
        </w:rPr>
        <w:lastRenderedPageBreak/>
        <w:t xml:space="preserve">          </w:t>
      </w:r>
      <w:r w:rsidR="008D5139" w:rsidRPr="008D5139">
        <w:rPr>
          <w:rFonts w:ascii="Times New Roman" w:hAnsi="Times New Roman" w:cs="Times New Roman"/>
        </w:rPr>
        <w:t>Table 1:  Managed outcomes analyzed</w:t>
      </w:r>
      <w:r w:rsidR="0020518E">
        <w:rPr>
          <w:rFonts w:ascii="Times New Roman" w:hAnsi="Times New Roman" w:cs="Times New Roman"/>
        </w:rPr>
        <w:t>, 2017</w:t>
      </w:r>
    </w:p>
    <w:p w14:paraId="2DCE9381" w14:textId="6446018D" w:rsidR="008D5139" w:rsidRDefault="00704239" w:rsidP="004101BD">
      <w:pPr>
        <w:spacing w:after="160" w:line="360" w:lineRule="auto"/>
        <w:ind w:firstLine="720"/>
        <w:jc w:val="center"/>
        <w:rPr>
          <w:rFonts w:ascii="Times New Roman" w:hAnsi="Times New Roman" w:cs="Times New Roman"/>
        </w:rPr>
      </w:pPr>
      <w:r w:rsidRPr="00704239">
        <w:rPr>
          <w:noProof/>
        </w:rPr>
        <w:drawing>
          <wp:inline distT="0" distB="0" distL="0" distR="0" wp14:anchorId="7208BEFE" wp14:editId="5572045A">
            <wp:extent cx="3300702" cy="4053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028" cy="4071434"/>
                    </a:xfrm>
                    <a:prstGeom prst="rect">
                      <a:avLst/>
                    </a:prstGeom>
                    <a:noFill/>
                    <a:ln>
                      <a:noFill/>
                    </a:ln>
                  </pic:spPr>
                </pic:pic>
              </a:graphicData>
            </a:graphic>
          </wp:inline>
        </w:drawing>
      </w:r>
    </w:p>
    <w:p w14:paraId="5ECD40F5" w14:textId="454D0CC2" w:rsidR="008D5139" w:rsidRDefault="008D5139" w:rsidP="0085533D">
      <w:pPr>
        <w:spacing w:after="160" w:line="360" w:lineRule="auto"/>
        <w:ind w:firstLine="720"/>
        <w:jc w:val="center"/>
        <w:rPr>
          <w:rFonts w:ascii="Times New Roman" w:hAnsi="Times New Roman" w:cs="Times New Roman"/>
        </w:rPr>
      </w:pPr>
      <w:r w:rsidRPr="008D5139">
        <w:rPr>
          <w:rFonts w:ascii="Times New Roman" w:hAnsi="Times New Roman" w:cs="Times New Roman"/>
        </w:rPr>
        <w:t xml:space="preserve">Table 2:  Residual outcome </w:t>
      </w:r>
      <w:r w:rsidR="00C672C8">
        <w:rPr>
          <w:rFonts w:ascii="Times New Roman" w:hAnsi="Times New Roman" w:cs="Times New Roman"/>
        </w:rPr>
        <w:t>analyzed</w:t>
      </w:r>
      <w:r w:rsidRPr="008D5139">
        <w:rPr>
          <w:rFonts w:ascii="Times New Roman" w:hAnsi="Times New Roman" w:cs="Times New Roman"/>
        </w:rPr>
        <w:t>, 2017</w:t>
      </w:r>
    </w:p>
    <w:p w14:paraId="77FFD251" w14:textId="5B94EE42" w:rsidR="007E334B" w:rsidRDefault="0036139C" w:rsidP="001B435D">
      <w:pPr>
        <w:spacing w:after="160" w:line="360" w:lineRule="auto"/>
        <w:ind w:firstLine="720"/>
        <w:jc w:val="center"/>
        <w:rPr>
          <w:rFonts w:ascii="Times New Roman" w:hAnsi="Times New Roman" w:cs="Times New Roman"/>
        </w:rPr>
      </w:pPr>
      <w:r w:rsidRPr="0036139C">
        <w:rPr>
          <w:noProof/>
        </w:rPr>
        <w:drawing>
          <wp:inline distT="0" distB="0" distL="0" distR="0" wp14:anchorId="2FCC3F41" wp14:editId="3D5C3451">
            <wp:extent cx="3602482" cy="13590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287" cy="1363459"/>
                    </a:xfrm>
                    <a:prstGeom prst="rect">
                      <a:avLst/>
                    </a:prstGeom>
                    <a:noFill/>
                    <a:ln>
                      <a:noFill/>
                    </a:ln>
                  </pic:spPr>
                </pic:pic>
              </a:graphicData>
            </a:graphic>
          </wp:inline>
        </w:drawing>
      </w:r>
    </w:p>
    <w:p w14:paraId="43DBFFA9" w14:textId="77777777" w:rsidR="00357922" w:rsidRPr="00870708" w:rsidRDefault="00357922" w:rsidP="00357922">
      <w:pPr>
        <w:spacing w:after="160" w:line="360" w:lineRule="auto"/>
        <w:ind w:firstLine="720"/>
        <w:rPr>
          <w:rFonts w:ascii="Times New Roman" w:hAnsi="Times New Roman" w:cs="Times New Roman"/>
          <w:sz w:val="20"/>
          <w:szCs w:val="20"/>
        </w:rPr>
      </w:pPr>
      <w:r w:rsidRPr="00870708">
        <w:rPr>
          <w:rFonts w:ascii="Times New Roman" w:hAnsi="Times New Roman" w:cs="Times New Roman"/>
          <w:sz w:val="20"/>
          <w:szCs w:val="20"/>
        </w:rPr>
        <w:t xml:space="preserve">Source:  author’s calculations based on </w:t>
      </w:r>
      <w:r>
        <w:rPr>
          <w:rFonts w:ascii="Times New Roman" w:hAnsi="Times New Roman" w:cs="Times New Roman"/>
          <w:sz w:val="20"/>
          <w:szCs w:val="20"/>
        </w:rPr>
        <w:t xml:space="preserve">public </w:t>
      </w:r>
      <w:r w:rsidRPr="00870708">
        <w:rPr>
          <w:rFonts w:ascii="Times New Roman" w:hAnsi="Times New Roman" w:cs="Times New Roman"/>
          <w:sz w:val="20"/>
          <w:szCs w:val="20"/>
        </w:rPr>
        <w:t>DHS data</w:t>
      </w:r>
    </w:p>
    <w:p w14:paraId="7B854CB0" w14:textId="77777777" w:rsidR="00357922" w:rsidRPr="008D5139" w:rsidRDefault="00357922" w:rsidP="001B435D">
      <w:pPr>
        <w:spacing w:after="160" w:line="360" w:lineRule="auto"/>
        <w:ind w:firstLine="720"/>
        <w:jc w:val="center"/>
        <w:rPr>
          <w:rFonts w:ascii="Times New Roman" w:hAnsi="Times New Roman" w:cs="Times New Roman"/>
        </w:rPr>
      </w:pPr>
    </w:p>
    <w:p w14:paraId="0E85A530" w14:textId="1D7378F1" w:rsidR="008D5139" w:rsidRPr="008D5139" w:rsidRDefault="008D5139" w:rsidP="0085533D">
      <w:pPr>
        <w:pStyle w:val="Heading1"/>
        <w:spacing w:line="360" w:lineRule="auto"/>
      </w:pPr>
      <w:bookmarkStart w:id="4" w:name="_Toc80602202"/>
      <w:r w:rsidRPr="008D5139">
        <w:lastRenderedPageBreak/>
        <w:t>Assumptions and valuation data</w:t>
      </w:r>
      <w:bookmarkEnd w:id="4"/>
    </w:p>
    <w:p w14:paraId="381EDCBC" w14:textId="49E99A5B"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 structure of a decision tree </w:t>
      </w:r>
      <w:r w:rsidR="00225986">
        <w:rPr>
          <w:rFonts w:ascii="Times New Roman" w:hAnsi="Times New Roman" w:cs="Times New Roman"/>
        </w:rPr>
        <w:t>is used to integrate</w:t>
      </w:r>
      <w:r w:rsidRPr="008D5139">
        <w:rPr>
          <w:rFonts w:ascii="Times New Roman" w:hAnsi="Times New Roman" w:cs="Times New Roman"/>
        </w:rPr>
        <w:t xml:space="preserve"> the probabilistic elements and branch outcomes </w:t>
      </w:r>
      <w:r w:rsidR="0054658D">
        <w:rPr>
          <w:rFonts w:ascii="Times New Roman" w:hAnsi="Times New Roman" w:cs="Times New Roman"/>
        </w:rPr>
        <w:t>for the analysis</w:t>
      </w:r>
      <w:r w:rsidRPr="008D5139">
        <w:rPr>
          <w:rFonts w:ascii="Times New Roman" w:hAnsi="Times New Roman" w:cs="Times New Roman"/>
        </w:rPr>
        <w:t xml:space="preserve">.  The </w:t>
      </w:r>
      <w:r w:rsidR="0054658D">
        <w:rPr>
          <w:rFonts w:ascii="Times New Roman" w:hAnsi="Times New Roman" w:cs="Times New Roman"/>
        </w:rPr>
        <w:t xml:space="preserve">frequency-based </w:t>
      </w:r>
      <w:r w:rsidR="0054658D" w:rsidRPr="008D5139">
        <w:rPr>
          <w:rFonts w:ascii="Times New Roman" w:hAnsi="Times New Roman" w:cs="Times New Roman"/>
        </w:rPr>
        <w:t>probability</w:t>
      </w:r>
      <w:r w:rsidRPr="008D5139">
        <w:rPr>
          <w:rFonts w:ascii="Times New Roman" w:hAnsi="Times New Roman" w:cs="Times New Roman"/>
        </w:rPr>
        <w:t xml:space="preserve"> of </w:t>
      </w:r>
      <w:r w:rsidR="0054658D">
        <w:rPr>
          <w:rFonts w:ascii="Times New Roman" w:hAnsi="Times New Roman" w:cs="Times New Roman"/>
        </w:rPr>
        <w:t xml:space="preserve">each </w:t>
      </w:r>
      <w:r w:rsidRPr="008D5139">
        <w:rPr>
          <w:rFonts w:ascii="Times New Roman" w:hAnsi="Times New Roman" w:cs="Times New Roman"/>
        </w:rPr>
        <w:t xml:space="preserve">outcome </w:t>
      </w:r>
      <w:r w:rsidR="0054658D">
        <w:rPr>
          <w:rFonts w:ascii="Times New Roman" w:hAnsi="Times New Roman" w:cs="Times New Roman"/>
        </w:rPr>
        <w:t>is</w:t>
      </w:r>
      <w:r w:rsidRPr="008D5139">
        <w:rPr>
          <w:rFonts w:ascii="Times New Roman" w:hAnsi="Times New Roman" w:cs="Times New Roman"/>
        </w:rPr>
        <w:t xml:space="preserve"> from Table 1.   Most attention </w:t>
      </w:r>
      <w:r w:rsidR="0054658D">
        <w:rPr>
          <w:rFonts w:ascii="Times New Roman" w:hAnsi="Times New Roman" w:cs="Times New Roman"/>
        </w:rPr>
        <w:t xml:space="preserve">is </w:t>
      </w:r>
      <w:r w:rsidRPr="008D5139">
        <w:rPr>
          <w:rFonts w:ascii="Times New Roman" w:hAnsi="Times New Roman" w:cs="Times New Roman"/>
        </w:rPr>
        <w:t xml:space="preserve">devoted </w:t>
      </w:r>
      <w:r w:rsidR="0054658D">
        <w:rPr>
          <w:rFonts w:ascii="Times New Roman" w:hAnsi="Times New Roman" w:cs="Times New Roman"/>
        </w:rPr>
        <w:t xml:space="preserve">here </w:t>
      </w:r>
      <w:r w:rsidRPr="008D5139">
        <w:rPr>
          <w:rFonts w:ascii="Times New Roman" w:hAnsi="Times New Roman" w:cs="Times New Roman"/>
        </w:rPr>
        <w:t>to valuing</w:t>
      </w:r>
      <w:r w:rsidR="0054658D">
        <w:rPr>
          <w:rFonts w:ascii="Times New Roman" w:hAnsi="Times New Roman" w:cs="Times New Roman"/>
        </w:rPr>
        <w:t>, using benefit-cost principles,</w:t>
      </w:r>
      <w:r w:rsidRPr="008D5139">
        <w:rPr>
          <w:rFonts w:ascii="Times New Roman" w:hAnsi="Times New Roman" w:cs="Times New Roman"/>
        </w:rPr>
        <w:t xml:space="preserve"> each of the 14 managed outcomes and two (unique) residual outcomes.  As there are also, by happenstance, 16 potential components to the aggregate value for any </w:t>
      </w:r>
      <w:r w:rsidR="0054658D">
        <w:rPr>
          <w:rFonts w:ascii="Times New Roman" w:hAnsi="Times New Roman" w:cs="Times New Roman"/>
        </w:rPr>
        <w:t xml:space="preserve">particular </w:t>
      </w:r>
      <w:r w:rsidRPr="008D5139">
        <w:rPr>
          <w:rFonts w:ascii="Times New Roman" w:hAnsi="Times New Roman" w:cs="Times New Roman"/>
        </w:rPr>
        <w:t xml:space="preserve">branch; each year of the analysis has the potential for 256 combinations of component values and outcomes (16x16).  Fortunately, many of these hundreds of items are either zero or repeat estimates elsewhere, sometimes with opposite signs.  This section highlights </w:t>
      </w:r>
      <w:r w:rsidR="004C34EA">
        <w:rPr>
          <w:rFonts w:ascii="Times New Roman" w:hAnsi="Times New Roman" w:cs="Times New Roman"/>
        </w:rPr>
        <w:t xml:space="preserve">assumptions </w:t>
      </w:r>
      <w:r w:rsidR="006B0868">
        <w:rPr>
          <w:rFonts w:ascii="Times New Roman" w:hAnsi="Times New Roman" w:cs="Times New Roman"/>
        </w:rPr>
        <w:t xml:space="preserve">for </w:t>
      </w:r>
      <w:r w:rsidRPr="008D5139">
        <w:rPr>
          <w:rFonts w:ascii="Times New Roman" w:hAnsi="Times New Roman" w:cs="Times New Roman"/>
        </w:rPr>
        <w:t xml:space="preserve">some </w:t>
      </w:r>
      <w:r w:rsidR="006B0868">
        <w:rPr>
          <w:rFonts w:ascii="Times New Roman" w:hAnsi="Times New Roman" w:cs="Times New Roman"/>
        </w:rPr>
        <w:t xml:space="preserve">of the more </w:t>
      </w:r>
      <w:r w:rsidRPr="008D5139">
        <w:rPr>
          <w:rFonts w:ascii="Times New Roman" w:hAnsi="Times New Roman" w:cs="Times New Roman"/>
        </w:rPr>
        <w:t>controversial items.</w:t>
      </w:r>
    </w:p>
    <w:p w14:paraId="1306EEEB" w14:textId="41C22936" w:rsidR="008D5139" w:rsidRPr="008D5139" w:rsidRDefault="008D5139" w:rsidP="004C34EA">
      <w:pPr>
        <w:pStyle w:val="Heading2"/>
        <w:numPr>
          <w:ilvl w:val="0"/>
          <w:numId w:val="0"/>
        </w:numPr>
      </w:pPr>
      <w:bookmarkStart w:id="5" w:name="_Toc80602203"/>
      <w:r w:rsidRPr="008D5139">
        <w:t xml:space="preserve">4.1 </w:t>
      </w:r>
      <w:bookmarkEnd w:id="5"/>
      <w:r w:rsidR="006B0868" w:rsidRPr="008D5139">
        <w:rPr>
          <w:shd w:val="clear" w:color="auto" w:fill="FFFFFF"/>
        </w:rPr>
        <w:t>Noteworthy issues in valuation</w:t>
      </w:r>
    </w:p>
    <w:p w14:paraId="3855B80E" w14:textId="77777777" w:rsidR="008D5139" w:rsidRPr="008D5139" w:rsidRDefault="008D5139" w:rsidP="0085533D">
      <w:pPr>
        <w:spacing w:after="160" w:line="360" w:lineRule="auto"/>
        <w:rPr>
          <w:rFonts w:ascii="Times New Roman" w:hAnsi="Times New Roman" w:cs="Times New Roman"/>
          <w:shd w:val="clear" w:color="auto" w:fill="FFFFFF"/>
        </w:rPr>
      </w:pPr>
      <w:r w:rsidRPr="008D5139">
        <w:rPr>
          <w:rFonts w:ascii="Times New Roman" w:hAnsi="Times New Roman" w:cs="Times New Roman"/>
          <w:b/>
          <w:bCs/>
        </w:rPr>
        <w:t xml:space="preserve">Standing:   </w:t>
      </w:r>
      <w:r w:rsidRPr="008D5139">
        <w:rPr>
          <w:rFonts w:ascii="Times New Roman" w:hAnsi="Times New Roman" w:cs="Times New Roman"/>
        </w:rPr>
        <w:t xml:space="preserve">BCAs should clearly define the population whose benefits and costs count, the determination of standing.  That population could be everyone in the world, a country, a state, a region, a city etc. although the determination is usually left as a policy matter to those who would use the analysis (e.g. Whittington and </w:t>
      </w:r>
      <w:proofErr w:type="spellStart"/>
      <w:r w:rsidRPr="008D5139">
        <w:rPr>
          <w:rFonts w:ascii="Times New Roman" w:hAnsi="Times New Roman" w:cs="Times New Roman"/>
        </w:rPr>
        <w:t>MacRae</w:t>
      </w:r>
      <w:proofErr w:type="spellEnd"/>
      <w:r w:rsidRPr="008D5139">
        <w:rPr>
          <w:rFonts w:ascii="Times New Roman" w:hAnsi="Times New Roman" w:cs="Times New Roman"/>
        </w:rPr>
        <w:t xml:space="preserve">, 1990).  Guidance on the topic sometimes takes the form of “social constraints” as to what is legal in a jurisdiction.  To that end, including only legal activity such that benefits and costs to a law breaker are </w:t>
      </w:r>
      <w:r w:rsidRPr="008D5139">
        <w:rPr>
          <w:rFonts w:ascii="Times New Roman" w:hAnsi="Times New Roman" w:cs="Times New Roman"/>
          <w:i/>
          <w:iCs/>
        </w:rPr>
        <w:t>not</w:t>
      </w:r>
      <w:r w:rsidRPr="008D5139">
        <w:rPr>
          <w:rFonts w:ascii="Times New Roman" w:hAnsi="Times New Roman" w:cs="Times New Roman"/>
        </w:rPr>
        <w:t xml:space="preserve"> counted is common practice (e.g., Rowell and Wexler, 2014).  Further, US Government guidance for conducting BCAs for both investment and regulatory purposes states that “</w:t>
      </w:r>
      <w:r w:rsidRPr="008D5139">
        <w:rPr>
          <w:rFonts w:ascii="Times New Roman" w:hAnsi="Times New Roman" w:cs="Times New Roman"/>
          <w:shd w:val="clear" w:color="auto" w:fill="FFFFFF"/>
        </w:rPr>
        <w:t xml:space="preserve">Your analysis should focus on benefits and costs that accrue to citizens and residents of the United States.” (OMB, 2003).  </w:t>
      </w:r>
    </w:p>
    <w:p w14:paraId="4B82D590" w14:textId="4929ACC0" w:rsidR="008D5139" w:rsidRPr="008D5139" w:rsidRDefault="008D5139" w:rsidP="0085533D">
      <w:pPr>
        <w:spacing w:after="160" w:line="360" w:lineRule="auto"/>
        <w:rPr>
          <w:rFonts w:ascii="Times New Roman" w:hAnsi="Times New Roman" w:cs="Times New Roman"/>
          <w:shd w:val="clear" w:color="auto" w:fill="FFFFFF"/>
        </w:rPr>
      </w:pPr>
      <w:r w:rsidRPr="008D5139">
        <w:rPr>
          <w:rFonts w:ascii="Times New Roman" w:hAnsi="Times New Roman" w:cs="Times New Roman"/>
          <w:shd w:val="clear" w:color="auto" w:fill="FFFFFF"/>
        </w:rPr>
        <w:t xml:space="preserve">The implications of standing are central to this analysis.  Regarding those initially inadmissible, all those whose activities are deemed illegal do not have their </w:t>
      </w:r>
      <w:r w:rsidR="00225986">
        <w:rPr>
          <w:rFonts w:ascii="Times New Roman" w:hAnsi="Times New Roman" w:cs="Times New Roman"/>
          <w:shd w:val="clear" w:color="auto" w:fill="FFFFFF"/>
        </w:rPr>
        <w:t xml:space="preserve">own </w:t>
      </w:r>
      <w:r w:rsidRPr="008D5139">
        <w:rPr>
          <w:rFonts w:ascii="Times New Roman" w:hAnsi="Times New Roman" w:cs="Times New Roman"/>
          <w:shd w:val="clear" w:color="auto" w:fill="FFFFFF"/>
        </w:rPr>
        <w:t xml:space="preserve">benefits and costs count, for example income earned by a Got Away within the </w:t>
      </w:r>
      <w:r w:rsidRPr="008D5139">
        <w:rPr>
          <w:rFonts w:ascii="Times New Roman" w:hAnsi="Times New Roman" w:cs="Times New Roman"/>
          <w:shd w:val="clear" w:color="auto" w:fill="FFFFFF"/>
        </w:rPr>
        <w:lastRenderedPageBreak/>
        <w:t>US does not count</w:t>
      </w:r>
      <w:r w:rsidR="00225986">
        <w:rPr>
          <w:rFonts w:ascii="Times New Roman" w:hAnsi="Times New Roman" w:cs="Times New Roman"/>
          <w:shd w:val="clear" w:color="auto" w:fill="FFFFFF"/>
        </w:rPr>
        <w:t xml:space="preserve"> although there is an effect on the labor market and </w:t>
      </w:r>
      <w:r w:rsidR="00E02B20">
        <w:rPr>
          <w:rFonts w:ascii="Times New Roman" w:hAnsi="Times New Roman" w:cs="Times New Roman"/>
          <w:shd w:val="clear" w:color="auto" w:fill="FFFFFF"/>
        </w:rPr>
        <w:t>profits.</w:t>
      </w:r>
      <w:r w:rsidRPr="008D5139">
        <w:rPr>
          <w:rFonts w:ascii="Times New Roman" w:hAnsi="Times New Roman" w:cs="Times New Roman"/>
          <w:shd w:val="clear" w:color="auto" w:fill="FFFFFF"/>
        </w:rPr>
        <w:t xml:space="preserve">  Th</w:t>
      </w:r>
      <w:r w:rsidR="00E02B20">
        <w:rPr>
          <w:rFonts w:ascii="Times New Roman" w:hAnsi="Times New Roman" w:cs="Times New Roman"/>
          <w:shd w:val="clear" w:color="auto" w:fill="FFFFFF"/>
        </w:rPr>
        <w:t>e assumption of standing</w:t>
      </w:r>
      <w:r w:rsidRPr="008D5139">
        <w:rPr>
          <w:rFonts w:ascii="Times New Roman" w:hAnsi="Times New Roman" w:cs="Times New Roman"/>
          <w:shd w:val="clear" w:color="auto" w:fill="FFFFFF"/>
        </w:rPr>
        <w:t xml:space="preserve"> results in </w:t>
      </w:r>
      <w:r w:rsidR="004C34EA">
        <w:rPr>
          <w:rFonts w:ascii="Times New Roman" w:hAnsi="Times New Roman" w:cs="Times New Roman"/>
          <w:shd w:val="clear" w:color="auto" w:fill="FFFFFF"/>
        </w:rPr>
        <w:t>many</w:t>
      </w:r>
      <w:r w:rsidRPr="008D5139">
        <w:rPr>
          <w:rFonts w:ascii="Times New Roman" w:hAnsi="Times New Roman" w:cs="Times New Roman"/>
          <w:shd w:val="clear" w:color="auto" w:fill="FFFFFF"/>
        </w:rPr>
        <w:t xml:space="preserve"> zero </w:t>
      </w:r>
      <w:r w:rsidR="004C34EA">
        <w:rPr>
          <w:rFonts w:ascii="Times New Roman" w:hAnsi="Times New Roman" w:cs="Times New Roman"/>
          <w:shd w:val="clear" w:color="auto" w:fill="FFFFFF"/>
        </w:rPr>
        <w:t xml:space="preserve">category </w:t>
      </w:r>
      <w:r w:rsidRPr="008D5139">
        <w:rPr>
          <w:rFonts w:ascii="Times New Roman" w:hAnsi="Times New Roman" w:cs="Times New Roman"/>
          <w:shd w:val="clear" w:color="auto" w:fill="FFFFFF"/>
        </w:rPr>
        <w:t xml:space="preserve">entries for benefits or costs for those deemed illegal.  However, benefits and costs do count for those whose activities are deemed legal, specifically those granted asylum.  Further, costs borne by US taxpayers and residents do count when </w:t>
      </w:r>
      <w:r w:rsidR="004C34EA">
        <w:rPr>
          <w:rFonts w:ascii="Times New Roman" w:hAnsi="Times New Roman" w:cs="Times New Roman"/>
          <w:shd w:val="clear" w:color="auto" w:fill="FFFFFF"/>
        </w:rPr>
        <w:t>they are associated with a</w:t>
      </w:r>
      <w:r w:rsidRPr="008D5139">
        <w:rPr>
          <w:rFonts w:ascii="Times New Roman" w:hAnsi="Times New Roman" w:cs="Times New Roman"/>
          <w:shd w:val="clear" w:color="auto" w:fill="FFFFFF"/>
        </w:rPr>
        <w:t xml:space="preserve"> person without standing</w:t>
      </w:r>
      <w:r w:rsidR="004C34EA">
        <w:rPr>
          <w:rFonts w:ascii="Times New Roman" w:hAnsi="Times New Roman" w:cs="Times New Roman"/>
          <w:shd w:val="clear" w:color="auto" w:fill="FFFFFF"/>
        </w:rPr>
        <w:t xml:space="preserve">, </w:t>
      </w:r>
      <w:r w:rsidRPr="008D5139">
        <w:rPr>
          <w:rFonts w:ascii="Times New Roman" w:hAnsi="Times New Roman" w:cs="Times New Roman"/>
          <w:shd w:val="clear" w:color="auto" w:fill="FFFFFF"/>
        </w:rPr>
        <w:t>there is no offsetting benefit to the person receiving those benefits.  However, a person with legal status, such as a successful asylum seeker, receives a counter balancing benefit (transfer) to a cost borne by a US taxpayer with a net social impact of zero</w:t>
      </w:r>
      <w:r w:rsidR="004C34EA">
        <w:rPr>
          <w:rFonts w:ascii="Times New Roman" w:hAnsi="Times New Roman" w:cs="Times New Roman"/>
          <w:shd w:val="clear" w:color="auto" w:fill="FFFFFF"/>
        </w:rPr>
        <w:t xml:space="preserve"> in some categories</w:t>
      </w:r>
      <w:r w:rsidRPr="008D5139">
        <w:rPr>
          <w:rFonts w:ascii="Times New Roman" w:hAnsi="Times New Roman" w:cs="Times New Roman"/>
          <w:shd w:val="clear" w:color="auto" w:fill="FFFFFF"/>
        </w:rPr>
        <w:t xml:space="preserve">.  </w:t>
      </w:r>
    </w:p>
    <w:p w14:paraId="705D433C" w14:textId="6D8F3385" w:rsidR="008D5139" w:rsidRPr="008D5139" w:rsidRDefault="008D5139" w:rsidP="0085533D">
      <w:pPr>
        <w:spacing w:after="160" w:line="360" w:lineRule="auto"/>
        <w:rPr>
          <w:rFonts w:ascii="Times New Roman" w:hAnsi="Times New Roman" w:cs="Times New Roman"/>
          <w:shd w:val="clear" w:color="auto" w:fill="FFFFFF"/>
        </w:rPr>
      </w:pPr>
      <w:r w:rsidRPr="008D5139">
        <w:rPr>
          <w:rFonts w:ascii="Times New Roman" w:hAnsi="Times New Roman" w:cs="Times New Roman"/>
          <w:b/>
          <w:bCs/>
          <w:shd w:val="clear" w:color="auto" w:fill="FFFFFF"/>
        </w:rPr>
        <w:t xml:space="preserve">Benefit to successful asylum seekers:  </w:t>
      </w:r>
      <w:r w:rsidRPr="008D5139">
        <w:rPr>
          <w:rFonts w:ascii="Times New Roman" w:hAnsi="Times New Roman" w:cs="Times New Roman"/>
          <w:shd w:val="clear" w:color="auto" w:fill="FFFFFF"/>
        </w:rPr>
        <w:t>Successful asylum seekers are legally in the US and their benefits and costs are included.  The reasons people migrate are many and varied.  They often include expected improvement in their standard of living but a successful asylum application must also demonstrate “</w:t>
      </w:r>
      <w:r w:rsidRPr="008D5139">
        <w:rPr>
          <w:rFonts w:ascii="Times New Roman" w:hAnsi="Times New Roman" w:cs="Times New Roman"/>
          <w:color w:val="202124"/>
          <w:shd w:val="clear" w:color="auto" w:fill="FFFFFF"/>
        </w:rPr>
        <w:t xml:space="preserve">that there is a “reasonable possibility” that he or she will be tortured in the country of removal or persecuted on the basis of race, religion, nationality, political opinion, or membership in a particular social group.” (American Immigration Council, 2021).  This adds a security or “credible fear” dimension to the migration decision.  </w:t>
      </w:r>
      <w:r w:rsidRPr="008D5139">
        <w:rPr>
          <w:rFonts w:ascii="Times New Roman" w:hAnsi="Times New Roman" w:cs="Times New Roman"/>
          <w:shd w:val="clear" w:color="auto" w:fill="FFFFFF"/>
        </w:rPr>
        <w:t>Successful asylees come from all over the world</w:t>
      </w:r>
      <w:r w:rsidR="008010BB">
        <w:rPr>
          <w:rFonts w:ascii="Times New Roman" w:hAnsi="Times New Roman" w:cs="Times New Roman"/>
          <w:shd w:val="clear" w:color="auto" w:fill="FFFFFF"/>
        </w:rPr>
        <w:t xml:space="preserve"> through all types of entry including airports</w:t>
      </w:r>
      <w:r w:rsidRPr="008D5139">
        <w:rPr>
          <w:rFonts w:ascii="Times New Roman" w:hAnsi="Times New Roman" w:cs="Times New Roman"/>
          <w:shd w:val="clear" w:color="auto" w:fill="FFFFFF"/>
        </w:rPr>
        <w:t xml:space="preserve"> but in 2017, the top 5 countries from which asylees were granted (affirmative) asylum were:  Venezuela, People’s Republic of China, Guatemala, El Salvador and Mexico (DHS, 2020).</w:t>
      </w:r>
      <w:r w:rsidRPr="008D5139">
        <w:rPr>
          <w:rFonts w:ascii="Times New Roman" w:hAnsi="Times New Roman" w:cs="Times New Roman"/>
          <w:color w:val="202124"/>
          <w:shd w:val="clear" w:color="auto" w:fill="FFFFFF"/>
        </w:rPr>
        <w:t xml:space="preserve">  This report uses Mexico, </w:t>
      </w:r>
      <w:r w:rsidR="008010BB">
        <w:rPr>
          <w:rFonts w:ascii="Times New Roman" w:hAnsi="Times New Roman" w:cs="Times New Roman"/>
          <w:color w:val="202124"/>
          <w:shd w:val="clear" w:color="auto" w:fill="FFFFFF"/>
        </w:rPr>
        <w:t xml:space="preserve">and </w:t>
      </w:r>
      <w:r w:rsidRPr="008D5139">
        <w:rPr>
          <w:rFonts w:ascii="Times New Roman" w:hAnsi="Times New Roman" w:cs="Times New Roman"/>
          <w:color w:val="202124"/>
          <w:shd w:val="clear" w:color="auto" w:fill="FFFFFF"/>
        </w:rPr>
        <w:t>Central and South American countries as its statistical focus</w:t>
      </w:r>
      <w:r w:rsidR="008010BB">
        <w:rPr>
          <w:rFonts w:ascii="Times New Roman" w:hAnsi="Times New Roman" w:cs="Times New Roman"/>
          <w:color w:val="202124"/>
          <w:shd w:val="clear" w:color="auto" w:fill="FFFFFF"/>
        </w:rPr>
        <w:t xml:space="preserve"> on external land borders</w:t>
      </w:r>
      <w:r w:rsidRPr="008D5139">
        <w:rPr>
          <w:rFonts w:ascii="Times New Roman" w:hAnsi="Times New Roman" w:cs="Times New Roman"/>
          <w:color w:val="202124"/>
          <w:shd w:val="clear" w:color="auto" w:fill="FFFFFF"/>
        </w:rPr>
        <w:t>.</w:t>
      </w:r>
    </w:p>
    <w:p w14:paraId="44E93D2C" w14:textId="6C0287E8"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The benefits to successful asylum seekers are quantified by their income over time and the value of improved security</w:t>
      </w:r>
      <w:r w:rsidRPr="008D5139">
        <w:rPr>
          <w:rFonts w:ascii="Times New Roman" w:hAnsi="Times New Roman" w:cs="Times New Roman"/>
          <w:color w:val="202124"/>
          <w:shd w:val="clear" w:color="auto" w:fill="FFFFFF"/>
          <w:vertAlign w:val="superscript"/>
        </w:rPr>
        <w:footnoteReference w:id="3"/>
      </w:r>
      <w:r w:rsidRPr="008D5139">
        <w:rPr>
          <w:rFonts w:ascii="Times New Roman" w:hAnsi="Times New Roman" w:cs="Times New Roman"/>
          <w:color w:val="202124"/>
          <w:shd w:val="clear" w:color="auto" w:fill="FFFFFF"/>
        </w:rPr>
        <w:t xml:space="preserve">.  While the (legal) income benefit to </w:t>
      </w:r>
      <w:r w:rsidRPr="008D5139">
        <w:rPr>
          <w:rFonts w:ascii="Times New Roman" w:hAnsi="Times New Roman" w:cs="Times New Roman"/>
          <w:color w:val="202124"/>
          <w:shd w:val="clear" w:color="auto" w:fill="FFFFFF"/>
        </w:rPr>
        <w:lastRenderedPageBreak/>
        <w:t xml:space="preserve">successful asylees is clear, counting income as a benefit for the previously unemployed (in the United States) is somewhat unusual in a benefit-cost analysis.  One argument is that in comparison to the base case, production is changed from a non-countable region--another country--to within the United States.  This is the approach taken in a multi-market model (more below) of the impact of immigrants--newly legal labor expands the productivity capacity of the economy not only by the net gains of those who employ them but also by the income paid to those individuals (National Academy of Science, 2017).  </w:t>
      </w:r>
    </w:p>
    <w:p w14:paraId="42DC9BDF" w14:textId="2044245A"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 xml:space="preserve">The income estimate for successful asylees is based on evidence from Mexico.  The record of Mexican immigrants, both legal and illegal, into the United States is among the most studied.  </w:t>
      </w:r>
      <w:proofErr w:type="spellStart"/>
      <w:r w:rsidRPr="008D5139">
        <w:rPr>
          <w:rFonts w:ascii="Times New Roman" w:hAnsi="Times New Roman" w:cs="Times New Roman"/>
          <w:color w:val="202124"/>
          <w:shd w:val="clear" w:color="auto" w:fill="FFFFFF"/>
        </w:rPr>
        <w:t>Borjas</w:t>
      </w:r>
      <w:proofErr w:type="spellEnd"/>
      <w:r w:rsidRPr="008D5139">
        <w:rPr>
          <w:rFonts w:ascii="Times New Roman" w:hAnsi="Times New Roman" w:cs="Times New Roman"/>
          <w:color w:val="202124"/>
          <w:shd w:val="clear" w:color="auto" w:fill="FFFFFF"/>
        </w:rPr>
        <w:t xml:space="preserve"> (2014) depends heavily on evidence from those of Mexican origin.  </w:t>
      </w:r>
      <w:r w:rsidR="006B0868">
        <w:rPr>
          <w:rFonts w:ascii="Times New Roman" w:hAnsi="Times New Roman" w:cs="Times New Roman"/>
          <w:color w:val="202124"/>
          <w:shd w:val="clear" w:color="auto" w:fill="FFFFFF"/>
        </w:rPr>
        <w:t>R</w:t>
      </w:r>
      <w:r w:rsidRPr="008D5139">
        <w:rPr>
          <w:rFonts w:ascii="Times New Roman" w:hAnsi="Times New Roman" w:cs="Times New Roman"/>
          <w:color w:val="202124"/>
          <w:shd w:val="clear" w:color="auto" w:fill="FFFFFF"/>
        </w:rPr>
        <w:t>ecent immigration is from those with relatively lower skills.  Such immigrants on average earn income at the17</w:t>
      </w:r>
      <w:r w:rsidRPr="008D5139">
        <w:rPr>
          <w:rFonts w:ascii="Times New Roman" w:hAnsi="Times New Roman" w:cs="Times New Roman"/>
          <w:color w:val="202124"/>
          <w:shd w:val="clear" w:color="auto" w:fill="FFFFFF"/>
          <w:vertAlign w:val="superscript"/>
        </w:rPr>
        <w:t>th</w:t>
      </w:r>
      <w:r w:rsidRPr="008D5139">
        <w:rPr>
          <w:rFonts w:ascii="Times New Roman" w:hAnsi="Times New Roman" w:cs="Times New Roman"/>
          <w:color w:val="202124"/>
          <w:shd w:val="clear" w:color="auto" w:fill="FFFFFF"/>
        </w:rPr>
        <w:t xml:space="preserve"> percentile of the US income distribution and may only gradually reduce the gap compared to native born workers (</w:t>
      </w:r>
      <w:proofErr w:type="spellStart"/>
      <w:r w:rsidRPr="008D5139">
        <w:rPr>
          <w:rFonts w:ascii="Times New Roman" w:hAnsi="Times New Roman" w:cs="Times New Roman"/>
          <w:color w:val="202124"/>
          <w:shd w:val="clear" w:color="auto" w:fill="FFFFFF"/>
        </w:rPr>
        <w:t>Borjas</w:t>
      </w:r>
      <w:proofErr w:type="spellEnd"/>
      <w:r w:rsidRPr="008D5139">
        <w:rPr>
          <w:rFonts w:ascii="Times New Roman" w:hAnsi="Times New Roman" w:cs="Times New Roman"/>
          <w:color w:val="202124"/>
          <w:shd w:val="clear" w:color="auto" w:fill="FFFFFF"/>
        </w:rPr>
        <w:t xml:space="preserve"> and Katz, 2007).  For the calibration year of 2017, an initial income per adult of $20,000 (rounded) and annual real growth in income of 1 percent is used as the gross income benefit to successful asylees.  </w:t>
      </w:r>
      <w:r w:rsidR="006B0868">
        <w:rPr>
          <w:rFonts w:ascii="Times New Roman" w:hAnsi="Times New Roman" w:cs="Times New Roman"/>
          <w:color w:val="202124"/>
          <w:shd w:val="clear" w:color="auto" w:fill="FFFFFF"/>
        </w:rPr>
        <w:t xml:space="preserve"> </w:t>
      </w:r>
    </w:p>
    <w:p w14:paraId="2454A084" w14:textId="5DB231A9"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The value of increased security for successful asylees</w:t>
      </w:r>
      <w:r w:rsidR="009C7318">
        <w:rPr>
          <w:rFonts w:ascii="Times New Roman" w:hAnsi="Times New Roman" w:cs="Times New Roman"/>
          <w:color w:val="202124"/>
          <w:shd w:val="clear" w:color="auto" w:fill="FFFFFF"/>
        </w:rPr>
        <w:t xml:space="preserve"> who must demonstrate credible fear</w:t>
      </w:r>
      <w:r w:rsidRPr="008D5139">
        <w:rPr>
          <w:rFonts w:ascii="Times New Roman" w:hAnsi="Times New Roman" w:cs="Times New Roman"/>
          <w:color w:val="202124"/>
          <w:shd w:val="clear" w:color="auto" w:fill="FFFFFF"/>
        </w:rPr>
        <w:t xml:space="preserve"> is based on differences in intentional homicide rates between the US and the country of </w:t>
      </w:r>
      <w:r w:rsidR="007955A8" w:rsidRPr="008D5139">
        <w:rPr>
          <w:rFonts w:ascii="Times New Roman" w:hAnsi="Times New Roman" w:cs="Times New Roman"/>
          <w:color w:val="202124"/>
          <w:shd w:val="clear" w:color="auto" w:fill="FFFFFF"/>
        </w:rPr>
        <w:t>emigration</w:t>
      </w:r>
      <w:r w:rsidRPr="008D5139">
        <w:rPr>
          <w:rFonts w:ascii="Times New Roman" w:hAnsi="Times New Roman" w:cs="Times New Roman"/>
          <w:color w:val="202124"/>
          <w:shd w:val="clear" w:color="auto" w:fill="FFFFFF"/>
        </w:rPr>
        <w:t xml:space="preserve">.  Data from the United Nations (UN, 2021) are used to compute the difference in the homicide per capita rate in Mexico and the Northern Triangle countries of Guatemala, El Salvador and Honduras compared to the United States.  In addition to the improvement in security based on average rates, a near arbitrary “credible fear” multiplier is used to increase the security improvement.  This analysis uses a baseline multiplier of 3 meaning that those demonstrating credible fear for asylum have 3 times the average exposure to intentional homicide in their home country, but far short of the maximum </w:t>
      </w:r>
      <w:r w:rsidRPr="008D5139">
        <w:rPr>
          <w:rFonts w:ascii="Times New Roman" w:hAnsi="Times New Roman" w:cs="Times New Roman"/>
          <w:color w:val="202124"/>
          <w:shd w:val="clear" w:color="auto" w:fill="FFFFFF"/>
        </w:rPr>
        <w:lastRenderedPageBreak/>
        <w:t>multiplier</w:t>
      </w:r>
      <w:r w:rsidRPr="008D5139">
        <w:rPr>
          <w:rFonts w:ascii="Times New Roman" w:hAnsi="Times New Roman" w:cs="Times New Roman"/>
          <w:color w:val="202124"/>
          <w:shd w:val="clear" w:color="auto" w:fill="FFFFFF"/>
          <w:vertAlign w:val="superscript"/>
        </w:rPr>
        <w:footnoteReference w:id="4"/>
      </w:r>
      <w:r w:rsidRPr="008D5139">
        <w:rPr>
          <w:rFonts w:ascii="Times New Roman" w:hAnsi="Times New Roman" w:cs="Times New Roman"/>
          <w:color w:val="202124"/>
          <w:shd w:val="clear" w:color="auto" w:fill="FFFFFF"/>
        </w:rPr>
        <w:t>.    As legal asylees, the US VSL is used to value the estimated change in homicide rates between the home country and the US.  This leads to a rounded annual security benefit of $12,000 per successful asylee that includes the credible fear multiplier and persists over time.</w:t>
      </w:r>
    </w:p>
    <w:p w14:paraId="5D9EAE02" w14:textId="1F67961A"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b/>
          <w:bCs/>
          <w:color w:val="202124"/>
          <w:shd w:val="clear" w:color="auto" w:fill="FFFFFF"/>
        </w:rPr>
        <w:t>Minor asylum seekers or unaccompanied children:</w:t>
      </w:r>
      <w:r w:rsidRPr="008D5139">
        <w:rPr>
          <w:rFonts w:ascii="Times New Roman" w:hAnsi="Times New Roman" w:cs="Times New Roman"/>
          <w:color w:val="202124"/>
          <w:shd w:val="clear" w:color="auto" w:fill="FFFFFF"/>
        </w:rPr>
        <w:t xml:space="preserve">  Management of children is one of the most controversial decisions at the border.  In general, children are treated under official and complex humanitarian protocols with policies that have changed over time (DHS, 2020 and earlier years).  One classification with children is called a Family Unit (FU) in which a child under 18 is accompanied by a parent or a legal guardian.  Children are generally not separated from at least one parent in this situation and an asylum process usually proceeds, with a low rate of granting asylum.  Another classification is Unaccompanied Minors (or Child).  Unaccompanied children less than 18 may in fact arrive unaccompanied.  Other children of any age may have arrived with an adult but were separated due to a failure of the adult to establish parenthood or legal guardianship, or if the adult has a criminal record or from varying policy implementation.  </w:t>
      </w:r>
      <w:r w:rsidR="00394F5B">
        <w:rPr>
          <w:rFonts w:ascii="Times New Roman" w:hAnsi="Times New Roman" w:cs="Times New Roman"/>
          <w:color w:val="202124"/>
          <w:shd w:val="clear" w:color="auto" w:fill="FFFFFF"/>
        </w:rPr>
        <w:t xml:space="preserve">Although most popular and statistical attention is paid to those reported by the BP and arriving between ports of entry, about one-third in these categories arrive at ports of entry and are tabulated by the Office of Field Operations (OFO; GAO, 2020).  </w:t>
      </w:r>
      <w:r w:rsidRPr="008D5139">
        <w:rPr>
          <w:rFonts w:ascii="Times New Roman" w:hAnsi="Times New Roman" w:cs="Times New Roman"/>
          <w:color w:val="202124"/>
          <w:shd w:val="clear" w:color="auto" w:fill="FFFFFF"/>
        </w:rPr>
        <w:t>Unaccompanied minors are remanded to the Department of Health and Human Services for housing until relatives, family or other housing is found</w:t>
      </w:r>
      <w:r w:rsidR="008010BB">
        <w:rPr>
          <w:rFonts w:ascii="Times New Roman" w:hAnsi="Times New Roman" w:cs="Times New Roman"/>
          <w:color w:val="202124"/>
          <w:shd w:val="clear" w:color="auto" w:fill="FFFFFF"/>
        </w:rPr>
        <w:t>.  They must</w:t>
      </w:r>
      <w:r w:rsidRPr="008D5139">
        <w:rPr>
          <w:rFonts w:ascii="Times New Roman" w:hAnsi="Times New Roman" w:cs="Times New Roman"/>
          <w:color w:val="202124"/>
          <w:shd w:val="clear" w:color="auto" w:fill="FFFFFF"/>
        </w:rPr>
        <w:t xml:space="preserve"> in general still go through asylum process.</w:t>
      </w:r>
      <w:r w:rsidR="00265EDB">
        <w:rPr>
          <w:rFonts w:ascii="Times New Roman" w:hAnsi="Times New Roman" w:cs="Times New Roman"/>
          <w:color w:val="202124"/>
          <w:shd w:val="clear" w:color="auto" w:fill="FFFFFF"/>
        </w:rPr>
        <w:t xml:space="preserve">  </w:t>
      </w:r>
    </w:p>
    <w:p w14:paraId="2B867C90" w14:textId="7C8B863C"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 xml:space="preserve">Valuing outcomes for unaccompanied minors is highly uncertain.  Different approaches were taken here for minors less than 15 and those between 15 and 18 </w:t>
      </w:r>
      <w:r w:rsidR="000365EC">
        <w:rPr>
          <w:rFonts w:ascii="Times New Roman" w:hAnsi="Times New Roman" w:cs="Times New Roman"/>
          <w:color w:val="202124"/>
          <w:shd w:val="clear" w:color="auto" w:fill="FFFFFF"/>
        </w:rPr>
        <w:t xml:space="preserve">who are granted asylum </w:t>
      </w:r>
      <w:r w:rsidRPr="008D5139">
        <w:rPr>
          <w:rFonts w:ascii="Times New Roman" w:hAnsi="Times New Roman" w:cs="Times New Roman"/>
          <w:color w:val="202124"/>
          <w:shd w:val="clear" w:color="auto" w:fill="FFFFFF"/>
        </w:rPr>
        <w:t xml:space="preserve">(the average age in 2017 was about 14).  Children in a </w:t>
      </w:r>
      <w:r w:rsidRPr="008D5139">
        <w:rPr>
          <w:rFonts w:ascii="Times New Roman" w:hAnsi="Times New Roman" w:cs="Times New Roman"/>
          <w:color w:val="202124"/>
          <w:shd w:val="clear" w:color="auto" w:fill="FFFFFF"/>
        </w:rPr>
        <w:lastRenderedPageBreak/>
        <w:t>family unit (with parent or guardian) are assumed to have the same success rate at receiving asylum as adults and if granted asylum</w:t>
      </w:r>
      <w:r w:rsidR="00A00E31">
        <w:rPr>
          <w:rFonts w:ascii="Times New Roman" w:hAnsi="Times New Roman" w:cs="Times New Roman"/>
          <w:color w:val="202124"/>
          <w:shd w:val="clear" w:color="auto" w:fill="FFFFFF"/>
        </w:rPr>
        <w:t xml:space="preserve"> </w:t>
      </w:r>
      <w:r w:rsidRPr="008D5139">
        <w:rPr>
          <w:rFonts w:ascii="Times New Roman" w:hAnsi="Times New Roman" w:cs="Times New Roman"/>
          <w:color w:val="202124"/>
          <w:shd w:val="clear" w:color="auto" w:fill="FFFFFF"/>
        </w:rPr>
        <w:t>begin work starting at age 18.  Unaccompanied teenagers 15 or over are assumed to be avoiding a year of child-maltreatment elsewhere if they are accorded asylum as they must establish credible fear, and to begin earning income at age 18 as an adult.  Child-maltreatment is valued at the US rate as a successful asylee is evaluated on a US basis (Miller, et al., 2021).  Unaccompanied children less than 15 are assumed to incur a cost equal to an event of child maltreatment (Bouza, et al., 2018) and to start work at age 18.  Detention costs are included for all in this category but for those who are not granted asylum, their own costs and benefits do not have standing although they may have certain rights.</w:t>
      </w:r>
    </w:p>
    <w:p w14:paraId="094BE70A" w14:textId="005BBF16"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b/>
          <w:bCs/>
          <w:color w:val="202124"/>
          <w:shd w:val="clear" w:color="auto" w:fill="FFFFFF"/>
        </w:rPr>
        <w:t xml:space="preserve">Fiscal costs </w:t>
      </w:r>
      <w:r w:rsidR="00E531E3">
        <w:rPr>
          <w:rFonts w:ascii="Times New Roman" w:hAnsi="Times New Roman" w:cs="Times New Roman"/>
          <w:b/>
          <w:bCs/>
          <w:color w:val="202124"/>
          <w:shd w:val="clear" w:color="auto" w:fill="FFFFFF"/>
        </w:rPr>
        <w:t xml:space="preserve">and net receipts </w:t>
      </w:r>
      <w:r w:rsidRPr="008D5139">
        <w:rPr>
          <w:rFonts w:ascii="Times New Roman" w:hAnsi="Times New Roman" w:cs="Times New Roman"/>
          <w:b/>
          <w:bCs/>
          <w:color w:val="202124"/>
          <w:shd w:val="clear" w:color="auto" w:fill="FFFFFF"/>
        </w:rPr>
        <w:t xml:space="preserve">from illegal immigrants:  </w:t>
      </w:r>
      <w:r w:rsidRPr="008D5139">
        <w:rPr>
          <w:rFonts w:ascii="Times New Roman" w:hAnsi="Times New Roman" w:cs="Times New Roman"/>
          <w:color w:val="202124"/>
          <w:shd w:val="clear" w:color="auto" w:fill="FFFFFF"/>
        </w:rPr>
        <w:t xml:space="preserve">Much attention on illegal immigration </w:t>
      </w:r>
      <w:r w:rsidR="008010BB">
        <w:rPr>
          <w:rFonts w:ascii="Times New Roman" w:hAnsi="Times New Roman" w:cs="Times New Roman"/>
          <w:color w:val="202124"/>
          <w:shd w:val="clear" w:color="auto" w:fill="FFFFFF"/>
        </w:rPr>
        <w:t>is</w:t>
      </w:r>
      <w:r w:rsidRPr="008D5139">
        <w:rPr>
          <w:rFonts w:ascii="Times New Roman" w:hAnsi="Times New Roman" w:cs="Times New Roman"/>
          <w:color w:val="202124"/>
          <w:shd w:val="clear" w:color="auto" w:fill="FFFFFF"/>
        </w:rPr>
        <w:t xml:space="preserve"> devoted to costs </w:t>
      </w:r>
      <w:r w:rsidR="00397B0F">
        <w:rPr>
          <w:rFonts w:ascii="Times New Roman" w:hAnsi="Times New Roman" w:cs="Times New Roman"/>
          <w:color w:val="202124"/>
          <w:shd w:val="clear" w:color="auto" w:fill="FFFFFF"/>
        </w:rPr>
        <w:t>paid by</w:t>
      </w:r>
      <w:r w:rsidRPr="008D5139">
        <w:rPr>
          <w:rFonts w:ascii="Times New Roman" w:hAnsi="Times New Roman" w:cs="Times New Roman"/>
          <w:color w:val="202124"/>
          <w:shd w:val="clear" w:color="auto" w:fill="FFFFFF"/>
        </w:rPr>
        <w:t xml:space="preserve"> US taxpayers </w:t>
      </w:r>
      <w:r w:rsidR="00397B0F">
        <w:rPr>
          <w:rFonts w:ascii="Times New Roman" w:hAnsi="Times New Roman" w:cs="Times New Roman"/>
          <w:color w:val="202124"/>
          <w:shd w:val="clear" w:color="auto" w:fill="FFFFFF"/>
        </w:rPr>
        <w:t>on behalf of</w:t>
      </w:r>
      <w:r w:rsidRPr="008D5139">
        <w:rPr>
          <w:rFonts w:ascii="Times New Roman" w:hAnsi="Times New Roman" w:cs="Times New Roman"/>
          <w:color w:val="202124"/>
          <w:shd w:val="clear" w:color="auto" w:fill="FFFFFF"/>
        </w:rPr>
        <w:t xml:space="preserve"> illegal residents through their use of the health care</w:t>
      </w:r>
      <w:r w:rsidR="00BC2827">
        <w:rPr>
          <w:rFonts w:ascii="Times New Roman" w:hAnsi="Times New Roman" w:cs="Times New Roman"/>
          <w:color w:val="202124"/>
          <w:shd w:val="clear" w:color="auto" w:fill="FFFFFF"/>
        </w:rPr>
        <w:t>,</w:t>
      </w:r>
      <w:r w:rsidRPr="008D5139">
        <w:rPr>
          <w:rFonts w:ascii="Times New Roman" w:hAnsi="Times New Roman" w:cs="Times New Roman"/>
          <w:color w:val="202124"/>
          <w:shd w:val="clear" w:color="auto" w:fill="FFFFFF"/>
        </w:rPr>
        <w:t xml:space="preserve"> education, effect on the justice system, and so on (National Academy of Science, 2017; FAIR, 2017</w:t>
      </w:r>
      <w:r w:rsidR="00BC2827">
        <w:rPr>
          <w:rFonts w:ascii="Times New Roman" w:hAnsi="Times New Roman" w:cs="Times New Roman"/>
          <w:color w:val="202124"/>
          <w:shd w:val="clear" w:color="auto" w:fill="FFFFFF"/>
        </w:rPr>
        <w:t>;</w:t>
      </w:r>
      <w:r w:rsidR="007C40AC">
        <w:rPr>
          <w:rFonts w:ascii="Times New Roman" w:hAnsi="Times New Roman" w:cs="Times New Roman"/>
          <w:color w:val="202124"/>
          <w:shd w:val="clear" w:color="auto" w:fill="FFFFFF"/>
        </w:rPr>
        <w:t xml:space="preserve"> </w:t>
      </w:r>
      <w:proofErr w:type="spellStart"/>
      <w:r w:rsidR="007C40AC">
        <w:rPr>
          <w:rFonts w:ascii="Times New Roman" w:hAnsi="Times New Roman" w:cs="Times New Roman"/>
        </w:rPr>
        <w:t>Karoly</w:t>
      </w:r>
      <w:proofErr w:type="spellEnd"/>
      <w:r w:rsidR="007C40AC">
        <w:rPr>
          <w:rFonts w:ascii="Times New Roman" w:hAnsi="Times New Roman" w:cs="Times New Roman"/>
        </w:rPr>
        <w:t xml:space="preserve"> and </w:t>
      </w:r>
      <w:r w:rsidR="007C40AC" w:rsidRPr="007C40AC">
        <w:rPr>
          <w:rFonts w:ascii="Times New Roman" w:hAnsi="Times New Roman" w:cs="Times New Roman"/>
        </w:rPr>
        <w:t>Perez-Arce</w:t>
      </w:r>
      <w:r w:rsidR="007C40AC">
        <w:rPr>
          <w:rFonts w:ascii="Times New Roman" w:hAnsi="Times New Roman" w:cs="Times New Roman"/>
        </w:rPr>
        <w:t>, 2016</w:t>
      </w:r>
      <w:r w:rsidRPr="008D5139">
        <w:rPr>
          <w:rFonts w:ascii="Times New Roman" w:hAnsi="Times New Roman" w:cs="Times New Roman"/>
          <w:color w:val="202124"/>
          <w:shd w:val="clear" w:color="auto" w:fill="FFFFFF"/>
        </w:rPr>
        <w:t xml:space="preserve">).  This study uses data from the 2017 edition of a periodic report prepared by the Federation for American Immigration Reform (FAIR, 2017), a group that seeks to tighten </w:t>
      </w:r>
      <w:r w:rsidRPr="007C40AC">
        <w:rPr>
          <w:rFonts w:ascii="Times New Roman" w:hAnsi="Times New Roman" w:cs="Times New Roman"/>
          <w:color w:val="202124"/>
          <w:shd w:val="clear" w:color="auto" w:fill="FFFFFF"/>
        </w:rPr>
        <w:t>immigrat</w:t>
      </w:r>
      <w:r w:rsidR="007C40AC" w:rsidRPr="007C40AC">
        <w:rPr>
          <w:rFonts w:ascii="Times New Roman" w:hAnsi="Times New Roman" w:cs="Times New Roman"/>
          <w:color w:val="202124"/>
          <w:shd w:val="clear" w:color="auto" w:fill="FFFFFF"/>
        </w:rPr>
        <w:t>ion</w:t>
      </w:r>
      <w:r w:rsidR="007C40AC">
        <w:rPr>
          <w:rFonts w:ascii="Times New Roman" w:hAnsi="Times New Roman" w:cs="Times New Roman"/>
          <w:color w:val="202124"/>
          <w:shd w:val="clear" w:color="auto" w:fill="FFFFFF"/>
        </w:rPr>
        <w:t xml:space="preserve">. </w:t>
      </w:r>
      <w:r w:rsidRPr="008D5139">
        <w:rPr>
          <w:rFonts w:ascii="Times New Roman" w:hAnsi="Times New Roman" w:cs="Times New Roman"/>
          <w:color w:val="202124"/>
          <w:shd w:val="clear" w:color="auto" w:fill="FFFFFF"/>
        </w:rPr>
        <w:t>The</w:t>
      </w:r>
      <w:r w:rsidR="000E6F84">
        <w:rPr>
          <w:rFonts w:ascii="Times New Roman" w:hAnsi="Times New Roman" w:cs="Times New Roman"/>
          <w:color w:val="202124"/>
          <w:shd w:val="clear" w:color="auto" w:fill="FFFFFF"/>
        </w:rPr>
        <w:t xml:space="preserve"> FAIR</w:t>
      </w:r>
      <w:r w:rsidRPr="008D5139">
        <w:rPr>
          <w:rFonts w:ascii="Times New Roman" w:hAnsi="Times New Roman" w:cs="Times New Roman"/>
          <w:color w:val="202124"/>
          <w:shd w:val="clear" w:color="auto" w:fill="FFFFFF"/>
        </w:rPr>
        <w:t xml:space="preserve"> report is a relatively thorough compendium of the individual components of Federal, State and Local expenditures from public documents resulting from the presence of about 12 million illegal immigrants in the US.  </w:t>
      </w:r>
      <w:r w:rsidR="007C40AC">
        <w:rPr>
          <w:rFonts w:ascii="Times New Roman" w:hAnsi="Times New Roman" w:cs="Times New Roman"/>
          <w:color w:val="202124"/>
          <w:shd w:val="clear" w:color="auto" w:fill="FFFFFF"/>
        </w:rPr>
        <w:t xml:space="preserve">The categories are reasonably consistent with </w:t>
      </w:r>
      <w:proofErr w:type="spellStart"/>
      <w:r w:rsidR="007C40AC">
        <w:rPr>
          <w:rFonts w:ascii="Times New Roman" w:hAnsi="Times New Roman" w:cs="Times New Roman"/>
        </w:rPr>
        <w:t>Karoly</w:t>
      </w:r>
      <w:proofErr w:type="spellEnd"/>
      <w:r w:rsidR="007C40AC">
        <w:rPr>
          <w:rFonts w:ascii="Times New Roman" w:hAnsi="Times New Roman" w:cs="Times New Roman"/>
        </w:rPr>
        <w:t xml:space="preserve"> and </w:t>
      </w:r>
      <w:r w:rsidR="007C40AC" w:rsidRPr="007C40AC">
        <w:rPr>
          <w:rFonts w:ascii="Times New Roman" w:hAnsi="Times New Roman" w:cs="Times New Roman"/>
        </w:rPr>
        <w:t>Perez-Arce</w:t>
      </w:r>
      <w:r w:rsidR="00EC0755">
        <w:rPr>
          <w:rFonts w:ascii="Times New Roman" w:hAnsi="Times New Roman" w:cs="Times New Roman"/>
        </w:rPr>
        <w:t xml:space="preserve"> </w:t>
      </w:r>
      <w:r w:rsidR="007C40AC">
        <w:rPr>
          <w:rFonts w:ascii="Times New Roman" w:hAnsi="Times New Roman" w:cs="Times New Roman"/>
        </w:rPr>
        <w:t xml:space="preserve">(2016).  </w:t>
      </w:r>
      <w:r w:rsidRPr="008D5139">
        <w:rPr>
          <w:rFonts w:ascii="Times New Roman" w:hAnsi="Times New Roman" w:cs="Times New Roman"/>
          <w:color w:val="202124"/>
          <w:shd w:val="clear" w:color="auto" w:fill="FFFFFF"/>
        </w:rPr>
        <w:t xml:space="preserve">FAIR reports they are unable to estimate some costs such as fraudulent access to programs intended to be limited to US citizens or residents.  Their report has been criticized for various assumptions (Nowrasteh, 2017).  This analysis makes some adjustment to the FAIR estimates, the </w:t>
      </w:r>
      <w:r w:rsidR="00176739">
        <w:rPr>
          <w:rFonts w:ascii="Times New Roman" w:hAnsi="Times New Roman" w:cs="Times New Roman"/>
          <w:color w:val="202124"/>
          <w:shd w:val="clear" w:color="auto" w:fill="FFFFFF"/>
        </w:rPr>
        <w:t>primary</w:t>
      </w:r>
      <w:r w:rsidRPr="008D5139">
        <w:rPr>
          <w:rFonts w:ascii="Times New Roman" w:hAnsi="Times New Roman" w:cs="Times New Roman"/>
          <w:color w:val="202124"/>
          <w:shd w:val="clear" w:color="auto" w:fill="FFFFFF"/>
        </w:rPr>
        <w:t xml:space="preserve"> one is excluding </w:t>
      </w:r>
      <w:r w:rsidR="00EC0755">
        <w:rPr>
          <w:rFonts w:ascii="Times New Roman" w:hAnsi="Times New Roman" w:cs="Times New Roman"/>
          <w:color w:val="202124"/>
          <w:shd w:val="clear" w:color="auto" w:fill="FFFFFF"/>
        </w:rPr>
        <w:t xml:space="preserve">their estimated </w:t>
      </w:r>
      <w:r w:rsidRPr="008D5139">
        <w:rPr>
          <w:rFonts w:ascii="Times New Roman" w:hAnsi="Times New Roman" w:cs="Times New Roman"/>
          <w:color w:val="202124"/>
          <w:shd w:val="clear" w:color="auto" w:fill="FFFFFF"/>
        </w:rPr>
        <w:t>costs associated with US children born to illegal immigrant parents.  The</w:t>
      </w:r>
      <w:r w:rsidR="00EC0755">
        <w:rPr>
          <w:rFonts w:ascii="Times New Roman" w:hAnsi="Times New Roman" w:cs="Times New Roman"/>
          <w:color w:val="202124"/>
          <w:shd w:val="clear" w:color="auto" w:fill="FFFFFF"/>
        </w:rPr>
        <w:t>se</w:t>
      </w:r>
      <w:r w:rsidRPr="008D5139">
        <w:rPr>
          <w:rFonts w:ascii="Times New Roman" w:hAnsi="Times New Roman" w:cs="Times New Roman"/>
          <w:color w:val="202124"/>
          <w:shd w:val="clear" w:color="auto" w:fill="FFFFFF"/>
        </w:rPr>
        <w:t xml:space="preserve"> children are US citizen by law and so </w:t>
      </w:r>
      <w:r w:rsidRPr="008D5139">
        <w:rPr>
          <w:rFonts w:ascii="Times New Roman" w:hAnsi="Times New Roman" w:cs="Times New Roman"/>
          <w:color w:val="202124"/>
          <w:shd w:val="clear" w:color="auto" w:fill="FFFFFF"/>
        </w:rPr>
        <w:lastRenderedPageBreak/>
        <w:t>have standing in a benefit-cost analysis.  Consequently, fiscal costs to support this group are transfers from US taxpayers to other US citizens with the usual BCA outcome of a zero net effect</w:t>
      </w:r>
      <w:r w:rsidR="00176739">
        <w:rPr>
          <w:rStyle w:val="FootnoteReference"/>
          <w:rFonts w:ascii="Times New Roman" w:hAnsi="Times New Roman" w:cs="Times New Roman"/>
          <w:color w:val="202124"/>
          <w:shd w:val="clear" w:color="auto" w:fill="FFFFFF"/>
        </w:rPr>
        <w:footnoteReference w:id="5"/>
      </w:r>
      <w:r w:rsidRPr="008D5139">
        <w:rPr>
          <w:rFonts w:ascii="Times New Roman" w:hAnsi="Times New Roman" w:cs="Times New Roman"/>
          <w:color w:val="202124"/>
          <w:shd w:val="clear" w:color="auto" w:fill="FFFFFF"/>
        </w:rPr>
        <w:t xml:space="preserve">.   With that exclusion, cost estimates from FAIR are included </w:t>
      </w:r>
      <w:r w:rsidR="00EC0755">
        <w:rPr>
          <w:rFonts w:ascii="Times New Roman" w:hAnsi="Times New Roman" w:cs="Times New Roman"/>
          <w:color w:val="202124"/>
          <w:shd w:val="clear" w:color="auto" w:fill="FFFFFF"/>
        </w:rPr>
        <w:t>in</w:t>
      </w:r>
      <w:r w:rsidRPr="008D5139">
        <w:rPr>
          <w:rFonts w:ascii="Times New Roman" w:hAnsi="Times New Roman" w:cs="Times New Roman"/>
          <w:color w:val="202124"/>
          <w:shd w:val="clear" w:color="auto" w:fill="FFFFFF"/>
        </w:rPr>
        <w:t xml:space="preserve"> the categories</w:t>
      </w:r>
      <w:r w:rsidR="005B6DD6">
        <w:rPr>
          <w:rFonts w:ascii="Times New Roman" w:hAnsi="Times New Roman" w:cs="Times New Roman"/>
          <w:color w:val="202124"/>
          <w:shd w:val="clear" w:color="auto" w:fill="FFFFFF"/>
        </w:rPr>
        <w:t xml:space="preserve"> listed in Table 3 below.</w:t>
      </w:r>
    </w:p>
    <w:p w14:paraId="3FEB1904" w14:textId="49EB8E22" w:rsidR="008D5139" w:rsidRDefault="008D5139" w:rsidP="0085533D">
      <w:pPr>
        <w:spacing w:after="160" w:line="360" w:lineRule="auto"/>
        <w:jc w:val="center"/>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 xml:space="preserve">Table </w:t>
      </w:r>
      <w:r w:rsidR="00C672C8">
        <w:rPr>
          <w:rFonts w:ascii="Times New Roman" w:hAnsi="Times New Roman" w:cs="Times New Roman"/>
          <w:color w:val="202124"/>
          <w:shd w:val="clear" w:color="auto" w:fill="FFFFFF"/>
        </w:rPr>
        <w:t>3</w:t>
      </w:r>
      <w:r w:rsidRPr="008D5139">
        <w:rPr>
          <w:rFonts w:ascii="Times New Roman" w:hAnsi="Times New Roman" w:cs="Times New Roman"/>
          <w:color w:val="202124"/>
          <w:shd w:val="clear" w:color="auto" w:fill="FFFFFF"/>
        </w:rPr>
        <w:t xml:space="preserve">:  FAIR </w:t>
      </w:r>
      <w:r w:rsidR="00C672C8">
        <w:rPr>
          <w:rFonts w:ascii="Times New Roman" w:hAnsi="Times New Roman" w:cs="Times New Roman"/>
          <w:color w:val="202124"/>
          <w:shd w:val="clear" w:color="auto" w:fill="FFFFFF"/>
        </w:rPr>
        <w:t>f</w:t>
      </w:r>
      <w:r w:rsidRPr="008D5139">
        <w:rPr>
          <w:rFonts w:ascii="Times New Roman" w:hAnsi="Times New Roman" w:cs="Times New Roman"/>
          <w:color w:val="202124"/>
          <w:shd w:val="clear" w:color="auto" w:fill="FFFFFF"/>
        </w:rPr>
        <w:t xml:space="preserve">iscal </w:t>
      </w:r>
      <w:r w:rsidR="00C672C8">
        <w:rPr>
          <w:rFonts w:ascii="Times New Roman" w:hAnsi="Times New Roman" w:cs="Times New Roman"/>
          <w:color w:val="202124"/>
          <w:shd w:val="clear" w:color="auto" w:fill="FFFFFF"/>
        </w:rPr>
        <w:t>c</w:t>
      </w:r>
      <w:r w:rsidRPr="008D5139">
        <w:rPr>
          <w:rFonts w:ascii="Times New Roman" w:hAnsi="Times New Roman" w:cs="Times New Roman"/>
          <w:color w:val="202124"/>
          <w:shd w:val="clear" w:color="auto" w:fill="FFFFFF"/>
        </w:rPr>
        <w:t xml:space="preserve">ategories </w:t>
      </w:r>
      <w:r w:rsidR="00453446">
        <w:rPr>
          <w:rFonts w:ascii="Times New Roman" w:hAnsi="Times New Roman" w:cs="Times New Roman"/>
          <w:color w:val="202124"/>
          <w:shd w:val="clear" w:color="auto" w:fill="FFFFFF"/>
        </w:rPr>
        <w:t>excluding US-born children and zero value</w:t>
      </w:r>
    </w:p>
    <w:tbl>
      <w:tblPr>
        <w:tblStyle w:val="TableGrid2"/>
        <w:tblW w:w="0" w:type="auto"/>
        <w:tblLook w:val="04A0" w:firstRow="1" w:lastRow="0" w:firstColumn="1" w:lastColumn="0" w:noHBand="0" w:noVBand="1"/>
      </w:tblPr>
      <w:tblGrid>
        <w:gridCol w:w="1696"/>
        <w:gridCol w:w="1750"/>
        <w:gridCol w:w="245"/>
        <w:gridCol w:w="1866"/>
        <w:gridCol w:w="1976"/>
      </w:tblGrid>
      <w:tr w:rsidR="00DA2F65" w:rsidRPr="001B435D" w14:paraId="68A2CC35" w14:textId="77777777" w:rsidTr="000635DD">
        <w:trPr>
          <w:trHeight w:val="267"/>
        </w:trPr>
        <w:tc>
          <w:tcPr>
            <w:tcW w:w="3446" w:type="dxa"/>
            <w:gridSpan w:val="2"/>
            <w:hideMark/>
          </w:tcPr>
          <w:p w14:paraId="3650203A" w14:textId="77777777" w:rsidR="00DA2F65" w:rsidRPr="001B435D" w:rsidRDefault="00DA2F65" w:rsidP="00DA2F65">
            <w:pPr>
              <w:jc w:val="center"/>
              <w:rPr>
                <w:rFonts w:ascii="Calibri" w:hAnsi="Calibri" w:cs="Calibri"/>
                <w:b/>
                <w:bCs/>
                <w:color w:val="000000"/>
                <w:sz w:val="20"/>
                <w:szCs w:val="20"/>
              </w:rPr>
            </w:pPr>
            <w:r w:rsidRPr="001B435D">
              <w:rPr>
                <w:b/>
                <w:bCs/>
                <w:sz w:val="20"/>
                <w:szCs w:val="20"/>
              </w:rPr>
              <w:t>Federal</w:t>
            </w:r>
          </w:p>
        </w:tc>
        <w:tc>
          <w:tcPr>
            <w:tcW w:w="245" w:type="dxa"/>
          </w:tcPr>
          <w:p w14:paraId="3AF11149" w14:textId="77777777" w:rsidR="00DA2F65" w:rsidRPr="001B435D" w:rsidRDefault="00DA2F65" w:rsidP="00DA2F65">
            <w:pPr>
              <w:jc w:val="center"/>
              <w:rPr>
                <w:rFonts w:ascii="Calibri" w:hAnsi="Calibri" w:cs="Calibri"/>
                <w:b/>
                <w:bCs/>
                <w:color w:val="000000"/>
                <w:sz w:val="20"/>
                <w:szCs w:val="20"/>
              </w:rPr>
            </w:pPr>
          </w:p>
        </w:tc>
        <w:tc>
          <w:tcPr>
            <w:tcW w:w="3842" w:type="dxa"/>
            <w:gridSpan w:val="2"/>
            <w:vAlign w:val="bottom"/>
          </w:tcPr>
          <w:p w14:paraId="4D30EA8C" w14:textId="77777777" w:rsidR="00DA2F65" w:rsidRPr="001B435D" w:rsidRDefault="00DA2F65" w:rsidP="00DA2F65">
            <w:pPr>
              <w:jc w:val="center"/>
              <w:rPr>
                <w:rFonts w:ascii="Calibri" w:hAnsi="Calibri" w:cs="Calibri"/>
                <w:b/>
                <w:bCs/>
                <w:color w:val="000000"/>
                <w:sz w:val="20"/>
                <w:szCs w:val="20"/>
              </w:rPr>
            </w:pPr>
            <w:r w:rsidRPr="001B435D">
              <w:rPr>
                <w:rFonts w:ascii="Calibri" w:hAnsi="Calibri" w:cs="Calibri"/>
                <w:b/>
                <w:bCs/>
                <w:color w:val="000000"/>
                <w:sz w:val="20"/>
                <w:szCs w:val="20"/>
              </w:rPr>
              <w:t>State</w:t>
            </w:r>
          </w:p>
        </w:tc>
      </w:tr>
      <w:tr w:rsidR="00DA2F65" w:rsidRPr="001B435D" w14:paraId="2008274E" w14:textId="77777777" w:rsidTr="000635DD">
        <w:trPr>
          <w:trHeight w:val="267"/>
        </w:trPr>
        <w:tc>
          <w:tcPr>
            <w:tcW w:w="1696" w:type="dxa"/>
            <w:hideMark/>
          </w:tcPr>
          <w:p w14:paraId="4880F4CE" w14:textId="77777777" w:rsidR="00DA2F65" w:rsidRPr="001B435D" w:rsidRDefault="00DA2F65" w:rsidP="00DA2F65">
            <w:pPr>
              <w:rPr>
                <w:b/>
                <w:bCs/>
                <w:sz w:val="20"/>
                <w:szCs w:val="20"/>
              </w:rPr>
            </w:pPr>
          </w:p>
          <w:p w14:paraId="163C5DBA" w14:textId="77777777" w:rsidR="00DA2F65" w:rsidRPr="001B435D" w:rsidRDefault="00DA2F65" w:rsidP="00DA2F65">
            <w:pPr>
              <w:rPr>
                <w:b/>
                <w:bCs/>
                <w:sz w:val="20"/>
                <w:szCs w:val="20"/>
              </w:rPr>
            </w:pPr>
            <w:r w:rsidRPr="001B435D">
              <w:rPr>
                <w:b/>
                <w:bCs/>
                <w:sz w:val="20"/>
                <w:szCs w:val="20"/>
              </w:rPr>
              <w:t>Education</w:t>
            </w:r>
          </w:p>
        </w:tc>
        <w:tc>
          <w:tcPr>
            <w:tcW w:w="1749" w:type="dxa"/>
          </w:tcPr>
          <w:p w14:paraId="24E468B6" w14:textId="77777777" w:rsidR="00DA2F65" w:rsidRPr="001B435D" w:rsidRDefault="00DA2F65" w:rsidP="00DA2F65">
            <w:pPr>
              <w:rPr>
                <w:rFonts w:ascii="Calibri" w:eastAsia="Times New Roman" w:hAnsi="Calibri" w:cs="Calibri"/>
                <w:b/>
                <w:bCs/>
                <w:color w:val="000000"/>
                <w:sz w:val="20"/>
                <w:szCs w:val="20"/>
              </w:rPr>
            </w:pPr>
          </w:p>
          <w:p w14:paraId="6991D42C" w14:textId="77777777" w:rsidR="00DA2F65" w:rsidRPr="001B435D" w:rsidRDefault="00DA2F65" w:rsidP="00DA2F65">
            <w:pPr>
              <w:rPr>
                <w:rFonts w:ascii="Calibri" w:hAnsi="Calibri" w:cs="Calibri"/>
                <w:b/>
                <w:bCs/>
                <w:color w:val="000000"/>
                <w:sz w:val="20"/>
                <w:szCs w:val="20"/>
              </w:rPr>
            </w:pPr>
            <w:r w:rsidRPr="001B435D">
              <w:rPr>
                <w:rFonts w:ascii="Calibri" w:eastAsia="Times New Roman" w:hAnsi="Calibri" w:cs="Calibri"/>
                <w:b/>
                <w:bCs/>
                <w:color w:val="000000"/>
                <w:sz w:val="20"/>
                <w:szCs w:val="20"/>
              </w:rPr>
              <w:t>Justice system</w:t>
            </w:r>
          </w:p>
        </w:tc>
        <w:tc>
          <w:tcPr>
            <w:tcW w:w="245" w:type="dxa"/>
          </w:tcPr>
          <w:p w14:paraId="1A8595D2" w14:textId="77777777" w:rsidR="00DA2F65" w:rsidRPr="001B435D" w:rsidRDefault="00DA2F65" w:rsidP="00DA2F65">
            <w:pPr>
              <w:rPr>
                <w:rFonts w:ascii="Calibri" w:hAnsi="Calibri" w:cs="Calibri"/>
                <w:b/>
                <w:bCs/>
                <w:color w:val="000000"/>
                <w:sz w:val="20"/>
                <w:szCs w:val="20"/>
              </w:rPr>
            </w:pPr>
          </w:p>
        </w:tc>
        <w:tc>
          <w:tcPr>
            <w:tcW w:w="1866" w:type="dxa"/>
            <w:vAlign w:val="bottom"/>
          </w:tcPr>
          <w:p w14:paraId="11D15A1B" w14:textId="77777777" w:rsidR="00DA2F65" w:rsidRPr="001B435D" w:rsidRDefault="00DA2F65" w:rsidP="00DA2F65">
            <w:pPr>
              <w:rPr>
                <w:sz w:val="20"/>
                <w:szCs w:val="20"/>
              </w:rPr>
            </w:pPr>
            <w:r w:rsidRPr="001B435D">
              <w:rPr>
                <w:rFonts w:ascii="Calibri" w:hAnsi="Calibri" w:cs="Calibri"/>
                <w:b/>
                <w:bCs/>
                <w:color w:val="000000"/>
                <w:sz w:val="20"/>
                <w:szCs w:val="20"/>
              </w:rPr>
              <w:t>Education</w:t>
            </w:r>
          </w:p>
        </w:tc>
        <w:tc>
          <w:tcPr>
            <w:tcW w:w="1975" w:type="dxa"/>
            <w:vAlign w:val="bottom"/>
          </w:tcPr>
          <w:p w14:paraId="277A75DB" w14:textId="77777777" w:rsidR="00DA2F65" w:rsidRPr="001B435D" w:rsidRDefault="00DA2F65" w:rsidP="00DA2F65">
            <w:pPr>
              <w:rPr>
                <w:rFonts w:ascii="Calibri" w:hAnsi="Calibri" w:cs="Calibri"/>
                <w:b/>
                <w:bCs/>
                <w:color w:val="000000"/>
                <w:sz w:val="20"/>
                <w:szCs w:val="20"/>
              </w:rPr>
            </w:pPr>
            <w:r w:rsidRPr="001B435D">
              <w:rPr>
                <w:rFonts w:ascii="Calibri" w:hAnsi="Calibri" w:cs="Calibri"/>
                <w:b/>
                <w:bCs/>
                <w:color w:val="000000"/>
                <w:sz w:val="20"/>
                <w:szCs w:val="20"/>
              </w:rPr>
              <w:t>Justice system</w:t>
            </w:r>
          </w:p>
        </w:tc>
      </w:tr>
      <w:tr w:rsidR="00DA2F65" w:rsidRPr="001B435D" w14:paraId="1B7983E9" w14:textId="77777777" w:rsidTr="000635DD">
        <w:trPr>
          <w:trHeight w:val="535"/>
        </w:trPr>
        <w:tc>
          <w:tcPr>
            <w:tcW w:w="1696" w:type="dxa"/>
            <w:hideMark/>
          </w:tcPr>
          <w:p w14:paraId="73D89F85" w14:textId="77777777" w:rsidR="00DA2F65" w:rsidRPr="001B435D" w:rsidRDefault="00DA2F65" w:rsidP="00DA2F65">
            <w:pPr>
              <w:rPr>
                <w:sz w:val="20"/>
                <w:szCs w:val="20"/>
              </w:rPr>
            </w:pPr>
            <w:r w:rsidRPr="001B435D">
              <w:rPr>
                <w:sz w:val="20"/>
                <w:szCs w:val="20"/>
              </w:rPr>
              <w:t>Primary &amp; Secondary Ed.</w:t>
            </w:r>
          </w:p>
        </w:tc>
        <w:tc>
          <w:tcPr>
            <w:tcW w:w="1749" w:type="dxa"/>
          </w:tcPr>
          <w:p w14:paraId="586C9665" w14:textId="77777777" w:rsidR="00DA2F65" w:rsidRPr="001B435D" w:rsidRDefault="00DA2F65" w:rsidP="00DA2F65">
            <w:pPr>
              <w:rPr>
                <w:rFonts w:ascii="Calibri" w:hAnsi="Calibri" w:cs="Calibri"/>
                <w:color w:val="000000"/>
                <w:sz w:val="20"/>
                <w:szCs w:val="20"/>
              </w:rPr>
            </w:pPr>
            <w:r w:rsidRPr="001B435D">
              <w:rPr>
                <w:rFonts w:ascii="Calibri" w:eastAsia="Times New Roman" w:hAnsi="Calibri" w:cs="Calibri"/>
                <w:color w:val="000000"/>
                <w:sz w:val="20"/>
                <w:szCs w:val="20"/>
              </w:rPr>
              <w:t>Federal Incarceration</w:t>
            </w:r>
          </w:p>
        </w:tc>
        <w:tc>
          <w:tcPr>
            <w:tcW w:w="245" w:type="dxa"/>
          </w:tcPr>
          <w:p w14:paraId="58D27BE1" w14:textId="77777777" w:rsidR="00DA2F65" w:rsidRPr="001B435D" w:rsidRDefault="00DA2F65" w:rsidP="00DA2F65">
            <w:pPr>
              <w:rPr>
                <w:rFonts w:ascii="Calibri" w:hAnsi="Calibri" w:cs="Calibri"/>
                <w:color w:val="000000"/>
                <w:sz w:val="20"/>
                <w:szCs w:val="20"/>
              </w:rPr>
            </w:pPr>
          </w:p>
        </w:tc>
        <w:tc>
          <w:tcPr>
            <w:tcW w:w="1866" w:type="dxa"/>
            <w:vAlign w:val="bottom"/>
          </w:tcPr>
          <w:p w14:paraId="1DE742C1" w14:textId="77777777" w:rsidR="00DA2F65" w:rsidRPr="001B435D" w:rsidRDefault="00DA2F65" w:rsidP="00DA2F65">
            <w:pPr>
              <w:rPr>
                <w:sz w:val="20"/>
                <w:szCs w:val="20"/>
              </w:rPr>
            </w:pPr>
            <w:r w:rsidRPr="001B435D">
              <w:rPr>
                <w:rFonts w:ascii="Calibri" w:hAnsi="Calibri" w:cs="Calibri"/>
                <w:color w:val="000000"/>
                <w:sz w:val="20"/>
                <w:szCs w:val="20"/>
              </w:rPr>
              <w:t>Public schools: Illegal minors</w:t>
            </w:r>
          </w:p>
        </w:tc>
        <w:tc>
          <w:tcPr>
            <w:tcW w:w="1975" w:type="dxa"/>
            <w:vAlign w:val="bottom"/>
          </w:tcPr>
          <w:p w14:paraId="4BF89BB0" w14:textId="77777777" w:rsidR="00DA2F65" w:rsidRPr="001B435D" w:rsidRDefault="00DA2F65" w:rsidP="00DA2F65">
            <w:pPr>
              <w:rPr>
                <w:rFonts w:ascii="Calibri" w:hAnsi="Calibri" w:cs="Calibri"/>
                <w:color w:val="000000"/>
                <w:sz w:val="20"/>
                <w:szCs w:val="20"/>
              </w:rPr>
            </w:pPr>
            <w:r w:rsidRPr="001B435D">
              <w:rPr>
                <w:rFonts w:ascii="Calibri" w:hAnsi="Calibri" w:cs="Calibri"/>
                <w:color w:val="000000"/>
                <w:sz w:val="20"/>
                <w:szCs w:val="20"/>
              </w:rPr>
              <w:t>Policing</w:t>
            </w:r>
          </w:p>
        </w:tc>
      </w:tr>
      <w:tr w:rsidR="00DA2F65" w:rsidRPr="001B435D" w14:paraId="7CF149A3" w14:textId="77777777" w:rsidTr="000635DD">
        <w:trPr>
          <w:trHeight w:val="267"/>
        </w:trPr>
        <w:tc>
          <w:tcPr>
            <w:tcW w:w="1696" w:type="dxa"/>
            <w:hideMark/>
          </w:tcPr>
          <w:p w14:paraId="1FC63460" w14:textId="77777777" w:rsidR="00DA2F65" w:rsidRPr="001B435D" w:rsidRDefault="00DA2F65" w:rsidP="00DA2F65">
            <w:pPr>
              <w:rPr>
                <w:sz w:val="20"/>
                <w:szCs w:val="20"/>
              </w:rPr>
            </w:pPr>
            <w:r w:rsidRPr="001B435D">
              <w:rPr>
                <w:sz w:val="20"/>
                <w:szCs w:val="20"/>
              </w:rPr>
              <w:t>Limited English III</w:t>
            </w:r>
          </w:p>
        </w:tc>
        <w:tc>
          <w:tcPr>
            <w:tcW w:w="1749" w:type="dxa"/>
          </w:tcPr>
          <w:p w14:paraId="11D3F93B" w14:textId="77777777" w:rsidR="00DA2F65" w:rsidRPr="001B435D" w:rsidRDefault="00DA2F65" w:rsidP="00DA2F65">
            <w:pPr>
              <w:rPr>
                <w:sz w:val="20"/>
                <w:szCs w:val="20"/>
              </w:rPr>
            </w:pPr>
            <w:r w:rsidRPr="001B435D">
              <w:rPr>
                <w:rFonts w:ascii="Calibri" w:eastAsia="Times New Roman" w:hAnsi="Calibri" w:cs="Calibri"/>
                <w:color w:val="000000"/>
                <w:sz w:val="20"/>
                <w:szCs w:val="20"/>
              </w:rPr>
              <w:t>DHS Enforcement &amp; Removal</w:t>
            </w:r>
          </w:p>
        </w:tc>
        <w:tc>
          <w:tcPr>
            <w:tcW w:w="245" w:type="dxa"/>
          </w:tcPr>
          <w:p w14:paraId="0C0D024F" w14:textId="77777777" w:rsidR="00DA2F65" w:rsidRPr="001B435D" w:rsidRDefault="00DA2F65" w:rsidP="00DA2F65">
            <w:pPr>
              <w:rPr>
                <w:sz w:val="20"/>
                <w:szCs w:val="20"/>
              </w:rPr>
            </w:pPr>
          </w:p>
        </w:tc>
        <w:tc>
          <w:tcPr>
            <w:tcW w:w="1866" w:type="dxa"/>
            <w:vAlign w:val="bottom"/>
          </w:tcPr>
          <w:p w14:paraId="6A1E5B2D" w14:textId="77777777" w:rsidR="00DA2F65" w:rsidRPr="001B435D" w:rsidRDefault="00DA2F65" w:rsidP="00DA2F65">
            <w:pPr>
              <w:rPr>
                <w:sz w:val="20"/>
                <w:szCs w:val="20"/>
              </w:rPr>
            </w:pPr>
            <w:r w:rsidRPr="001B435D">
              <w:rPr>
                <w:sz w:val="20"/>
                <w:szCs w:val="20"/>
              </w:rPr>
              <w:t>Post-secondary tuition Assist.</w:t>
            </w:r>
          </w:p>
        </w:tc>
        <w:tc>
          <w:tcPr>
            <w:tcW w:w="1975" w:type="dxa"/>
            <w:vAlign w:val="bottom"/>
          </w:tcPr>
          <w:p w14:paraId="299CBC51" w14:textId="77777777" w:rsidR="00DA2F65" w:rsidRPr="001B435D" w:rsidRDefault="00DA2F65" w:rsidP="00DA2F65">
            <w:pPr>
              <w:rPr>
                <w:sz w:val="20"/>
                <w:szCs w:val="20"/>
              </w:rPr>
            </w:pPr>
            <w:r w:rsidRPr="001B435D">
              <w:rPr>
                <w:rFonts w:ascii="Calibri" w:hAnsi="Calibri" w:cs="Calibri"/>
                <w:color w:val="000000"/>
                <w:sz w:val="20"/>
                <w:szCs w:val="20"/>
              </w:rPr>
              <w:t>Judicial</w:t>
            </w:r>
          </w:p>
        </w:tc>
      </w:tr>
      <w:tr w:rsidR="00DA2F65" w:rsidRPr="001B435D" w14:paraId="1949E7FA" w14:textId="77777777" w:rsidTr="000635DD">
        <w:trPr>
          <w:trHeight w:val="267"/>
        </w:trPr>
        <w:tc>
          <w:tcPr>
            <w:tcW w:w="1696" w:type="dxa"/>
            <w:hideMark/>
          </w:tcPr>
          <w:p w14:paraId="4FA2E6BA" w14:textId="77777777" w:rsidR="00DA2F65" w:rsidRPr="001B435D" w:rsidRDefault="00DA2F65" w:rsidP="00DA2F65">
            <w:pPr>
              <w:rPr>
                <w:sz w:val="20"/>
                <w:szCs w:val="20"/>
              </w:rPr>
            </w:pPr>
            <w:r w:rsidRPr="001B435D">
              <w:rPr>
                <w:sz w:val="20"/>
                <w:szCs w:val="20"/>
              </w:rPr>
              <w:t>Migrant Schooling</w:t>
            </w:r>
          </w:p>
        </w:tc>
        <w:tc>
          <w:tcPr>
            <w:tcW w:w="1749" w:type="dxa"/>
          </w:tcPr>
          <w:p w14:paraId="377A58CB" w14:textId="77777777" w:rsidR="00DA2F65" w:rsidRPr="001B435D" w:rsidRDefault="00DA2F65" w:rsidP="00DA2F65">
            <w:pPr>
              <w:rPr>
                <w:sz w:val="20"/>
                <w:szCs w:val="20"/>
              </w:rPr>
            </w:pPr>
            <w:r w:rsidRPr="001B435D">
              <w:rPr>
                <w:rFonts w:ascii="Calibri" w:eastAsia="Times New Roman" w:hAnsi="Calibri" w:cs="Calibri"/>
                <w:color w:val="000000"/>
                <w:sz w:val="20"/>
                <w:szCs w:val="20"/>
              </w:rPr>
              <w:t>DHS Customs &amp; Border Protection</w:t>
            </w:r>
          </w:p>
        </w:tc>
        <w:tc>
          <w:tcPr>
            <w:tcW w:w="245" w:type="dxa"/>
          </w:tcPr>
          <w:p w14:paraId="6BAD3ACF" w14:textId="77777777" w:rsidR="00DA2F65" w:rsidRPr="001B435D" w:rsidRDefault="00DA2F65" w:rsidP="00DA2F65">
            <w:pPr>
              <w:rPr>
                <w:sz w:val="20"/>
                <w:szCs w:val="20"/>
              </w:rPr>
            </w:pPr>
          </w:p>
        </w:tc>
        <w:tc>
          <w:tcPr>
            <w:tcW w:w="1866" w:type="dxa"/>
            <w:vAlign w:val="bottom"/>
          </w:tcPr>
          <w:p w14:paraId="6FB619F2" w14:textId="77777777" w:rsidR="00DA2F65" w:rsidRPr="001B435D" w:rsidRDefault="00DA2F65" w:rsidP="00DA2F65">
            <w:pPr>
              <w:rPr>
                <w:sz w:val="20"/>
                <w:szCs w:val="20"/>
              </w:rPr>
            </w:pPr>
          </w:p>
        </w:tc>
        <w:tc>
          <w:tcPr>
            <w:tcW w:w="1975" w:type="dxa"/>
            <w:vAlign w:val="bottom"/>
          </w:tcPr>
          <w:p w14:paraId="380E57C5" w14:textId="77777777" w:rsidR="00DA2F65" w:rsidRPr="001B435D" w:rsidRDefault="00DA2F65" w:rsidP="00DA2F65">
            <w:pPr>
              <w:rPr>
                <w:sz w:val="20"/>
                <w:szCs w:val="20"/>
              </w:rPr>
            </w:pPr>
            <w:r w:rsidRPr="001B435D">
              <w:rPr>
                <w:rFonts w:ascii="Calibri" w:hAnsi="Calibri" w:cs="Calibri"/>
                <w:color w:val="000000"/>
                <w:sz w:val="20"/>
                <w:szCs w:val="20"/>
              </w:rPr>
              <w:t>Corrections</w:t>
            </w:r>
          </w:p>
        </w:tc>
      </w:tr>
      <w:tr w:rsidR="00DA2F65" w:rsidRPr="001B435D" w14:paraId="71985667" w14:textId="77777777" w:rsidTr="000635DD">
        <w:trPr>
          <w:trHeight w:val="267"/>
        </w:trPr>
        <w:tc>
          <w:tcPr>
            <w:tcW w:w="1696" w:type="dxa"/>
            <w:hideMark/>
          </w:tcPr>
          <w:p w14:paraId="43551944" w14:textId="77777777" w:rsidR="00DA2F65" w:rsidRPr="001B435D" w:rsidRDefault="00DA2F65" w:rsidP="00DA2F65">
            <w:pPr>
              <w:rPr>
                <w:sz w:val="20"/>
                <w:szCs w:val="20"/>
              </w:rPr>
            </w:pPr>
            <w:r w:rsidRPr="001B435D">
              <w:rPr>
                <w:sz w:val="20"/>
                <w:szCs w:val="20"/>
              </w:rPr>
              <w:t>Head Start</w:t>
            </w:r>
          </w:p>
        </w:tc>
        <w:tc>
          <w:tcPr>
            <w:tcW w:w="1749" w:type="dxa"/>
          </w:tcPr>
          <w:p w14:paraId="32B72F6E" w14:textId="77777777" w:rsidR="00DA2F65" w:rsidRPr="001B435D" w:rsidRDefault="00DA2F65" w:rsidP="00DA2F65">
            <w:pPr>
              <w:rPr>
                <w:sz w:val="20"/>
                <w:szCs w:val="20"/>
              </w:rPr>
            </w:pPr>
            <w:r w:rsidRPr="001B435D">
              <w:rPr>
                <w:rFonts w:ascii="Calibri" w:eastAsia="Times New Roman" w:hAnsi="Calibri" w:cs="Calibri"/>
                <w:color w:val="000000"/>
                <w:sz w:val="20"/>
                <w:szCs w:val="20"/>
              </w:rPr>
              <w:t>Other DHS/ICE</w:t>
            </w:r>
          </w:p>
        </w:tc>
        <w:tc>
          <w:tcPr>
            <w:tcW w:w="245" w:type="dxa"/>
          </w:tcPr>
          <w:p w14:paraId="38A34DC0" w14:textId="77777777" w:rsidR="00DA2F65" w:rsidRPr="001B435D" w:rsidRDefault="00DA2F65" w:rsidP="00DA2F65">
            <w:pPr>
              <w:rPr>
                <w:sz w:val="20"/>
                <w:szCs w:val="20"/>
              </w:rPr>
            </w:pPr>
          </w:p>
        </w:tc>
        <w:tc>
          <w:tcPr>
            <w:tcW w:w="1866" w:type="dxa"/>
            <w:vAlign w:val="bottom"/>
          </w:tcPr>
          <w:p w14:paraId="6BEAA0D4" w14:textId="77777777" w:rsidR="00DA2F65" w:rsidRPr="001B435D" w:rsidRDefault="00DA2F65" w:rsidP="00DA2F65">
            <w:pPr>
              <w:rPr>
                <w:sz w:val="20"/>
                <w:szCs w:val="20"/>
              </w:rPr>
            </w:pPr>
          </w:p>
        </w:tc>
        <w:tc>
          <w:tcPr>
            <w:tcW w:w="1975" w:type="dxa"/>
            <w:vAlign w:val="bottom"/>
          </w:tcPr>
          <w:p w14:paraId="2328DC4E" w14:textId="77777777" w:rsidR="00DA2F65" w:rsidRPr="001B435D" w:rsidRDefault="00DA2F65" w:rsidP="00DA2F65">
            <w:pPr>
              <w:rPr>
                <w:sz w:val="20"/>
                <w:szCs w:val="20"/>
              </w:rPr>
            </w:pPr>
            <w:r w:rsidRPr="001B435D">
              <w:rPr>
                <w:rFonts w:ascii="Calibri" w:hAnsi="Calibri" w:cs="Calibri"/>
                <w:color w:val="000000"/>
                <w:sz w:val="20"/>
                <w:szCs w:val="20"/>
              </w:rPr>
              <w:t>State Border Costs</w:t>
            </w:r>
          </w:p>
        </w:tc>
      </w:tr>
      <w:tr w:rsidR="00DA2F65" w:rsidRPr="001B435D" w14:paraId="4C2D0816" w14:textId="77777777" w:rsidTr="000635DD">
        <w:trPr>
          <w:trHeight w:val="267"/>
        </w:trPr>
        <w:tc>
          <w:tcPr>
            <w:tcW w:w="1696" w:type="dxa"/>
            <w:hideMark/>
          </w:tcPr>
          <w:p w14:paraId="7C37A4DA" w14:textId="77777777" w:rsidR="00DA2F65" w:rsidRPr="001B435D" w:rsidRDefault="00DA2F65" w:rsidP="00DA2F65">
            <w:pPr>
              <w:rPr>
                <w:rFonts w:ascii="Calibri" w:eastAsia="Times New Roman" w:hAnsi="Calibri" w:cs="Calibri"/>
                <w:b/>
                <w:bCs/>
                <w:color w:val="000000"/>
                <w:sz w:val="20"/>
                <w:szCs w:val="20"/>
              </w:rPr>
            </w:pPr>
          </w:p>
          <w:p w14:paraId="7DBC2DB6" w14:textId="77777777" w:rsidR="00DA2F65" w:rsidRPr="001B435D" w:rsidRDefault="00DA2F65" w:rsidP="00DA2F65">
            <w:pPr>
              <w:rPr>
                <w:rFonts w:ascii="Calibri" w:eastAsia="Times New Roman" w:hAnsi="Calibri" w:cs="Calibri"/>
                <w:b/>
                <w:bCs/>
                <w:color w:val="000000"/>
                <w:sz w:val="20"/>
                <w:szCs w:val="20"/>
              </w:rPr>
            </w:pPr>
            <w:r w:rsidRPr="001B435D">
              <w:rPr>
                <w:rFonts w:ascii="Calibri" w:eastAsia="Times New Roman" w:hAnsi="Calibri" w:cs="Calibri"/>
                <w:b/>
                <w:bCs/>
                <w:color w:val="000000"/>
                <w:sz w:val="20"/>
                <w:szCs w:val="20"/>
              </w:rPr>
              <w:t>Medical</w:t>
            </w:r>
          </w:p>
        </w:tc>
        <w:tc>
          <w:tcPr>
            <w:tcW w:w="1749" w:type="dxa"/>
          </w:tcPr>
          <w:p w14:paraId="37329C53" w14:textId="77777777" w:rsidR="00DA2F65" w:rsidRPr="001B435D" w:rsidRDefault="00DA2F65" w:rsidP="00DA2F65">
            <w:pPr>
              <w:rPr>
                <w:rFonts w:ascii="Calibri" w:hAnsi="Calibri" w:cs="Calibri"/>
                <w:b/>
                <w:bCs/>
                <w:color w:val="000000"/>
                <w:sz w:val="20"/>
                <w:szCs w:val="20"/>
              </w:rPr>
            </w:pPr>
            <w:r w:rsidRPr="001B435D">
              <w:rPr>
                <w:rFonts w:ascii="Calibri" w:eastAsia="Times New Roman" w:hAnsi="Calibri" w:cs="Calibri"/>
                <w:color w:val="000000"/>
                <w:sz w:val="20"/>
                <w:szCs w:val="20"/>
              </w:rPr>
              <w:t>State Criminal Alien Assistance</w:t>
            </w:r>
          </w:p>
        </w:tc>
        <w:tc>
          <w:tcPr>
            <w:tcW w:w="245" w:type="dxa"/>
          </w:tcPr>
          <w:p w14:paraId="2BA3E3B6" w14:textId="77777777" w:rsidR="00DA2F65" w:rsidRPr="001B435D" w:rsidRDefault="00DA2F65" w:rsidP="00DA2F65">
            <w:pPr>
              <w:rPr>
                <w:rFonts w:ascii="Calibri" w:hAnsi="Calibri" w:cs="Calibri"/>
                <w:b/>
                <w:bCs/>
                <w:color w:val="000000"/>
                <w:sz w:val="20"/>
                <w:szCs w:val="20"/>
              </w:rPr>
            </w:pPr>
          </w:p>
        </w:tc>
        <w:tc>
          <w:tcPr>
            <w:tcW w:w="1866" w:type="dxa"/>
            <w:vAlign w:val="bottom"/>
          </w:tcPr>
          <w:p w14:paraId="49638280" w14:textId="77777777" w:rsidR="00DA2F65" w:rsidRPr="001B435D" w:rsidRDefault="00DA2F65" w:rsidP="00DA2F65">
            <w:pPr>
              <w:rPr>
                <w:sz w:val="20"/>
                <w:szCs w:val="20"/>
              </w:rPr>
            </w:pPr>
            <w:r w:rsidRPr="001B435D">
              <w:rPr>
                <w:rFonts w:ascii="Calibri" w:hAnsi="Calibri" w:cs="Calibri"/>
                <w:b/>
                <w:bCs/>
                <w:color w:val="000000"/>
                <w:sz w:val="20"/>
                <w:szCs w:val="20"/>
              </w:rPr>
              <w:t>Medical</w:t>
            </w:r>
          </w:p>
        </w:tc>
        <w:tc>
          <w:tcPr>
            <w:tcW w:w="1975" w:type="dxa"/>
            <w:vAlign w:val="bottom"/>
          </w:tcPr>
          <w:p w14:paraId="099249FC" w14:textId="77777777" w:rsidR="00DA2F65" w:rsidRPr="001B435D" w:rsidRDefault="00DA2F65" w:rsidP="00DA2F65">
            <w:pPr>
              <w:rPr>
                <w:rFonts w:ascii="Calibri" w:hAnsi="Calibri" w:cs="Calibri"/>
                <w:b/>
                <w:bCs/>
                <w:color w:val="000000"/>
                <w:sz w:val="20"/>
                <w:szCs w:val="20"/>
              </w:rPr>
            </w:pPr>
            <w:r w:rsidRPr="001B435D">
              <w:rPr>
                <w:rFonts w:ascii="Calibri" w:hAnsi="Calibri" w:cs="Calibri"/>
                <w:color w:val="000000"/>
                <w:sz w:val="20"/>
                <w:szCs w:val="20"/>
              </w:rPr>
              <w:t>Fed SCAAP reimbursement</w:t>
            </w:r>
          </w:p>
        </w:tc>
      </w:tr>
      <w:tr w:rsidR="00DA2F65" w:rsidRPr="001B435D" w14:paraId="4EBFFE1B" w14:textId="77777777" w:rsidTr="000635DD">
        <w:trPr>
          <w:trHeight w:val="535"/>
        </w:trPr>
        <w:tc>
          <w:tcPr>
            <w:tcW w:w="1696" w:type="dxa"/>
            <w:hideMark/>
          </w:tcPr>
          <w:p w14:paraId="769C0F07" w14:textId="77777777" w:rsidR="00DA2F65" w:rsidRPr="001B435D" w:rsidRDefault="00DA2F65" w:rsidP="00DA2F65">
            <w:pPr>
              <w:rPr>
                <w:rFonts w:ascii="Calibri" w:eastAsia="Times New Roman" w:hAnsi="Calibri" w:cs="Calibri"/>
                <w:color w:val="000000"/>
                <w:sz w:val="20"/>
                <w:szCs w:val="20"/>
              </w:rPr>
            </w:pPr>
            <w:r w:rsidRPr="001B435D">
              <w:rPr>
                <w:rFonts w:ascii="Calibri" w:eastAsia="Times New Roman" w:hAnsi="Calibri" w:cs="Calibri"/>
                <w:color w:val="000000"/>
                <w:sz w:val="20"/>
                <w:szCs w:val="20"/>
              </w:rPr>
              <w:t>Uncomp. Hospital Expenditure</w:t>
            </w:r>
          </w:p>
        </w:tc>
        <w:tc>
          <w:tcPr>
            <w:tcW w:w="1749" w:type="dxa"/>
          </w:tcPr>
          <w:p w14:paraId="5BF973FB" w14:textId="77777777" w:rsidR="00DA2F65" w:rsidRPr="001B435D" w:rsidRDefault="00DA2F65" w:rsidP="00DA2F65">
            <w:pPr>
              <w:rPr>
                <w:rFonts w:ascii="Calibri" w:hAnsi="Calibri" w:cs="Calibri"/>
                <w:color w:val="000000"/>
                <w:sz w:val="20"/>
                <w:szCs w:val="20"/>
              </w:rPr>
            </w:pPr>
            <w:r w:rsidRPr="001B435D">
              <w:rPr>
                <w:rFonts w:ascii="Calibri" w:eastAsia="Times New Roman" w:hAnsi="Calibri" w:cs="Calibri"/>
                <w:color w:val="000000"/>
                <w:sz w:val="20"/>
                <w:szCs w:val="20"/>
              </w:rPr>
              <w:t>DOJ/Exec Immigration Review</w:t>
            </w:r>
          </w:p>
        </w:tc>
        <w:tc>
          <w:tcPr>
            <w:tcW w:w="245" w:type="dxa"/>
          </w:tcPr>
          <w:p w14:paraId="0BE34884" w14:textId="77777777" w:rsidR="00DA2F65" w:rsidRPr="001B435D" w:rsidRDefault="00DA2F65" w:rsidP="00DA2F65">
            <w:pPr>
              <w:rPr>
                <w:rFonts w:ascii="Calibri" w:hAnsi="Calibri" w:cs="Calibri"/>
                <w:color w:val="000000"/>
                <w:sz w:val="20"/>
                <w:szCs w:val="20"/>
              </w:rPr>
            </w:pPr>
          </w:p>
        </w:tc>
        <w:tc>
          <w:tcPr>
            <w:tcW w:w="1866" w:type="dxa"/>
            <w:vAlign w:val="bottom"/>
          </w:tcPr>
          <w:p w14:paraId="2961ABBF" w14:textId="77777777" w:rsidR="00DA2F65" w:rsidRPr="001B435D" w:rsidRDefault="00DA2F65" w:rsidP="00DA2F65">
            <w:pPr>
              <w:rPr>
                <w:sz w:val="20"/>
                <w:szCs w:val="20"/>
              </w:rPr>
            </w:pPr>
            <w:r w:rsidRPr="001B435D">
              <w:rPr>
                <w:rFonts w:ascii="Calibri" w:hAnsi="Calibri" w:cs="Calibri"/>
                <w:color w:val="000000"/>
                <w:sz w:val="20"/>
                <w:szCs w:val="20"/>
              </w:rPr>
              <w:t>Uncomp. Hospital Expenditure</w:t>
            </w:r>
          </w:p>
        </w:tc>
        <w:tc>
          <w:tcPr>
            <w:tcW w:w="1975" w:type="dxa"/>
            <w:vAlign w:val="bottom"/>
          </w:tcPr>
          <w:p w14:paraId="23069648" w14:textId="77777777" w:rsidR="00DA2F65" w:rsidRPr="001B435D" w:rsidRDefault="00DA2F65" w:rsidP="00DA2F65">
            <w:pPr>
              <w:rPr>
                <w:rFonts w:ascii="Calibri" w:hAnsi="Calibri" w:cs="Calibri"/>
                <w:color w:val="000000"/>
                <w:sz w:val="20"/>
                <w:szCs w:val="20"/>
              </w:rPr>
            </w:pPr>
          </w:p>
        </w:tc>
      </w:tr>
      <w:tr w:rsidR="00DA2F65" w:rsidRPr="001B435D" w14:paraId="09DD003E" w14:textId="77777777" w:rsidTr="000635DD">
        <w:trPr>
          <w:trHeight w:val="267"/>
        </w:trPr>
        <w:tc>
          <w:tcPr>
            <w:tcW w:w="1696" w:type="dxa"/>
            <w:hideMark/>
          </w:tcPr>
          <w:p w14:paraId="36842342" w14:textId="77777777" w:rsidR="00DA2F65" w:rsidRPr="001B435D" w:rsidRDefault="00DA2F65" w:rsidP="00DA2F65">
            <w:pPr>
              <w:rPr>
                <w:rFonts w:ascii="Calibri" w:eastAsia="Times New Roman" w:hAnsi="Calibri" w:cs="Calibri"/>
                <w:color w:val="000000"/>
                <w:sz w:val="20"/>
                <w:szCs w:val="20"/>
              </w:rPr>
            </w:pPr>
            <w:r w:rsidRPr="001B435D">
              <w:rPr>
                <w:rFonts w:ascii="Calibri" w:eastAsia="Times New Roman" w:hAnsi="Calibri" w:cs="Calibri"/>
                <w:color w:val="000000"/>
                <w:sz w:val="20"/>
                <w:szCs w:val="20"/>
              </w:rPr>
              <w:t>Medicaid births</w:t>
            </w:r>
          </w:p>
        </w:tc>
        <w:tc>
          <w:tcPr>
            <w:tcW w:w="1749" w:type="dxa"/>
          </w:tcPr>
          <w:p w14:paraId="06495F77" w14:textId="77777777" w:rsidR="00DA2F65" w:rsidRPr="001B435D" w:rsidRDefault="00DA2F65" w:rsidP="00DA2F65">
            <w:pPr>
              <w:rPr>
                <w:rFonts w:ascii="Calibri" w:hAnsi="Calibri" w:cs="Calibri"/>
                <w:color w:val="000000"/>
                <w:sz w:val="20"/>
                <w:szCs w:val="20"/>
              </w:rPr>
            </w:pPr>
            <w:r w:rsidRPr="001B435D">
              <w:rPr>
                <w:rFonts w:ascii="Calibri" w:eastAsia="Times New Roman" w:hAnsi="Calibri" w:cs="Calibri"/>
                <w:color w:val="000000"/>
                <w:sz w:val="20"/>
                <w:szCs w:val="20"/>
              </w:rPr>
              <w:t>HHS/Alien Minors</w:t>
            </w:r>
          </w:p>
        </w:tc>
        <w:tc>
          <w:tcPr>
            <w:tcW w:w="245" w:type="dxa"/>
          </w:tcPr>
          <w:p w14:paraId="47E00C75" w14:textId="77777777" w:rsidR="00DA2F65" w:rsidRPr="001B435D" w:rsidRDefault="00DA2F65" w:rsidP="00DA2F65">
            <w:pPr>
              <w:rPr>
                <w:rFonts w:ascii="Calibri" w:hAnsi="Calibri" w:cs="Calibri"/>
                <w:color w:val="000000"/>
                <w:sz w:val="20"/>
                <w:szCs w:val="20"/>
              </w:rPr>
            </w:pPr>
          </w:p>
        </w:tc>
        <w:tc>
          <w:tcPr>
            <w:tcW w:w="1866" w:type="dxa"/>
            <w:vAlign w:val="bottom"/>
          </w:tcPr>
          <w:p w14:paraId="794AAF21" w14:textId="77777777" w:rsidR="00DA2F65" w:rsidRPr="001B435D" w:rsidRDefault="00DA2F65" w:rsidP="00DA2F65">
            <w:pPr>
              <w:rPr>
                <w:sz w:val="20"/>
                <w:szCs w:val="20"/>
              </w:rPr>
            </w:pPr>
            <w:r w:rsidRPr="001B435D">
              <w:rPr>
                <w:rFonts w:ascii="Calibri" w:hAnsi="Calibri" w:cs="Calibri"/>
                <w:color w:val="000000"/>
                <w:sz w:val="20"/>
                <w:szCs w:val="20"/>
              </w:rPr>
              <w:t>Medicaid births</w:t>
            </w:r>
          </w:p>
        </w:tc>
        <w:tc>
          <w:tcPr>
            <w:tcW w:w="1975" w:type="dxa"/>
            <w:vAlign w:val="bottom"/>
          </w:tcPr>
          <w:p w14:paraId="412D81E5" w14:textId="77777777" w:rsidR="00DA2F65" w:rsidRPr="001B435D" w:rsidRDefault="00DA2F65" w:rsidP="00DA2F65">
            <w:pPr>
              <w:rPr>
                <w:rFonts w:ascii="Calibri" w:hAnsi="Calibri" w:cs="Calibri"/>
                <w:color w:val="000000"/>
                <w:sz w:val="20"/>
                <w:szCs w:val="20"/>
              </w:rPr>
            </w:pPr>
          </w:p>
        </w:tc>
      </w:tr>
      <w:tr w:rsidR="00DA2F65" w:rsidRPr="001B435D" w14:paraId="32CEE56E" w14:textId="77777777" w:rsidTr="000635DD">
        <w:trPr>
          <w:trHeight w:val="535"/>
        </w:trPr>
        <w:tc>
          <w:tcPr>
            <w:tcW w:w="1696" w:type="dxa"/>
            <w:hideMark/>
          </w:tcPr>
          <w:p w14:paraId="7E5EFA06" w14:textId="77777777" w:rsidR="00DA2F65" w:rsidRPr="001B435D" w:rsidRDefault="00DA2F65" w:rsidP="00DA2F65">
            <w:pPr>
              <w:rPr>
                <w:rFonts w:ascii="Calibri" w:eastAsia="Times New Roman" w:hAnsi="Calibri" w:cs="Calibri"/>
                <w:color w:val="000000"/>
                <w:sz w:val="20"/>
                <w:szCs w:val="20"/>
              </w:rPr>
            </w:pPr>
            <w:r w:rsidRPr="001B435D">
              <w:rPr>
                <w:rFonts w:ascii="Calibri" w:eastAsia="Times New Roman" w:hAnsi="Calibri" w:cs="Calibri"/>
                <w:color w:val="000000"/>
                <w:sz w:val="20"/>
                <w:szCs w:val="20"/>
              </w:rPr>
              <w:t>Improper Medicaid Payments</w:t>
            </w:r>
          </w:p>
        </w:tc>
        <w:tc>
          <w:tcPr>
            <w:tcW w:w="1749" w:type="dxa"/>
          </w:tcPr>
          <w:p w14:paraId="1CAABE87" w14:textId="77777777" w:rsidR="00DA2F65" w:rsidRPr="001B435D" w:rsidRDefault="00DA2F65" w:rsidP="00DA2F65">
            <w:pPr>
              <w:rPr>
                <w:rFonts w:ascii="Calibri" w:eastAsia="Times New Roman" w:hAnsi="Calibri" w:cs="Calibri"/>
                <w:color w:val="000000"/>
                <w:sz w:val="20"/>
                <w:szCs w:val="20"/>
              </w:rPr>
            </w:pPr>
          </w:p>
          <w:p w14:paraId="5D5C0EBE" w14:textId="77777777" w:rsidR="00DA2F65" w:rsidRPr="001B435D" w:rsidRDefault="00DA2F65" w:rsidP="00DA2F65">
            <w:pPr>
              <w:rPr>
                <w:rFonts w:ascii="Calibri" w:hAnsi="Calibri" w:cs="Calibri"/>
                <w:color w:val="000000"/>
                <w:sz w:val="20"/>
                <w:szCs w:val="20"/>
              </w:rPr>
            </w:pPr>
            <w:r w:rsidRPr="001B435D">
              <w:rPr>
                <w:rFonts w:ascii="Calibri" w:eastAsia="Times New Roman" w:hAnsi="Calibri" w:cs="Calibri"/>
                <w:color w:val="000000"/>
                <w:sz w:val="20"/>
                <w:szCs w:val="20"/>
              </w:rPr>
              <w:t>State Byrne Grants</w:t>
            </w:r>
          </w:p>
        </w:tc>
        <w:tc>
          <w:tcPr>
            <w:tcW w:w="245" w:type="dxa"/>
          </w:tcPr>
          <w:p w14:paraId="2FAE76BA" w14:textId="77777777" w:rsidR="00DA2F65" w:rsidRPr="001B435D" w:rsidRDefault="00DA2F65" w:rsidP="00DA2F65">
            <w:pPr>
              <w:rPr>
                <w:rFonts w:ascii="Calibri" w:hAnsi="Calibri" w:cs="Calibri"/>
                <w:color w:val="000000"/>
                <w:sz w:val="20"/>
                <w:szCs w:val="20"/>
              </w:rPr>
            </w:pPr>
          </w:p>
        </w:tc>
        <w:tc>
          <w:tcPr>
            <w:tcW w:w="1866" w:type="dxa"/>
            <w:vAlign w:val="bottom"/>
          </w:tcPr>
          <w:p w14:paraId="530D8008" w14:textId="77777777" w:rsidR="00DA2F65" w:rsidRPr="001B435D" w:rsidRDefault="00DA2F65" w:rsidP="00DA2F65">
            <w:pPr>
              <w:rPr>
                <w:sz w:val="20"/>
                <w:szCs w:val="20"/>
              </w:rPr>
            </w:pPr>
            <w:r w:rsidRPr="001B435D">
              <w:rPr>
                <w:rFonts w:ascii="Calibri" w:hAnsi="Calibri" w:cs="Calibri"/>
                <w:color w:val="000000"/>
                <w:sz w:val="20"/>
                <w:szCs w:val="20"/>
              </w:rPr>
              <w:t>Improper Medicaid Payments</w:t>
            </w:r>
          </w:p>
        </w:tc>
        <w:tc>
          <w:tcPr>
            <w:tcW w:w="1975" w:type="dxa"/>
            <w:vAlign w:val="bottom"/>
          </w:tcPr>
          <w:p w14:paraId="47F5912A" w14:textId="77777777" w:rsidR="00DA2F65" w:rsidRPr="001B435D" w:rsidRDefault="00DA2F65" w:rsidP="00DA2F65">
            <w:pPr>
              <w:rPr>
                <w:rFonts w:ascii="Calibri" w:hAnsi="Calibri" w:cs="Calibri"/>
                <w:color w:val="000000"/>
                <w:sz w:val="20"/>
                <w:szCs w:val="20"/>
              </w:rPr>
            </w:pPr>
          </w:p>
        </w:tc>
      </w:tr>
      <w:tr w:rsidR="00DA2F65" w:rsidRPr="001B435D" w14:paraId="0B09669F" w14:textId="77777777" w:rsidTr="000635DD">
        <w:trPr>
          <w:trHeight w:val="535"/>
        </w:trPr>
        <w:tc>
          <w:tcPr>
            <w:tcW w:w="1696" w:type="dxa"/>
          </w:tcPr>
          <w:p w14:paraId="46447963" w14:textId="77777777" w:rsidR="00DA2F65" w:rsidRPr="001B435D" w:rsidRDefault="00DA2F65" w:rsidP="00DA2F65">
            <w:pPr>
              <w:rPr>
                <w:rFonts w:ascii="Calibri" w:eastAsia="Times New Roman" w:hAnsi="Calibri" w:cs="Calibri"/>
                <w:b/>
                <w:bCs/>
                <w:color w:val="000000"/>
                <w:sz w:val="20"/>
                <w:szCs w:val="20"/>
              </w:rPr>
            </w:pPr>
          </w:p>
        </w:tc>
        <w:tc>
          <w:tcPr>
            <w:tcW w:w="1749" w:type="dxa"/>
          </w:tcPr>
          <w:p w14:paraId="4BF1AF4B" w14:textId="77777777" w:rsidR="00DA2F65" w:rsidRPr="001B435D" w:rsidRDefault="00DA2F65" w:rsidP="00DA2F65">
            <w:pPr>
              <w:rPr>
                <w:rFonts w:ascii="Calibri" w:eastAsia="Times New Roman" w:hAnsi="Calibri" w:cs="Calibri"/>
                <w:b/>
                <w:bCs/>
                <w:color w:val="000000"/>
                <w:sz w:val="20"/>
                <w:szCs w:val="20"/>
              </w:rPr>
            </w:pPr>
          </w:p>
          <w:p w14:paraId="11DEB268" w14:textId="77777777" w:rsidR="00DA2F65" w:rsidRPr="001B435D" w:rsidRDefault="00DA2F65" w:rsidP="00DA2F65">
            <w:pPr>
              <w:rPr>
                <w:rFonts w:ascii="Calibri" w:hAnsi="Calibri" w:cs="Calibri"/>
                <w:b/>
                <w:bCs/>
                <w:color w:val="000000"/>
                <w:sz w:val="20"/>
                <w:szCs w:val="20"/>
              </w:rPr>
            </w:pPr>
            <w:r w:rsidRPr="001B435D">
              <w:rPr>
                <w:rFonts w:ascii="Calibri" w:eastAsia="Times New Roman" w:hAnsi="Calibri" w:cs="Calibri"/>
                <w:b/>
                <w:bCs/>
                <w:color w:val="000000"/>
                <w:sz w:val="20"/>
                <w:szCs w:val="20"/>
              </w:rPr>
              <w:t>Welfare</w:t>
            </w:r>
          </w:p>
        </w:tc>
        <w:tc>
          <w:tcPr>
            <w:tcW w:w="245" w:type="dxa"/>
          </w:tcPr>
          <w:p w14:paraId="276EF150" w14:textId="77777777" w:rsidR="00DA2F65" w:rsidRPr="001B435D" w:rsidRDefault="00DA2F65" w:rsidP="00DA2F65">
            <w:pPr>
              <w:rPr>
                <w:rFonts w:ascii="Calibri" w:hAnsi="Calibri" w:cs="Calibri"/>
                <w:b/>
                <w:bCs/>
                <w:color w:val="000000"/>
                <w:sz w:val="20"/>
                <w:szCs w:val="20"/>
              </w:rPr>
            </w:pPr>
          </w:p>
        </w:tc>
        <w:tc>
          <w:tcPr>
            <w:tcW w:w="1866" w:type="dxa"/>
            <w:vAlign w:val="bottom"/>
          </w:tcPr>
          <w:p w14:paraId="662C4002" w14:textId="77777777" w:rsidR="00DA2F65" w:rsidRPr="001B435D" w:rsidRDefault="00DA2F65" w:rsidP="00DA2F65">
            <w:pPr>
              <w:rPr>
                <w:sz w:val="20"/>
                <w:szCs w:val="20"/>
              </w:rPr>
            </w:pPr>
            <w:r w:rsidRPr="001B435D">
              <w:rPr>
                <w:rFonts w:ascii="Calibri" w:hAnsi="Calibri" w:cs="Calibri"/>
                <w:b/>
                <w:bCs/>
                <w:color w:val="000000"/>
                <w:sz w:val="20"/>
                <w:szCs w:val="20"/>
              </w:rPr>
              <w:t xml:space="preserve"> </w:t>
            </w:r>
          </w:p>
        </w:tc>
        <w:tc>
          <w:tcPr>
            <w:tcW w:w="1975" w:type="dxa"/>
            <w:vAlign w:val="bottom"/>
          </w:tcPr>
          <w:p w14:paraId="4AA08489" w14:textId="77777777" w:rsidR="00DA2F65" w:rsidRPr="001B435D" w:rsidRDefault="00DA2F65" w:rsidP="00DA2F65">
            <w:pPr>
              <w:rPr>
                <w:rFonts w:ascii="Calibri" w:hAnsi="Calibri" w:cs="Calibri"/>
                <w:b/>
                <w:bCs/>
                <w:color w:val="000000"/>
                <w:sz w:val="20"/>
                <w:szCs w:val="20"/>
              </w:rPr>
            </w:pPr>
            <w:r w:rsidRPr="001B435D">
              <w:rPr>
                <w:rFonts w:ascii="Calibri" w:hAnsi="Calibri" w:cs="Calibri"/>
                <w:b/>
                <w:bCs/>
                <w:color w:val="000000"/>
                <w:sz w:val="20"/>
                <w:szCs w:val="20"/>
              </w:rPr>
              <w:t xml:space="preserve">Welfare </w:t>
            </w:r>
            <w:r w:rsidRPr="001B435D">
              <w:rPr>
                <w:rFonts w:ascii="Calibri" w:hAnsi="Calibri" w:cs="Calibri"/>
                <w:color w:val="000000"/>
                <w:sz w:val="20"/>
                <w:szCs w:val="20"/>
              </w:rPr>
              <w:t>(none)</w:t>
            </w:r>
          </w:p>
        </w:tc>
      </w:tr>
      <w:tr w:rsidR="00DA2F65" w:rsidRPr="001B435D" w14:paraId="012E83FB" w14:textId="77777777" w:rsidTr="000635DD">
        <w:trPr>
          <w:trHeight w:val="535"/>
        </w:trPr>
        <w:tc>
          <w:tcPr>
            <w:tcW w:w="1696" w:type="dxa"/>
          </w:tcPr>
          <w:p w14:paraId="02B295FE" w14:textId="77777777" w:rsidR="00DA2F65" w:rsidRPr="001B435D" w:rsidRDefault="00DA2F65" w:rsidP="00DA2F65">
            <w:pPr>
              <w:rPr>
                <w:rFonts w:ascii="Calibri" w:eastAsia="Times New Roman" w:hAnsi="Calibri" w:cs="Calibri"/>
                <w:color w:val="000000"/>
                <w:sz w:val="20"/>
                <w:szCs w:val="20"/>
              </w:rPr>
            </w:pPr>
          </w:p>
        </w:tc>
        <w:tc>
          <w:tcPr>
            <w:tcW w:w="1749" w:type="dxa"/>
          </w:tcPr>
          <w:p w14:paraId="1830D58B" w14:textId="77777777" w:rsidR="00DA2F65" w:rsidRPr="001B435D" w:rsidRDefault="00DA2F65" w:rsidP="00DA2F65">
            <w:pPr>
              <w:rPr>
                <w:rFonts w:ascii="Calibri" w:hAnsi="Calibri" w:cs="Calibri"/>
                <w:color w:val="000000"/>
                <w:sz w:val="20"/>
                <w:szCs w:val="20"/>
              </w:rPr>
            </w:pPr>
            <w:r w:rsidRPr="001B435D">
              <w:rPr>
                <w:rFonts w:ascii="Calibri" w:eastAsia="Times New Roman" w:hAnsi="Calibri" w:cs="Calibri"/>
                <w:color w:val="000000"/>
                <w:sz w:val="20"/>
                <w:szCs w:val="20"/>
              </w:rPr>
              <w:t>Women, Infants &amp; Children</w:t>
            </w:r>
          </w:p>
        </w:tc>
        <w:tc>
          <w:tcPr>
            <w:tcW w:w="245" w:type="dxa"/>
          </w:tcPr>
          <w:p w14:paraId="247CE5AE" w14:textId="77777777" w:rsidR="00DA2F65" w:rsidRPr="001B435D" w:rsidRDefault="00DA2F65" w:rsidP="00DA2F65">
            <w:pPr>
              <w:rPr>
                <w:rFonts w:ascii="Calibri" w:hAnsi="Calibri" w:cs="Calibri"/>
                <w:color w:val="000000"/>
                <w:sz w:val="20"/>
                <w:szCs w:val="20"/>
              </w:rPr>
            </w:pPr>
          </w:p>
        </w:tc>
        <w:tc>
          <w:tcPr>
            <w:tcW w:w="1866" w:type="dxa"/>
            <w:vAlign w:val="bottom"/>
          </w:tcPr>
          <w:p w14:paraId="668406D2" w14:textId="77777777" w:rsidR="00DA2F65" w:rsidRPr="001B435D" w:rsidRDefault="00DA2F65" w:rsidP="00DA2F65">
            <w:pPr>
              <w:rPr>
                <w:sz w:val="20"/>
                <w:szCs w:val="20"/>
              </w:rPr>
            </w:pPr>
            <w:r w:rsidRPr="001B435D">
              <w:rPr>
                <w:rFonts w:ascii="Calibri" w:hAnsi="Calibri" w:cs="Calibri"/>
                <w:color w:val="000000"/>
                <w:sz w:val="20"/>
                <w:szCs w:val="20"/>
              </w:rPr>
              <w:t xml:space="preserve"> </w:t>
            </w:r>
          </w:p>
        </w:tc>
        <w:tc>
          <w:tcPr>
            <w:tcW w:w="1975" w:type="dxa"/>
          </w:tcPr>
          <w:p w14:paraId="7206927C" w14:textId="77777777" w:rsidR="00DA2F65" w:rsidRPr="001B435D" w:rsidRDefault="00DA2F65" w:rsidP="00DA2F65">
            <w:pPr>
              <w:rPr>
                <w:rFonts w:ascii="Calibri" w:hAnsi="Calibri" w:cs="Calibri"/>
                <w:color w:val="000000"/>
                <w:sz w:val="20"/>
                <w:szCs w:val="20"/>
              </w:rPr>
            </w:pPr>
          </w:p>
        </w:tc>
      </w:tr>
    </w:tbl>
    <w:p w14:paraId="5E0D372F" w14:textId="4A9B637B" w:rsidR="00453446" w:rsidRDefault="00453446" w:rsidP="0085533D">
      <w:pPr>
        <w:spacing w:after="160" w:line="360" w:lineRule="auto"/>
        <w:jc w:val="center"/>
        <w:rPr>
          <w:rFonts w:ascii="Times New Roman" w:hAnsi="Times New Roman" w:cs="Times New Roman"/>
          <w:color w:val="202124"/>
          <w:shd w:val="clear" w:color="auto" w:fill="FFFFFF"/>
        </w:rPr>
      </w:pPr>
    </w:p>
    <w:p w14:paraId="198A5DB0" w14:textId="2AC12816" w:rsidR="008D5139" w:rsidRPr="008D5139" w:rsidRDefault="00C9251D" w:rsidP="0085533D">
      <w:pPr>
        <w:spacing w:after="160" w:line="360" w:lineRule="auto"/>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FAIR c</w:t>
      </w:r>
      <w:r w:rsidR="008D5139" w:rsidRPr="008D5139">
        <w:rPr>
          <w:rFonts w:ascii="Times New Roman" w:hAnsi="Times New Roman" w:cs="Times New Roman"/>
          <w:color w:val="202124"/>
          <w:shd w:val="clear" w:color="auto" w:fill="FFFFFF"/>
        </w:rPr>
        <w:t>ost</w:t>
      </w:r>
      <w:r>
        <w:rPr>
          <w:rFonts w:ascii="Times New Roman" w:hAnsi="Times New Roman" w:cs="Times New Roman"/>
          <w:color w:val="202124"/>
          <w:shd w:val="clear" w:color="auto" w:fill="FFFFFF"/>
        </w:rPr>
        <w:t xml:space="preserve"> estimates</w:t>
      </w:r>
      <w:r w:rsidR="008D5139" w:rsidRPr="008D5139">
        <w:rPr>
          <w:rFonts w:ascii="Times New Roman" w:hAnsi="Times New Roman" w:cs="Times New Roman"/>
          <w:color w:val="202124"/>
          <w:shd w:val="clear" w:color="auto" w:fill="FFFFFF"/>
        </w:rPr>
        <w:t xml:space="preserve"> most directly associated with border management were computed per person attempting to cross the border or an appropriate sub-population</w:t>
      </w:r>
      <w:r>
        <w:rPr>
          <w:rFonts w:ascii="Times New Roman" w:hAnsi="Times New Roman" w:cs="Times New Roman"/>
          <w:color w:val="202124"/>
          <w:shd w:val="clear" w:color="auto" w:fill="FFFFFF"/>
        </w:rPr>
        <w:t>.</w:t>
      </w:r>
      <w:r w:rsidR="008D5139" w:rsidRPr="008D5139">
        <w:rPr>
          <w:rFonts w:ascii="Times New Roman" w:hAnsi="Times New Roman" w:cs="Times New Roman"/>
          <w:color w:val="202124"/>
          <w:shd w:val="clear" w:color="auto" w:fill="FFFFFF"/>
        </w:rPr>
        <w:t xml:space="preserve"> In particular: </w:t>
      </w:r>
    </w:p>
    <w:p w14:paraId="6C38F2AA" w14:textId="77777777" w:rsidR="008D5139" w:rsidRPr="008D5139" w:rsidRDefault="008D5139" w:rsidP="0085533D">
      <w:pPr>
        <w:numPr>
          <w:ilvl w:val="0"/>
          <w:numId w:val="42"/>
        </w:numPr>
        <w:spacing w:after="160" w:line="360" w:lineRule="auto"/>
        <w:contextualSpacing/>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lastRenderedPageBreak/>
        <w:t>average border control cost--Customs and Border Protection (excluding Customs) per illegal crossing attempted.  This was the per person cost for all outcomes except those granted asylum</w:t>
      </w:r>
      <w:r w:rsidRPr="008D5139">
        <w:rPr>
          <w:rFonts w:ascii="Times New Roman" w:hAnsi="Times New Roman" w:cs="Times New Roman"/>
          <w:color w:val="202124"/>
          <w:shd w:val="clear" w:color="auto" w:fill="FFFFFF"/>
          <w:vertAlign w:val="superscript"/>
        </w:rPr>
        <w:footnoteReference w:id="6"/>
      </w:r>
      <w:r w:rsidRPr="008D5139">
        <w:rPr>
          <w:rFonts w:ascii="Times New Roman" w:hAnsi="Times New Roman" w:cs="Times New Roman"/>
          <w:color w:val="202124"/>
          <w:shd w:val="clear" w:color="auto" w:fill="FFFFFF"/>
        </w:rPr>
        <w:t>.</w:t>
      </w:r>
    </w:p>
    <w:p w14:paraId="5FC259C5" w14:textId="33736075" w:rsidR="008D5139" w:rsidRPr="008D5139" w:rsidRDefault="008D5139" w:rsidP="0085533D">
      <w:pPr>
        <w:numPr>
          <w:ilvl w:val="0"/>
          <w:numId w:val="42"/>
        </w:numPr>
        <w:spacing w:after="160" w:line="360" w:lineRule="auto"/>
        <w:contextualSpacing/>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average child management cost--the HHS/Alien Minor program that houses and manages children in the asylum process per annual child entering the program (FAIR, p. 17).  This was part of the per person cost for unsuccessful child asylees</w:t>
      </w:r>
      <w:r w:rsidR="00C9251D">
        <w:rPr>
          <w:rFonts w:ascii="Times New Roman" w:hAnsi="Times New Roman" w:cs="Times New Roman"/>
          <w:color w:val="202124"/>
          <w:shd w:val="clear" w:color="auto" w:fill="FFFFFF"/>
        </w:rPr>
        <w:t>.</w:t>
      </w:r>
    </w:p>
    <w:p w14:paraId="3DFAB7B4" w14:textId="77777777" w:rsidR="008D5139" w:rsidRPr="008D5139" w:rsidRDefault="008D5139" w:rsidP="0085533D">
      <w:pPr>
        <w:numPr>
          <w:ilvl w:val="0"/>
          <w:numId w:val="42"/>
        </w:numPr>
        <w:spacing w:after="160" w:line="360" w:lineRule="auto"/>
        <w:contextualSpacing/>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average asylum judicial process—a portion of the DOJ Executive Office of Immigration budget per total number of asylees.  This is part of the per person cost for unsuccessful asylees and assumes the office operates at a steady state although a significant backlog exists.</w:t>
      </w:r>
    </w:p>
    <w:p w14:paraId="2C8F2DB9" w14:textId="0EC2627D"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Costs most associated with the total (cumulative) illegal immigrant population were analyzed separately using the estimated total (cumulative) population of illegal immigrants in the country</w:t>
      </w:r>
      <w:r w:rsidR="00C9251D">
        <w:rPr>
          <w:rFonts w:ascii="Times New Roman" w:hAnsi="Times New Roman" w:cs="Times New Roman"/>
          <w:color w:val="202124"/>
          <w:shd w:val="clear" w:color="auto" w:fill="FFFFFF"/>
        </w:rPr>
        <w:t xml:space="preserve"> (DHS, 2018)</w:t>
      </w:r>
      <w:r w:rsidRPr="008D5139">
        <w:rPr>
          <w:rFonts w:ascii="Times New Roman" w:hAnsi="Times New Roman" w:cs="Times New Roman"/>
          <w:color w:val="202124"/>
          <w:shd w:val="clear" w:color="auto" w:fill="FFFFFF"/>
        </w:rPr>
        <w:t>.  These costs were used, for example, as a cost of a Got Away into the country, or as a</w:t>
      </w:r>
      <w:r w:rsidR="00C9251D">
        <w:rPr>
          <w:rFonts w:ascii="Times New Roman" w:hAnsi="Times New Roman" w:cs="Times New Roman"/>
          <w:color w:val="202124"/>
          <w:shd w:val="clear" w:color="auto" w:fill="FFFFFF"/>
        </w:rPr>
        <w:t>n avoid</w:t>
      </w:r>
      <w:r w:rsidR="00397B0F">
        <w:rPr>
          <w:rFonts w:ascii="Times New Roman" w:hAnsi="Times New Roman" w:cs="Times New Roman"/>
          <w:color w:val="202124"/>
          <w:shd w:val="clear" w:color="auto" w:fill="FFFFFF"/>
        </w:rPr>
        <w:t>ed</w:t>
      </w:r>
      <w:r w:rsidR="00C9251D">
        <w:rPr>
          <w:rFonts w:ascii="Times New Roman" w:hAnsi="Times New Roman" w:cs="Times New Roman"/>
          <w:color w:val="202124"/>
          <w:shd w:val="clear" w:color="auto" w:fill="FFFFFF"/>
        </w:rPr>
        <w:t xml:space="preserve"> cost</w:t>
      </w:r>
      <w:r w:rsidRPr="008D5139">
        <w:rPr>
          <w:rFonts w:ascii="Times New Roman" w:hAnsi="Times New Roman" w:cs="Times New Roman"/>
          <w:color w:val="202124"/>
          <w:shd w:val="clear" w:color="auto" w:fill="FFFFFF"/>
        </w:rPr>
        <w:t xml:space="preserve"> </w:t>
      </w:r>
      <w:r w:rsidR="00397B0F">
        <w:rPr>
          <w:rFonts w:ascii="Times New Roman" w:hAnsi="Times New Roman" w:cs="Times New Roman"/>
          <w:color w:val="202124"/>
          <w:shd w:val="clear" w:color="auto" w:fill="FFFFFF"/>
        </w:rPr>
        <w:t xml:space="preserve">or </w:t>
      </w:r>
      <w:r w:rsidRPr="008D5139">
        <w:rPr>
          <w:rFonts w:ascii="Times New Roman" w:hAnsi="Times New Roman" w:cs="Times New Roman"/>
          <w:color w:val="202124"/>
          <w:shd w:val="clear" w:color="auto" w:fill="FFFFFF"/>
        </w:rPr>
        <w:t>benefit from a removal.  Offsetting tax income including sales taxes are also estimated by FAIR and are their own impact category</w:t>
      </w:r>
      <w:r w:rsidR="00251494">
        <w:rPr>
          <w:rFonts w:ascii="Times New Roman" w:hAnsi="Times New Roman" w:cs="Times New Roman"/>
          <w:color w:val="202124"/>
          <w:shd w:val="clear" w:color="auto" w:fill="FFFFFF"/>
        </w:rPr>
        <w:t xml:space="preserve"> which is a benefit (from the US perspective) for both legal and illegal workers but a cost if a person is removed.</w:t>
      </w:r>
    </w:p>
    <w:p w14:paraId="0BD9CA8E" w14:textId="77777777"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b/>
          <w:bCs/>
          <w:color w:val="202124"/>
          <w:shd w:val="clear" w:color="auto" w:fill="FFFFFF"/>
        </w:rPr>
        <w:t xml:space="preserve">Costs and Duration of Criminality:  </w:t>
      </w:r>
      <w:r w:rsidRPr="008D5139">
        <w:rPr>
          <w:rFonts w:ascii="Times New Roman" w:hAnsi="Times New Roman" w:cs="Times New Roman"/>
          <w:color w:val="202124"/>
          <w:shd w:val="clear" w:color="auto" w:fill="FFFFFF"/>
        </w:rPr>
        <w:t xml:space="preserve">A small proportion of enforcement actions are identified by DHS as criminals and the same proportion is assumed to be a part of Turn Backs and Get Aways.  Identification of an illegal immigrant “criminal” can be complex and reporting varies across components of DHS involved in the detention and removal process.  Here the definition of criminal is based on a prior conviction and not a “pending” or “no known” criminal charge (DHS/CBP Enforcement Statistics, 2018).  None-the-less, a large proportion of </w:t>
      </w:r>
      <w:r w:rsidRPr="008D5139">
        <w:rPr>
          <w:rFonts w:ascii="Times New Roman" w:hAnsi="Times New Roman" w:cs="Times New Roman"/>
          <w:color w:val="202124"/>
          <w:shd w:val="clear" w:color="auto" w:fill="FFFFFF"/>
        </w:rPr>
        <w:lastRenderedPageBreak/>
        <w:t>these prior convictions result from immigration cases with a restriction on illegally retrying to enter the country (DHS/BP Non-citizen Criminal Statistics, 2018).  The exact proportion is not known due to multiple criminal counts for many cases.</w:t>
      </w:r>
    </w:p>
    <w:p w14:paraId="3D3C73D7" w14:textId="181FF8C8"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color w:val="202124"/>
          <w:shd w:val="clear" w:color="auto" w:fill="FFFFFF"/>
        </w:rPr>
        <w:t xml:space="preserve">For the purposes of this forward-looking analysis, </w:t>
      </w:r>
      <w:r w:rsidR="00F4340F">
        <w:rPr>
          <w:rFonts w:ascii="Times New Roman" w:hAnsi="Times New Roman" w:cs="Times New Roman"/>
          <w:color w:val="202124"/>
          <w:shd w:val="clear" w:color="auto" w:fill="FFFFFF"/>
        </w:rPr>
        <w:t xml:space="preserve">the concern is </w:t>
      </w:r>
      <w:r w:rsidRPr="008D5139">
        <w:rPr>
          <w:rFonts w:ascii="Times New Roman" w:hAnsi="Times New Roman" w:cs="Times New Roman"/>
          <w:color w:val="202124"/>
          <w:shd w:val="clear" w:color="auto" w:fill="FFFFFF"/>
        </w:rPr>
        <w:t>what crimes might be committed if the individual is allowed into the country</w:t>
      </w:r>
      <w:r w:rsidRPr="008D5139">
        <w:rPr>
          <w:rFonts w:ascii="Times New Roman" w:hAnsi="Times New Roman" w:cs="Times New Roman"/>
          <w:color w:val="202124"/>
          <w:shd w:val="clear" w:color="auto" w:fill="FFFFFF"/>
          <w:vertAlign w:val="superscript"/>
        </w:rPr>
        <w:footnoteReference w:id="7"/>
      </w:r>
      <w:r w:rsidRPr="008D5139">
        <w:rPr>
          <w:rFonts w:ascii="Times New Roman" w:hAnsi="Times New Roman" w:cs="Times New Roman"/>
          <w:color w:val="202124"/>
          <w:shd w:val="clear" w:color="auto" w:fill="FFFFFF"/>
        </w:rPr>
        <w:t xml:space="preserve"> or its inverse, the benefit from crimes prevented when not allowed entry</w:t>
      </w:r>
      <w:r w:rsidR="00F4340F">
        <w:rPr>
          <w:rFonts w:ascii="Times New Roman" w:hAnsi="Times New Roman" w:cs="Times New Roman"/>
          <w:color w:val="202124"/>
          <w:shd w:val="clear" w:color="auto" w:fill="FFFFFF"/>
        </w:rPr>
        <w:t>.</w:t>
      </w:r>
      <w:r w:rsidRPr="008D5139">
        <w:rPr>
          <w:rFonts w:ascii="Times New Roman" w:hAnsi="Times New Roman" w:cs="Times New Roman"/>
          <w:color w:val="202124"/>
          <w:shd w:val="clear" w:color="auto" w:fill="FFFFFF"/>
        </w:rPr>
        <w:t xml:space="preserve">  Costs of criminal events are highly variable, and the benefit-cost literature tends to develop costs based on the type of crime (Boardman, et al., 2018).  For instance, this analysis eventually reports the initial year cost of a non-criminal “Got Away” at about $5,000 putting the </w:t>
      </w:r>
      <w:r w:rsidR="00A53F4E" w:rsidRPr="008D5139">
        <w:rPr>
          <w:rFonts w:ascii="Times New Roman" w:hAnsi="Times New Roman" w:cs="Times New Roman"/>
          <w:color w:val="202124"/>
          <w:shd w:val="clear" w:color="auto" w:fill="FFFFFF"/>
        </w:rPr>
        <w:t>first-year</w:t>
      </w:r>
      <w:r w:rsidRPr="008D5139">
        <w:rPr>
          <w:rFonts w:ascii="Times New Roman" w:hAnsi="Times New Roman" w:cs="Times New Roman"/>
          <w:color w:val="202124"/>
          <w:shd w:val="clear" w:color="auto" w:fill="FFFFFF"/>
        </w:rPr>
        <w:t xml:space="preserve"> cost </w:t>
      </w:r>
      <w:r w:rsidR="00A53F4E">
        <w:rPr>
          <w:rFonts w:ascii="Times New Roman" w:hAnsi="Times New Roman" w:cs="Times New Roman"/>
          <w:color w:val="202124"/>
          <w:shd w:val="clear" w:color="auto" w:fill="FFFFFF"/>
        </w:rPr>
        <w:t>about equivalent to that</w:t>
      </w:r>
      <w:r w:rsidRPr="008D5139">
        <w:rPr>
          <w:rFonts w:ascii="Times New Roman" w:hAnsi="Times New Roman" w:cs="Times New Roman"/>
          <w:color w:val="202124"/>
          <w:shd w:val="clear" w:color="auto" w:fill="FFFFFF"/>
        </w:rPr>
        <w:t xml:space="preserve"> of a Police Reported Burglary (Cohen and Piquero, 2009; Miller, et al., 2021).   However, a second literature exists on the costs of a lifetime criminal who may engage in a variety of criminal activity from low cost to high cost (Cohen and Piquero, 2009).   The approach used here for the most likely value is based on the prior conviction record of those apprehended at the border (ICE, 2019).  </w:t>
      </w:r>
      <w:r w:rsidR="00583A98">
        <w:rPr>
          <w:rFonts w:ascii="Times New Roman" w:hAnsi="Times New Roman" w:cs="Times New Roman"/>
          <w:color w:val="202124"/>
          <w:shd w:val="clear" w:color="auto" w:fill="FFFFFF"/>
        </w:rPr>
        <w:t>Essentially</w:t>
      </w:r>
      <w:r w:rsidRPr="008D5139">
        <w:rPr>
          <w:rFonts w:ascii="Times New Roman" w:hAnsi="Times New Roman" w:cs="Times New Roman"/>
          <w:color w:val="202124"/>
          <w:shd w:val="clear" w:color="auto" w:fill="FFFFFF"/>
        </w:rPr>
        <w:t>, if a criminal gets away into the US they are assumed to duplicate their prior career, with an empirical multiple for estimated crimes that did not result in convictions (Cohen and Piquero, 2009).  The average multiplier for non-homicide crimes from three surveys reported in Cohen and Piquero (2009) is used</w:t>
      </w:r>
      <w:r w:rsidRPr="008D5139">
        <w:rPr>
          <w:rFonts w:ascii="Times New Roman" w:hAnsi="Times New Roman" w:cs="Times New Roman"/>
          <w:color w:val="202124"/>
          <w:shd w:val="clear" w:color="auto" w:fill="FFFFFF"/>
          <w:vertAlign w:val="superscript"/>
        </w:rPr>
        <w:footnoteReference w:id="8"/>
      </w:r>
      <w:r w:rsidRPr="008D5139">
        <w:rPr>
          <w:rFonts w:ascii="Times New Roman" w:hAnsi="Times New Roman" w:cs="Times New Roman"/>
          <w:color w:val="202124"/>
          <w:shd w:val="clear" w:color="auto" w:fill="FFFFFF"/>
        </w:rPr>
        <w:t xml:space="preserve">.  Each crime type is valued at the US value with categories approximating the 29 conviction types reported by </w:t>
      </w:r>
      <w:r w:rsidRPr="008D5139">
        <w:rPr>
          <w:rFonts w:ascii="Times New Roman" w:hAnsi="Times New Roman" w:cs="Times New Roman"/>
          <w:color w:val="202124"/>
          <w:shd w:val="clear" w:color="auto" w:fill="FFFFFF"/>
        </w:rPr>
        <w:lastRenderedPageBreak/>
        <w:t>ICE.  Crimes are assumed to be spread out over 10 years and a present value computed</w:t>
      </w:r>
      <w:r w:rsidRPr="008D5139">
        <w:rPr>
          <w:rFonts w:ascii="Times New Roman" w:hAnsi="Times New Roman" w:cs="Times New Roman"/>
          <w:color w:val="202124"/>
          <w:shd w:val="clear" w:color="auto" w:fill="FFFFFF"/>
          <w:vertAlign w:val="superscript"/>
        </w:rPr>
        <w:footnoteReference w:id="9"/>
      </w:r>
      <w:r w:rsidRPr="008D5139">
        <w:rPr>
          <w:rFonts w:ascii="Times New Roman" w:hAnsi="Times New Roman" w:cs="Times New Roman"/>
          <w:color w:val="202124"/>
          <w:shd w:val="clear" w:color="auto" w:fill="FFFFFF"/>
        </w:rPr>
        <w:t xml:space="preserve">.  </w:t>
      </w:r>
    </w:p>
    <w:p w14:paraId="5334D92B" w14:textId="0438C5C1"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b/>
          <w:bCs/>
          <w:color w:val="202124"/>
          <w:shd w:val="clear" w:color="auto" w:fill="FFFFFF"/>
        </w:rPr>
        <w:t xml:space="preserve">Deterrence:  </w:t>
      </w:r>
      <w:r w:rsidRPr="008D5139">
        <w:rPr>
          <w:rFonts w:ascii="Times New Roman" w:hAnsi="Times New Roman" w:cs="Times New Roman"/>
          <w:color w:val="202124"/>
          <w:shd w:val="clear" w:color="auto" w:fill="FFFFFF"/>
        </w:rPr>
        <w:t xml:space="preserve">At-border and distant deterrence effects are an important but difficult to quantify element of border management. </w:t>
      </w:r>
      <w:r w:rsidR="001B435D">
        <w:rPr>
          <w:rFonts w:ascii="Times New Roman" w:hAnsi="Times New Roman" w:cs="Times New Roman"/>
          <w:color w:val="202124"/>
          <w:shd w:val="clear" w:color="auto" w:fill="FFFFFF"/>
        </w:rPr>
        <w:t>They play an important role in this analysis as a function of those managed</w:t>
      </w:r>
      <w:r w:rsidR="00A36CF5">
        <w:rPr>
          <w:rFonts w:ascii="Times New Roman" w:hAnsi="Times New Roman" w:cs="Times New Roman"/>
          <w:color w:val="202124"/>
          <w:shd w:val="clear" w:color="auto" w:fill="FFFFFF"/>
        </w:rPr>
        <w:t xml:space="preserve"> but </w:t>
      </w:r>
      <w:r w:rsidR="00BE6CE1">
        <w:rPr>
          <w:rFonts w:ascii="Times New Roman" w:hAnsi="Times New Roman" w:cs="Times New Roman"/>
          <w:color w:val="202124"/>
          <w:shd w:val="clear" w:color="auto" w:fill="FFFFFF"/>
        </w:rPr>
        <w:t xml:space="preserve">was also used as part of computing the </w:t>
      </w:r>
      <w:r w:rsidR="00A36CF5">
        <w:rPr>
          <w:rFonts w:ascii="Times New Roman" w:hAnsi="Times New Roman" w:cs="Times New Roman"/>
          <w:color w:val="202124"/>
          <w:shd w:val="clear" w:color="auto" w:fill="FFFFFF"/>
        </w:rPr>
        <w:t xml:space="preserve">total number of border crossing attempts for the </w:t>
      </w:r>
      <w:r w:rsidR="00BE6CE1">
        <w:rPr>
          <w:rFonts w:ascii="Times New Roman" w:hAnsi="Times New Roman" w:cs="Times New Roman"/>
          <w:color w:val="202124"/>
          <w:shd w:val="clear" w:color="auto" w:fill="FFFFFF"/>
        </w:rPr>
        <w:t xml:space="preserve">hypothetical </w:t>
      </w:r>
      <w:r w:rsidR="00A36CF5">
        <w:rPr>
          <w:rFonts w:ascii="Times New Roman" w:hAnsi="Times New Roman" w:cs="Times New Roman"/>
          <w:color w:val="202124"/>
          <w:shd w:val="clear" w:color="auto" w:fill="FFFFFF"/>
        </w:rPr>
        <w:t>baseline.</w:t>
      </w:r>
    </w:p>
    <w:p w14:paraId="2D7C2D33" w14:textId="5D7DCFE7" w:rsidR="008D5139" w:rsidRPr="008D5139" w:rsidRDefault="008D5139" w:rsidP="0085533D">
      <w:pPr>
        <w:spacing w:after="160" w:line="360" w:lineRule="auto"/>
        <w:rPr>
          <w:rFonts w:ascii="Times New Roman" w:hAnsi="Times New Roman" w:cs="Times New Roman"/>
          <w:color w:val="202124"/>
          <w:shd w:val="clear" w:color="auto" w:fill="FFFFFF"/>
        </w:rPr>
      </w:pPr>
      <w:r w:rsidRPr="008D5139">
        <w:rPr>
          <w:rFonts w:ascii="Times New Roman" w:hAnsi="Times New Roman" w:cs="Times New Roman"/>
          <w:i/>
          <w:iCs/>
          <w:color w:val="202124"/>
          <w:shd w:val="clear" w:color="auto" w:fill="FFFFFF"/>
        </w:rPr>
        <w:t>At the border deterrence:</w:t>
      </w:r>
      <w:r w:rsidRPr="008D5139">
        <w:rPr>
          <w:rFonts w:ascii="Times New Roman" w:hAnsi="Times New Roman" w:cs="Times New Roman"/>
          <w:color w:val="202124"/>
          <w:shd w:val="clear" w:color="auto" w:fill="FFFFFF"/>
        </w:rPr>
        <w:t xml:space="preserve">  CBP explicitly incorporates concern for deterrence into their </w:t>
      </w:r>
      <w:r w:rsidR="00B36CA0">
        <w:rPr>
          <w:rFonts w:ascii="Times New Roman" w:hAnsi="Times New Roman" w:cs="Times New Roman"/>
          <w:color w:val="202124"/>
          <w:shd w:val="clear" w:color="auto" w:fill="FFFFFF"/>
        </w:rPr>
        <w:t>policy</w:t>
      </w:r>
      <w:r w:rsidRPr="008D5139">
        <w:rPr>
          <w:rFonts w:ascii="Times New Roman" w:hAnsi="Times New Roman" w:cs="Times New Roman"/>
          <w:color w:val="202124"/>
          <w:shd w:val="clear" w:color="auto" w:fill="FFFFFF"/>
        </w:rPr>
        <w:t xml:space="preserve"> </w:t>
      </w:r>
      <w:r w:rsidR="00CA4663">
        <w:rPr>
          <w:rFonts w:ascii="Times New Roman" w:hAnsi="Times New Roman" w:cs="Times New Roman"/>
          <w:color w:val="202124"/>
          <w:shd w:val="clear" w:color="auto" w:fill="FFFFFF"/>
        </w:rPr>
        <w:t>which</w:t>
      </w:r>
      <w:r w:rsidRPr="008D5139">
        <w:rPr>
          <w:rFonts w:ascii="Times New Roman" w:hAnsi="Times New Roman" w:cs="Times New Roman"/>
          <w:color w:val="202124"/>
          <w:shd w:val="clear" w:color="auto" w:fill="FFFFFF"/>
        </w:rPr>
        <w:t xml:space="preserve"> </w:t>
      </w:r>
      <w:r w:rsidR="00CA4663">
        <w:rPr>
          <w:rFonts w:ascii="Times New Roman" w:hAnsi="Times New Roman" w:cs="Times New Roman"/>
          <w:color w:val="202124"/>
          <w:shd w:val="clear" w:color="auto" w:fill="FFFFFF"/>
        </w:rPr>
        <w:t>adjusts</w:t>
      </w:r>
      <w:r w:rsidRPr="008D5139">
        <w:rPr>
          <w:rFonts w:ascii="Times New Roman" w:hAnsi="Times New Roman" w:cs="Times New Roman"/>
          <w:color w:val="202124"/>
          <w:shd w:val="clear" w:color="auto" w:fill="FFFFFF"/>
        </w:rPr>
        <w:t xml:space="preserve"> consequences to deter various types of illegal activity</w:t>
      </w:r>
      <w:r w:rsidR="00B36CA0">
        <w:rPr>
          <w:rFonts w:ascii="Times New Roman" w:hAnsi="Times New Roman" w:cs="Times New Roman"/>
          <w:color w:val="202124"/>
          <w:shd w:val="clear" w:color="auto" w:fill="FFFFFF"/>
        </w:rPr>
        <w:t xml:space="preserve"> </w:t>
      </w:r>
      <w:r w:rsidRPr="008D5139">
        <w:rPr>
          <w:rFonts w:ascii="Times New Roman" w:hAnsi="Times New Roman" w:cs="Times New Roman"/>
          <w:color w:val="202124"/>
          <w:shd w:val="clear" w:color="auto" w:fill="FFFFFF"/>
        </w:rPr>
        <w:t xml:space="preserve">(CBP/NDAA, 2019).  CBP reports varying annual rates of re-apprehension given the type of punishment.  CBP further reports one measure of deterrence based on surveys conducted in Northern Mexico that asks about expectations to attempt to re-enter the US.  While variations </w:t>
      </w:r>
      <w:r w:rsidR="00B36CA0" w:rsidRPr="008D5139">
        <w:rPr>
          <w:rFonts w:ascii="Times New Roman" w:hAnsi="Times New Roman" w:cs="Times New Roman"/>
          <w:color w:val="202124"/>
          <w:shd w:val="clear" w:color="auto" w:fill="FFFFFF"/>
        </w:rPr>
        <w:t>exist</w:t>
      </w:r>
      <w:r w:rsidRPr="008D5139">
        <w:rPr>
          <w:rFonts w:ascii="Times New Roman" w:hAnsi="Times New Roman" w:cs="Times New Roman"/>
          <w:color w:val="202124"/>
          <w:shd w:val="clear" w:color="auto" w:fill="FFFFFF"/>
        </w:rPr>
        <w:t xml:space="preserve"> depending on when the survey is taken and the time period that is being questioned, </w:t>
      </w:r>
      <w:r w:rsidR="006128E2">
        <w:rPr>
          <w:rFonts w:ascii="Times New Roman" w:hAnsi="Times New Roman" w:cs="Times New Roman"/>
          <w:color w:val="202124"/>
          <w:shd w:val="clear" w:color="auto" w:fill="FFFFFF"/>
        </w:rPr>
        <w:t>about</w:t>
      </w:r>
      <w:r w:rsidRPr="008D5139">
        <w:rPr>
          <w:rFonts w:ascii="Times New Roman" w:hAnsi="Times New Roman" w:cs="Times New Roman"/>
          <w:color w:val="202124"/>
          <w:shd w:val="clear" w:color="auto" w:fill="FFFFFF"/>
        </w:rPr>
        <w:t xml:space="preserve"> one-third of those removed to Northern Mexico plan</w:t>
      </w:r>
      <w:r w:rsidR="00B36CA0">
        <w:rPr>
          <w:rFonts w:ascii="Times New Roman" w:hAnsi="Times New Roman" w:cs="Times New Roman"/>
          <w:color w:val="202124"/>
          <w:shd w:val="clear" w:color="auto" w:fill="FFFFFF"/>
        </w:rPr>
        <w:t>ned</w:t>
      </w:r>
      <w:r w:rsidRPr="008D5139">
        <w:rPr>
          <w:rFonts w:ascii="Times New Roman" w:hAnsi="Times New Roman" w:cs="Times New Roman"/>
          <w:color w:val="202124"/>
          <w:shd w:val="clear" w:color="auto" w:fill="FFFFFF"/>
        </w:rPr>
        <w:t xml:space="preserve"> to attempt re-entry within 90 days</w:t>
      </w:r>
      <w:r w:rsidR="006128E2">
        <w:rPr>
          <w:rFonts w:ascii="Times New Roman" w:hAnsi="Times New Roman" w:cs="Times New Roman"/>
          <w:color w:val="202124"/>
          <w:shd w:val="clear" w:color="auto" w:fill="FFFFFF"/>
        </w:rPr>
        <w:t xml:space="preserve"> in 2017 (DHS, 2019)</w:t>
      </w:r>
      <w:r w:rsidRPr="008D5139">
        <w:rPr>
          <w:rFonts w:ascii="Times New Roman" w:hAnsi="Times New Roman" w:cs="Times New Roman"/>
          <w:color w:val="202124"/>
          <w:shd w:val="clear" w:color="auto" w:fill="FFFFFF"/>
        </w:rPr>
        <w:t xml:space="preserve">.  This effect is modeled in the first year as a lack-of-deterrence in that a full year’s benefit </w:t>
      </w:r>
      <w:r w:rsidR="00B36CA0">
        <w:rPr>
          <w:rFonts w:ascii="Times New Roman" w:hAnsi="Times New Roman" w:cs="Times New Roman"/>
          <w:color w:val="202124"/>
          <w:shd w:val="clear" w:color="auto" w:fill="FFFFFF"/>
        </w:rPr>
        <w:t xml:space="preserve">of removal </w:t>
      </w:r>
      <w:r w:rsidRPr="008D5139">
        <w:rPr>
          <w:rFonts w:ascii="Times New Roman" w:hAnsi="Times New Roman" w:cs="Times New Roman"/>
          <w:color w:val="202124"/>
          <w:shd w:val="clear" w:color="auto" w:fill="FFFFFF"/>
        </w:rPr>
        <w:t xml:space="preserve">is first estimated </w:t>
      </w:r>
      <w:r w:rsidR="00B36CA0">
        <w:rPr>
          <w:rFonts w:ascii="Times New Roman" w:hAnsi="Times New Roman" w:cs="Times New Roman"/>
          <w:color w:val="202124"/>
          <w:shd w:val="clear" w:color="auto" w:fill="FFFFFF"/>
        </w:rPr>
        <w:t xml:space="preserve">for two-thirds of those removed but the remaining one-third are credited with only three months of avoided costs. </w:t>
      </w:r>
      <w:r w:rsidRPr="008D5139">
        <w:rPr>
          <w:rFonts w:ascii="Times New Roman" w:hAnsi="Times New Roman" w:cs="Times New Roman"/>
          <w:color w:val="202124"/>
          <w:shd w:val="clear" w:color="auto" w:fill="FFFFFF"/>
        </w:rPr>
        <w:t>When the analysis is extended for the present value analysis, the result is that in each future year only about 75 percent of the potential benefit is achieved when a non-criminal person is removed at the border.  The time path of outcomes for a criminal is assumed to be different. A criminal removed is always assumed to</w:t>
      </w:r>
      <w:r w:rsidR="00BE6CE1">
        <w:rPr>
          <w:rFonts w:ascii="Times New Roman" w:hAnsi="Times New Roman" w:cs="Times New Roman"/>
          <w:color w:val="202124"/>
          <w:shd w:val="clear" w:color="auto" w:fill="FFFFFF"/>
        </w:rPr>
        <w:t xml:space="preserve"> </w:t>
      </w:r>
      <w:r w:rsidRPr="008D5139">
        <w:rPr>
          <w:rFonts w:ascii="Times New Roman" w:hAnsi="Times New Roman" w:cs="Times New Roman"/>
          <w:color w:val="202124"/>
          <w:shd w:val="clear" w:color="auto" w:fill="FFFFFF"/>
        </w:rPr>
        <w:lastRenderedPageBreak/>
        <w:t>retry after the first year but is entirely deterred for the first year while a criminal Turn Back is assumed to retry almost immediately</w:t>
      </w:r>
      <w:r w:rsidRPr="008D5139">
        <w:rPr>
          <w:rFonts w:ascii="Times New Roman" w:hAnsi="Times New Roman" w:cs="Times New Roman"/>
          <w:color w:val="202124"/>
          <w:shd w:val="clear" w:color="auto" w:fill="FFFFFF"/>
          <w:vertAlign w:val="superscript"/>
        </w:rPr>
        <w:footnoteReference w:id="10"/>
      </w:r>
      <w:r w:rsidRPr="008D5139">
        <w:rPr>
          <w:rFonts w:ascii="Times New Roman" w:hAnsi="Times New Roman" w:cs="Times New Roman"/>
          <w:color w:val="202124"/>
          <w:shd w:val="clear" w:color="auto" w:fill="FFFFFF"/>
        </w:rPr>
        <w:t>.</w:t>
      </w:r>
    </w:p>
    <w:p w14:paraId="74494DE9" w14:textId="7A7C157E" w:rsidR="008D5139" w:rsidRPr="008D5139" w:rsidRDefault="008D5139" w:rsidP="0085533D">
      <w:pPr>
        <w:spacing w:after="160" w:line="360" w:lineRule="auto"/>
        <w:rPr>
          <w:rFonts w:ascii="Times New Roman" w:hAnsi="Times New Roman" w:cs="Times New Roman"/>
          <w:shd w:val="clear" w:color="auto" w:fill="FFFFFF"/>
        </w:rPr>
      </w:pPr>
      <w:r w:rsidRPr="008D5139">
        <w:rPr>
          <w:rFonts w:ascii="Times New Roman" w:hAnsi="Times New Roman" w:cs="Times New Roman"/>
          <w:i/>
          <w:iCs/>
          <w:shd w:val="clear" w:color="auto" w:fill="FFFFFF"/>
        </w:rPr>
        <w:t>Distant deterrence:</w:t>
      </w:r>
      <w:r w:rsidRPr="008D5139">
        <w:rPr>
          <w:rFonts w:ascii="Times New Roman" w:hAnsi="Times New Roman" w:cs="Times New Roman"/>
          <w:shd w:val="clear" w:color="auto" w:fill="FFFFFF"/>
        </w:rPr>
        <w:t xml:space="preserve">  A potentially more significant </w:t>
      </w:r>
      <w:r w:rsidR="006D2298">
        <w:rPr>
          <w:rFonts w:ascii="Times New Roman" w:hAnsi="Times New Roman" w:cs="Times New Roman"/>
          <w:shd w:val="clear" w:color="auto" w:fill="FFFFFF"/>
        </w:rPr>
        <w:t xml:space="preserve">deterrence </w:t>
      </w:r>
      <w:r w:rsidRPr="008D5139">
        <w:rPr>
          <w:rFonts w:ascii="Times New Roman" w:hAnsi="Times New Roman" w:cs="Times New Roman"/>
          <w:shd w:val="clear" w:color="auto" w:fill="FFFFFF"/>
        </w:rPr>
        <w:t xml:space="preserve">effect </w:t>
      </w:r>
      <w:r w:rsidR="006D2298">
        <w:rPr>
          <w:rFonts w:ascii="Times New Roman" w:hAnsi="Times New Roman" w:cs="Times New Roman"/>
          <w:shd w:val="clear" w:color="auto" w:fill="FFFFFF"/>
        </w:rPr>
        <w:t>is one that</w:t>
      </w:r>
      <w:r w:rsidRPr="008D5139">
        <w:rPr>
          <w:rFonts w:ascii="Times New Roman" w:hAnsi="Times New Roman" w:cs="Times New Roman"/>
          <w:shd w:val="clear" w:color="auto" w:fill="FFFFFF"/>
        </w:rPr>
        <w:t xml:space="preserve"> keeps individuals from ever leaving their home locations.   This effect may result from expected consequences if caught at the </w:t>
      </w:r>
      <w:r w:rsidR="00CA4663" w:rsidRPr="008D5139">
        <w:rPr>
          <w:rFonts w:ascii="Times New Roman" w:hAnsi="Times New Roman" w:cs="Times New Roman"/>
          <w:shd w:val="clear" w:color="auto" w:fill="FFFFFF"/>
        </w:rPr>
        <w:t>border or</w:t>
      </w:r>
      <w:r w:rsidRPr="008D5139">
        <w:rPr>
          <w:rFonts w:ascii="Times New Roman" w:hAnsi="Times New Roman" w:cs="Times New Roman"/>
          <w:shd w:val="clear" w:color="auto" w:fill="FFFFFF"/>
        </w:rPr>
        <w:t xml:space="preserve"> might also result from improvements in conditions in the home country.  A statistical analysis by Roberts (2017) is used to estimate the effect of border management on deterring illegal border crossing </w:t>
      </w:r>
      <w:r w:rsidR="00CA4663">
        <w:rPr>
          <w:rFonts w:ascii="Times New Roman" w:hAnsi="Times New Roman" w:cs="Times New Roman"/>
          <w:shd w:val="clear" w:color="auto" w:fill="FFFFFF"/>
        </w:rPr>
        <w:t xml:space="preserve">at a distance </w:t>
      </w:r>
      <w:r w:rsidRPr="008D5139">
        <w:rPr>
          <w:rFonts w:ascii="Times New Roman" w:hAnsi="Times New Roman" w:cs="Times New Roman"/>
          <w:shd w:val="clear" w:color="auto" w:fill="FFFFFF"/>
        </w:rPr>
        <w:t xml:space="preserve">after </w:t>
      </w:r>
      <w:r w:rsidR="006D2298">
        <w:rPr>
          <w:rFonts w:ascii="Times New Roman" w:hAnsi="Times New Roman" w:cs="Times New Roman"/>
          <w:shd w:val="clear" w:color="auto" w:fill="FFFFFF"/>
        </w:rPr>
        <w:t>accounting for</w:t>
      </w:r>
      <w:r w:rsidRPr="008D5139">
        <w:rPr>
          <w:rFonts w:ascii="Times New Roman" w:hAnsi="Times New Roman" w:cs="Times New Roman"/>
          <w:shd w:val="clear" w:color="auto" w:fill="FFFFFF"/>
        </w:rPr>
        <w:t xml:space="preserve"> economic factors.  Roberts estimates that illegal attempts from working age, male Mexican nationals would have been about 50 percent higher in 2015 without the border management policy of the time.  When adjusted here for the assumed cause</w:t>
      </w:r>
      <w:r w:rsidR="00CA4663">
        <w:rPr>
          <w:rFonts w:ascii="Times New Roman" w:hAnsi="Times New Roman" w:cs="Times New Roman"/>
          <w:shd w:val="clear" w:color="auto" w:fill="FFFFFF"/>
        </w:rPr>
        <w:t>s</w:t>
      </w:r>
      <w:r w:rsidRPr="008D5139">
        <w:rPr>
          <w:rFonts w:ascii="Times New Roman" w:hAnsi="Times New Roman" w:cs="Times New Roman"/>
          <w:shd w:val="clear" w:color="auto" w:fill="FFFFFF"/>
        </w:rPr>
        <w:t xml:space="preserve"> of the deterrence </w:t>
      </w:r>
      <w:r w:rsidR="00CA4663">
        <w:rPr>
          <w:rFonts w:ascii="Times New Roman" w:hAnsi="Times New Roman" w:cs="Times New Roman"/>
          <w:shd w:val="clear" w:color="auto" w:fill="FFFFFF"/>
        </w:rPr>
        <w:t>--</w:t>
      </w:r>
      <w:r w:rsidRPr="008D5139">
        <w:rPr>
          <w:rFonts w:ascii="Times New Roman" w:hAnsi="Times New Roman" w:cs="Times New Roman"/>
          <w:shd w:val="clear" w:color="auto" w:fill="FFFFFF"/>
        </w:rPr>
        <w:t>removal or death</w:t>
      </w:r>
      <w:r w:rsidR="00CA4663">
        <w:rPr>
          <w:rFonts w:ascii="Times New Roman" w:hAnsi="Times New Roman" w:cs="Times New Roman"/>
          <w:shd w:val="clear" w:color="auto" w:fill="FFFFFF"/>
        </w:rPr>
        <w:t>--</w:t>
      </w:r>
      <w:r w:rsidRPr="008D5139">
        <w:rPr>
          <w:rFonts w:ascii="Times New Roman" w:hAnsi="Times New Roman" w:cs="Times New Roman"/>
          <w:shd w:val="clear" w:color="auto" w:fill="FFFFFF"/>
        </w:rPr>
        <w:t>the adjusted estimate is about .9 males deterred per person removed or turned-back.</w:t>
      </w:r>
    </w:p>
    <w:p w14:paraId="632A7628" w14:textId="394F8D26" w:rsidR="008D5139" w:rsidRPr="008D5139" w:rsidRDefault="008D5139" w:rsidP="006128E2">
      <w:pPr>
        <w:spacing w:after="160" w:line="360" w:lineRule="auto"/>
        <w:rPr>
          <w:rFonts w:ascii="Times New Roman" w:hAnsi="Times New Roman" w:cs="Times New Roman"/>
          <w:shd w:val="clear" w:color="auto" w:fill="FFFFFF"/>
        </w:rPr>
      </w:pPr>
      <w:r w:rsidRPr="008D5139">
        <w:rPr>
          <w:rFonts w:ascii="Times New Roman" w:hAnsi="Times New Roman" w:cs="Times New Roman"/>
          <w:shd w:val="clear" w:color="auto" w:fill="FFFFFF"/>
        </w:rPr>
        <w:t>Further, the deterrent effect of agents and consequences on those from other countries, other ages, genders, and purposes is unknown.  These other groups are assumed to be more difficult to deter such that the overall deterrence effect is adjusted to one-half that estimated for Mexican males.  The result is an estimate that about .45 of a person is deterred in their home country per removed or emigrant</w:t>
      </w:r>
      <w:r w:rsidR="006963E5">
        <w:rPr>
          <w:rFonts w:ascii="Times New Roman" w:hAnsi="Times New Roman" w:cs="Times New Roman"/>
          <w:shd w:val="clear" w:color="auto" w:fill="FFFFFF"/>
        </w:rPr>
        <w:t xml:space="preserve">  dying in the US</w:t>
      </w:r>
      <w:r w:rsidRPr="008D5139">
        <w:rPr>
          <w:rFonts w:ascii="Times New Roman" w:hAnsi="Times New Roman" w:cs="Times New Roman"/>
          <w:shd w:val="clear" w:color="auto" w:fill="FFFFFF"/>
        </w:rPr>
        <w:t>.  That distant deterrence is valued</w:t>
      </w:r>
      <w:r w:rsidR="006D2298">
        <w:rPr>
          <w:rFonts w:ascii="Times New Roman" w:hAnsi="Times New Roman" w:cs="Times New Roman"/>
          <w:shd w:val="clear" w:color="auto" w:fill="FFFFFF"/>
        </w:rPr>
        <w:t xml:space="preserve"> </w:t>
      </w:r>
      <w:r w:rsidRPr="008D5139">
        <w:rPr>
          <w:rFonts w:ascii="Times New Roman" w:hAnsi="Times New Roman" w:cs="Times New Roman"/>
          <w:shd w:val="clear" w:color="auto" w:fill="FFFFFF"/>
        </w:rPr>
        <w:t xml:space="preserve">as the border control and interior fiscal costs avoided. The magnitude of the effect is significant but not dramatic, valued at about $7,500 in additional benefits per removal although the benefits do not persist over time unless border removals continue.  </w:t>
      </w:r>
    </w:p>
    <w:p w14:paraId="6F03DAEF" w14:textId="676FB53B" w:rsidR="008D5139" w:rsidRPr="008D5139" w:rsidRDefault="008D5139" w:rsidP="0085533D">
      <w:pPr>
        <w:spacing w:line="360" w:lineRule="auto"/>
        <w:rPr>
          <w:rFonts w:ascii="Times New Roman" w:hAnsi="Times New Roman" w:cs="Times New Roman"/>
        </w:rPr>
      </w:pPr>
      <w:r w:rsidRPr="008D5139">
        <w:rPr>
          <w:rFonts w:ascii="Times New Roman" w:hAnsi="Times New Roman" w:cs="Times New Roman"/>
          <w:b/>
          <w:bCs/>
          <w:shd w:val="clear" w:color="auto" w:fill="FFFFFF"/>
        </w:rPr>
        <w:lastRenderedPageBreak/>
        <w:t>Valuing the statistical life of foreigners:</w:t>
      </w:r>
      <w:r w:rsidRPr="008D5139">
        <w:rPr>
          <w:rFonts w:ascii="Times New Roman" w:hAnsi="Times New Roman" w:cs="Times New Roman"/>
          <w:shd w:val="clear" w:color="auto" w:fill="FFFFFF"/>
        </w:rPr>
        <w:t xml:space="preserve">  Perhaps the most controversial aspect of standing is valuing the statistical life of those who die having illegally crossed into the US, an outcome that happens hundreds of times each year.  They are not citizens and are carrying out an illegal activity.  The valuation usually accorded mortality in BCAs, the Value of a Statistical Life (VSL), would not be included due to lack of standing and so could result in a value of zero in the analysis for lives lost.  However, DHS spends a modest but observable sum to rescue border crossers in dire trouble (CHS/BP, 2016) indicating that the US value for lost foreign and here illegal lives is not zero.  Nor do surveys indicate that US citizens value foreign lives at zero (Dana, 2009).  This analysis follows an increasing concern that values for another’s well-being are sometimes legitimate to include in BCAs.   The value to be included for a lost foreign life on US soil is based on an observable trail of funding from US citizens </w:t>
      </w:r>
      <w:r w:rsidR="004578C0">
        <w:rPr>
          <w:rFonts w:ascii="Times New Roman" w:hAnsi="Times New Roman" w:cs="Times New Roman"/>
          <w:shd w:val="clear" w:color="auto" w:fill="FFFFFF"/>
        </w:rPr>
        <w:t xml:space="preserve">through US Government aid </w:t>
      </w:r>
      <w:r w:rsidRPr="008D5139">
        <w:rPr>
          <w:rFonts w:ascii="Times New Roman" w:hAnsi="Times New Roman" w:cs="Times New Roman"/>
          <w:shd w:val="clear" w:color="auto" w:fill="FFFFFF"/>
        </w:rPr>
        <w:t xml:space="preserve">to impute values for the lives of foreign individuals.  </w:t>
      </w:r>
      <w:proofErr w:type="spellStart"/>
      <w:r w:rsidRPr="008D5139">
        <w:rPr>
          <w:rFonts w:ascii="Times New Roman" w:hAnsi="Times New Roman" w:cs="Times New Roman"/>
        </w:rPr>
        <w:t>Kopczuk</w:t>
      </w:r>
      <w:proofErr w:type="spellEnd"/>
      <w:r w:rsidRPr="008D5139">
        <w:rPr>
          <w:rFonts w:ascii="Times New Roman" w:hAnsi="Times New Roman" w:cs="Times New Roman"/>
        </w:rPr>
        <w:t xml:space="preserve">, </w:t>
      </w:r>
      <w:proofErr w:type="spellStart"/>
      <w:r w:rsidRPr="008D5139">
        <w:rPr>
          <w:rFonts w:ascii="Times New Roman" w:hAnsi="Times New Roman" w:cs="Times New Roman"/>
        </w:rPr>
        <w:t>Slemrod</w:t>
      </w:r>
      <w:proofErr w:type="spellEnd"/>
      <w:r w:rsidRPr="008D5139">
        <w:rPr>
          <w:rFonts w:ascii="Times New Roman" w:hAnsi="Times New Roman" w:cs="Times New Roman"/>
        </w:rPr>
        <w:t xml:space="preserve"> and </w:t>
      </w:r>
      <w:proofErr w:type="spellStart"/>
      <w:r w:rsidRPr="008D5139">
        <w:rPr>
          <w:rFonts w:ascii="Times New Roman" w:hAnsi="Times New Roman" w:cs="Times New Roman"/>
        </w:rPr>
        <w:t>Yitzhaki</w:t>
      </w:r>
      <w:proofErr w:type="spellEnd"/>
      <w:r w:rsidRPr="008D5139">
        <w:rPr>
          <w:rFonts w:ascii="Times New Roman" w:hAnsi="Times New Roman" w:cs="Times New Roman"/>
        </w:rPr>
        <w:t xml:space="preserve"> (2005) quantitatively estimate how the US Government </w:t>
      </w:r>
      <w:r w:rsidR="004578C0">
        <w:rPr>
          <w:rFonts w:ascii="Times New Roman" w:hAnsi="Times New Roman" w:cs="Times New Roman"/>
        </w:rPr>
        <w:t xml:space="preserve">implicitly </w:t>
      </w:r>
      <w:r w:rsidRPr="008D5139">
        <w:rPr>
          <w:rFonts w:ascii="Times New Roman" w:hAnsi="Times New Roman" w:cs="Times New Roman"/>
        </w:rPr>
        <w:t>values the lives of foreigners through its pattern of foreign aid and the varying conditions, including mortality, around the world.   Values for foreigners from Mexico, Central and South America (</w:t>
      </w:r>
      <w:r w:rsidR="00190994" w:rsidRPr="008D5139">
        <w:rPr>
          <w:rFonts w:ascii="Times New Roman" w:hAnsi="Times New Roman" w:cs="Times New Roman"/>
        </w:rPr>
        <w:t>most of</w:t>
      </w:r>
      <w:r w:rsidRPr="008D5139">
        <w:rPr>
          <w:rFonts w:ascii="Times New Roman" w:hAnsi="Times New Roman" w:cs="Times New Roman"/>
        </w:rPr>
        <w:t xml:space="preserve"> the population of concern) are less than 10 percent of the value that the US places on its own citizens--the US VSL that is currently about $10 million (</w:t>
      </w:r>
      <w:proofErr w:type="spellStart"/>
      <w:r w:rsidRPr="008D5139">
        <w:rPr>
          <w:rFonts w:ascii="Times New Roman" w:hAnsi="Times New Roman" w:cs="Times New Roman"/>
        </w:rPr>
        <w:t>Viscusi</w:t>
      </w:r>
      <w:proofErr w:type="spellEnd"/>
      <w:r w:rsidRPr="008D5139">
        <w:rPr>
          <w:rFonts w:ascii="Times New Roman" w:hAnsi="Times New Roman" w:cs="Times New Roman"/>
        </w:rPr>
        <w:t xml:space="preserve"> and </w:t>
      </w:r>
      <w:proofErr w:type="spellStart"/>
      <w:r w:rsidRPr="008D5139">
        <w:rPr>
          <w:rFonts w:ascii="Times New Roman" w:hAnsi="Times New Roman" w:cs="Times New Roman"/>
        </w:rPr>
        <w:t>Masterman</w:t>
      </w:r>
      <w:proofErr w:type="spellEnd"/>
      <w:r w:rsidRPr="008D5139">
        <w:rPr>
          <w:rFonts w:ascii="Times New Roman" w:hAnsi="Times New Roman" w:cs="Times New Roman"/>
        </w:rPr>
        <w:t xml:space="preserve">, 2017).  The proportional value estimated by </w:t>
      </w:r>
      <w:proofErr w:type="spellStart"/>
      <w:r w:rsidRPr="008D5139">
        <w:rPr>
          <w:rFonts w:ascii="Times New Roman" w:hAnsi="Times New Roman" w:cs="Times New Roman"/>
        </w:rPr>
        <w:t>Kopczuk</w:t>
      </w:r>
      <w:proofErr w:type="spellEnd"/>
      <w:r w:rsidRPr="008D5139">
        <w:rPr>
          <w:rFonts w:ascii="Times New Roman" w:hAnsi="Times New Roman" w:cs="Times New Roman"/>
        </w:rPr>
        <w:t xml:space="preserve">, </w:t>
      </w:r>
      <w:proofErr w:type="spellStart"/>
      <w:r w:rsidRPr="008D5139">
        <w:rPr>
          <w:rFonts w:ascii="Times New Roman" w:hAnsi="Times New Roman" w:cs="Times New Roman"/>
        </w:rPr>
        <w:t>Slemrod</w:t>
      </w:r>
      <w:proofErr w:type="spellEnd"/>
      <w:r w:rsidRPr="008D5139">
        <w:rPr>
          <w:rFonts w:ascii="Times New Roman" w:hAnsi="Times New Roman" w:cs="Times New Roman"/>
        </w:rPr>
        <w:t xml:space="preserve"> and </w:t>
      </w:r>
      <w:proofErr w:type="spellStart"/>
      <w:r w:rsidRPr="008D5139">
        <w:rPr>
          <w:rFonts w:ascii="Times New Roman" w:hAnsi="Times New Roman" w:cs="Times New Roman"/>
        </w:rPr>
        <w:t>Yitzhaki</w:t>
      </w:r>
      <w:proofErr w:type="spellEnd"/>
      <w:r w:rsidRPr="008D5139">
        <w:rPr>
          <w:rFonts w:ascii="Times New Roman" w:hAnsi="Times New Roman" w:cs="Times New Roman"/>
        </w:rPr>
        <w:t xml:space="preserve"> for US citizens to reduce mortality for Mexican citizens, 6.84 percent or $684,000, is used here as a central measure.  This estimate is clearly a useful topic for later sensitivity analysis while noting that the value is larger than some estimates of foreigner’s own VSL.</w:t>
      </w:r>
    </w:p>
    <w:p w14:paraId="01F2ED14" w14:textId="77777777" w:rsidR="008D5139" w:rsidRPr="008D5139" w:rsidRDefault="008D5139" w:rsidP="0085533D">
      <w:pPr>
        <w:spacing w:line="360" w:lineRule="auto"/>
        <w:rPr>
          <w:rFonts w:ascii="Times New Roman" w:hAnsi="Times New Roman" w:cs="Times New Roman"/>
        </w:rPr>
      </w:pPr>
    </w:p>
    <w:p w14:paraId="5F7DBB41" w14:textId="1D4A8CA8" w:rsidR="008D5139" w:rsidRDefault="008D5139" w:rsidP="0085533D">
      <w:pPr>
        <w:spacing w:line="360" w:lineRule="auto"/>
        <w:rPr>
          <w:rFonts w:ascii="Times New Roman" w:hAnsi="Times New Roman" w:cs="Times New Roman"/>
        </w:rPr>
      </w:pPr>
      <w:r w:rsidRPr="008D5139">
        <w:rPr>
          <w:rFonts w:ascii="Times New Roman" w:hAnsi="Times New Roman" w:cs="Times New Roman"/>
          <w:b/>
          <w:bCs/>
        </w:rPr>
        <w:t xml:space="preserve">Impact on US labor market, company owners and consumers:  </w:t>
      </w:r>
      <w:r w:rsidRPr="008D5139">
        <w:rPr>
          <w:rFonts w:ascii="Times New Roman" w:hAnsi="Times New Roman" w:cs="Times New Roman"/>
        </w:rPr>
        <w:t xml:space="preserve">A common channel of multi-market effect is through the impact of migration on the labor </w:t>
      </w:r>
      <w:r w:rsidRPr="008D5139">
        <w:rPr>
          <w:rFonts w:ascii="Times New Roman" w:hAnsi="Times New Roman" w:cs="Times New Roman"/>
        </w:rPr>
        <w:lastRenderedPageBreak/>
        <w:t>market.  The effect of illegal immigrants on wages in the aggregate labor market is thought to be close to zero</w:t>
      </w:r>
      <w:r w:rsidR="00190994">
        <w:rPr>
          <w:rFonts w:ascii="Times New Roman" w:hAnsi="Times New Roman" w:cs="Times New Roman"/>
        </w:rPr>
        <w:t xml:space="preserve">. </w:t>
      </w:r>
      <w:r w:rsidRPr="008D5139">
        <w:rPr>
          <w:rFonts w:ascii="Times New Roman" w:hAnsi="Times New Roman" w:cs="Times New Roman"/>
        </w:rPr>
        <w:t xml:space="preserve"> </w:t>
      </w:r>
      <w:r w:rsidR="00190994">
        <w:rPr>
          <w:rFonts w:ascii="Times New Roman" w:hAnsi="Times New Roman" w:cs="Times New Roman"/>
        </w:rPr>
        <w:t>T</w:t>
      </w:r>
      <w:r w:rsidRPr="008D5139">
        <w:rPr>
          <w:rFonts w:ascii="Times New Roman" w:hAnsi="Times New Roman" w:cs="Times New Roman"/>
        </w:rPr>
        <w:t xml:space="preserve">hat result masks </w:t>
      </w:r>
      <w:r w:rsidR="0061222F">
        <w:rPr>
          <w:rFonts w:ascii="Times New Roman" w:hAnsi="Times New Roman" w:cs="Times New Roman"/>
        </w:rPr>
        <w:t xml:space="preserve">an uncertain </w:t>
      </w:r>
      <w:r w:rsidRPr="008D5139">
        <w:rPr>
          <w:rFonts w:ascii="Times New Roman" w:hAnsi="Times New Roman" w:cs="Times New Roman"/>
        </w:rPr>
        <w:t>negative effect</w:t>
      </w:r>
      <w:r w:rsidR="0061222F">
        <w:rPr>
          <w:rFonts w:ascii="Times New Roman" w:hAnsi="Times New Roman" w:cs="Times New Roman"/>
        </w:rPr>
        <w:t>, here estimated at</w:t>
      </w:r>
      <w:r w:rsidRPr="008D5139">
        <w:rPr>
          <w:rFonts w:ascii="Times New Roman" w:hAnsi="Times New Roman" w:cs="Times New Roman"/>
        </w:rPr>
        <w:t xml:space="preserve"> 8 percent</w:t>
      </w:r>
      <w:r w:rsidR="0061222F">
        <w:rPr>
          <w:rFonts w:ascii="Times New Roman" w:hAnsi="Times New Roman" w:cs="Times New Roman"/>
        </w:rPr>
        <w:t>,</w:t>
      </w:r>
      <w:r w:rsidRPr="008D5139">
        <w:rPr>
          <w:rFonts w:ascii="Times New Roman" w:hAnsi="Times New Roman" w:cs="Times New Roman"/>
        </w:rPr>
        <w:t xml:space="preserve"> on US native</w:t>
      </w:r>
      <w:r w:rsidR="0061222F">
        <w:rPr>
          <w:rFonts w:ascii="Times New Roman" w:hAnsi="Times New Roman" w:cs="Times New Roman"/>
        </w:rPr>
        <w:t xml:space="preserve"> born</w:t>
      </w:r>
      <w:r w:rsidRPr="008D5139">
        <w:rPr>
          <w:rFonts w:ascii="Times New Roman" w:hAnsi="Times New Roman" w:cs="Times New Roman"/>
        </w:rPr>
        <w:t xml:space="preserve"> workers with a high school education or less and slight positive effects on other workers (National Academy of Science, 2017; </w:t>
      </w:r>
      <w:proofErr w:type="spellStart"/>
      <w:r w:rsidRPr="008D5139">
        <w:rPr>
          <w:rFonts w:ascii="Times New Roman" w:hAnsi="Times New Roman" w:cs="Times New Roman"/>
        </w:rPr>
        <w:t>Borjas</w:t>
      </w:r>
      <w:proofErr w:type="spellEnd"/>
      <w:r w:rsidRPr="008D5139">
        <w:rPr>
          <w:rFonts w:ascii="Times New Roman" w:hAnsi="Times New Roman" w:cs="Times New Roman"/>
        </w:rPr>
        <w:t>, 2014</w:t>
      </w:r>
      <w:r w:rsidR="0061222F">
        <w:rPr>
          <w:rFonts w:ascii="Times New Roman" w:hAnsi="Times New Roman" w:cs="Times New Roman"/>
        </w:rPr>
        <w:t xml:space="preserve">, </w:t>
      </w:r>
      <w:proofErr w:type="spellStart"/>
      <w:r w:rsidR="0061222F">
        <w:rPr>
          <w:rFonts w:ascii="Times New Roman" w:hAnsi="Times New Roman" w:cs="Times New Roman"/>
        </w:rPr>
        <w:t>Karoly</w:t>
      </w:r>
      <w:proofErr w:type="spellEnd"/>
      <w:r w:rsidR="0061222F">
        <w:rPr>
          <w:rFonts w:ascii="Times New Roman" w:hAnsi="Times New Roman" w:cs="Times New Roman"/>
        </w:rPr>
        <w:t xml:space="preserve"> and Perez-Arce, 2016</w:t>
      </w:r>
      <w:r w:rsidRPr="008D5139">
        <w:rPr>
          <w:rFonts w:ascii="Times New Roman" w:hAnsi="Times New Roman" w:cs="Times New Roman"/>
        </w:rPr>
        <w:t xml:space="preserve">).  This analysis carries through, on a per person basis, the loss in income to native born, lower income workers resulting from the income of those who illegally Get Away.  </w:t>
      </w:r>
      <w:r w:rsidR="00F43793">
        <w:rPr>
          <w:rFonts w:ascii="Times New Roman" w:hAnsi="Times New Roman" w:cs="Times New Roman"/>
        </w:rPr>
        <w:t>A somewhat larger gain accrues to consumers and owners of capital (</w:t>
      </w:r>
      <w:proofErr w:type="spellStart"/>
      <w:r w:rsidRPr="008D5139">
        <w:rPr>
          <w:rFonts w:ascii="Times New Roman" w:hAnsi="Times New Roman" w:cs="Times New Roman"/>
        </w:rPr>
        <w:t>Borjas</w:t>
      </w:r>
      <w:proofErr w:type="spellEnd"/>
      <w:r w:rsidRPr="008D5139">
        <w:rPr>
          <w:rFonts w:ascii="Times New Roman" w:hAnsi="Times New Roman" w:cs="Times New Roman"/>
        </w:rPr>
        <w:t xml:space="preserve">, 2014, p. 163).  These </w:t>
      </w:r>
      <w:r w:rsidR="004C3845">
        <w:rPr>
          <w:rFonts w:ascii="Times New Roman" w:hAnsi="Times New Roman" w:cs="Times New Roman"/>
        </w:rPr>
        <w:t xml:space="preserve">counterbalancing </w:t>
      </w:r>
      <w:r w:rsidRPr="008D5139">
        <w:rPr>
          <w:rFonts w:ascii="Times New Roman" w:hAnsi="Times New Roman" w:cs="Times New Roman"/>
        </w:rPr>
        <w:t>effects, while carried through in an expanded version of the analysis, have little overall effect on the results although they point to important distributional aspects of illegal immigration</w:t>
      </w:r>
      <w:r w:rsidRPr="008D5139">
        <w:rPr>
          <w:rFonts w:ascii="Times New Roman" w:hAnsi="Times New Roman" w:cs="Times New Roman"/>
          <w:vertAlign w:val="superscript"/>
        </w:rPr>
        <w:footnoteReference w:id="11"/>
      </w:r>
      <w:r w:rsidRPr="008D5139">
        <w:rPr>
          <w:rFonts w:ascii="Times New Roman" w:hAnsi="Times New Roman" w:cs="Times New Roman"/>
        </w:rPr>
        <w:t xml:space="preserve">.  </w:t>
      </w:r>
    </w:p>
    <w:p w14:paraId="637541B4" w14:textId="77777777" w:rsidR="00F43793" w:rsidRDefault="00F43793" w:rsidP="0085533D">
      <w:pPr>
        <w:spacing w:line="360" w:lineRule="auto"/>
        <w:rPr>
          <w:rFonts w:ascii="Times New Roman" w:hAnsi="Times New Roman" w:cs="Times New Roman"/>
        </w:rPr>
      </w:pPr>
    </w:p>
    <w:p w14:paraId="2343E21D" w14:textId="55182084" w:rsidR="008D5139" w:rsidRDefault="00F43793" w:rsidP="0085533D">
      <w:pPr>
        <w:spacing w:line="360" w:lineRule="auto"/>
        <w:rPr>
          <w:rFonts w:ascii="Times New Roman" w:hAnsi="Times New Roman" w:cs="Times New Roman"/>
        </w:rPr>
      </w:pPr>
      <w:r>
        <w:rPr>
          <w:rFonts w:ascii="Times New Roman" w:hAnsi="Times New Roman" w:cs="Times New Roman"/>
          <w:b/>
          <w:bCs/>
        </w:rPr>
        <w:t>Equity distributional adjustment/Welfare weighting</w:t>
      </w:r>
      <w:r w:rsidR="008D5139" w:rsidRPr="008D5139">
        <w:rPr>
          <w:rFonts w:ascii="Times New Roman" w:hAnsi="Times New Roman" w:cs="Times New Roman"/>
          <w:b/>
          <w:bCs/>
        </w:rPr>
        <w:t xml:space="preserve">:  </w:t>
      </w:r>
      <w:r w:rsidR="008D5139" w:rsidRPr="008D5139">
        <w:rPr>
          <w:rFonts w:ascii="Times New Roman" w:hAnsi="Times New Roman" w:cs="Times New Roman"/>
        </w:rPr>
        <w:t xml:space="preserve">The </w:t>
      </w:r>
      <w:r w:rsidR="007A2771">
        <w:rPr>
          <w:rFonts w:ascii="Times New Roman" w:hAnsi="Times New Roman" w:cs="Times New Roman"/>
        </w:rPr>
        <w:t xml:space="preserve">Biden </w:t>
      </w:r>
      <w:r w:rsidR="008D5139" w:rsidRPr="008D5139">
        <w:rPr>
          <w:rFonts w:ascii="Times New Roman" w:hAnsi="Times New Roman" w:cs="Times New Roman"/>
        </w:rPr>
        <w:t xml:space="preserve">administration </w:t>
      </w:r>
      <w:r w:rsidR="004C3845">
        <w:rPr>
          <w:rFonts w:ascii="Times New Roman" w:hAnsi="Times New Roman" w:cs="Times New Roman"/>
        </w:rPr>
        <w:t xml:space="preserve">seeks implementable methods to include </w:t>
      </w:r>
      <w:r w:rsidR="008D5139" w:rsidRPr="008D5139">
        <w:rPr>
          <w:rFonts w:ascii="Times New Roman" w:hAnsi="Times New Roman" w:cs="Times New Roman"/>
        </w:rPr>
        <w:t>“equity”</w:t>
      </w:r>
      <w:r w:rsidR="004C3845">
        <w:rPr>
          <w:rFonts w:ascii="Times New Roman" w:hAnsi="Times New Roman" w:cs="Times New Roman"/>
        </w:rPr>
        <w:t xml:space="preserve"> or “distributional weighting”</w:t>
      </w:r>
      <w:r w:rsidR="008D5139" w:rsidRPr="008D5139">
        <w:rPr>
          <w:rFonts w:ascii="Times New Roman" w:hAnsi="Times New Roman" w:cs="Times New Roman"/>
        </w:rPr>
        <w:t xml:space="preserve"> into </w:t>
      </w:r>
      <w:r w:rsidR="004C3845">
        <w:rPr>
          <w:rFonts w:ascii="Times New Roman" w:hAnsi="Times New Roman" w:cs="Times New Roman"/>
        </w:rPr>
        <w:t>government decisions</w:t>
      </w:r>
      <w:r w:rsidR="008D5139" w:rsidRPr="008D5139">
        <w:rPr>
          <w:rFonts w:ascii="Times New Roman" w:hAnsi="Times New Roman" w:cs="Times New Roman"/>
        </w:rPr>
        <w:t xml:space="preserve"> (White House, 2021).  Equity is incorporated here as a sensitivity analysis of the base case.  While there can be many dimensions to equity, this analysis weights benefits and costs for differences in income rather than population characteristics such as race.  The welfare weights used </w:t>
      </w:r>
      <w:r w:rsidR="004C3845">
        <w:rPr>
          <w:rFonts w:ascii="Times New Roman" w:hAnsi="Times New Roman" w:cs="Times New Roman"/>
        </w:rPr>
        <w:t>increase</w:t>
      </w:r>
      <w:r w:rsidR="008D5139" w:rsidRPr="008D5139">
        <w:rPr>
          <w:rFonts w:ascii="Times New Roman" w:hAnsi="Times New Roman" w:cs="Times New Roman"/>
        </w:rPr>
        <w:t xml:space="preserve"> benefits or costs for those in the lower part of the income distribution and reduc</w:t>
      </w:r>
      <w:r w:rsidR="004C3845">
        <w:rPr>
          <w:rFonts w:ascii="Times New Roman" w:hAnsi="Times New Roman" w:cs="Times New Roman"/>
        </w:rPr>
        <w:t xml:space="preserve">e </w:t>
      </w:r>
      <w:r w:rsidR="008D5139" w:rsidRPr="008D5139">
        <w:rPr>
          <w:rFonts w:ascii="Times New Roman" w:hAnsi="Times New Roman" w:cs="Times New Roman"/>
        </w:rPr>
        <w:t>benefits or costs for those in the upper part of the distribution.  The weights applied are those consistent with the income elasticity of the value of a statistical life and policy pronouncement of the DHS keeping the VSL constant for policy purposes (Farrow, 202</w:t>
      </w:r>
      <w:r w:rsidR="004C3845">
        <w:rPr>
          <w:rFonts w:ascii="Times New Roman" w:hAnsi="Times New Roman" w:cs="Times New Roman"/>
        </w:rPr>
        <w:t>1</w:t>
      </w:r>
      <w:r w:rsidR="008D5139" w:rsidRPr="008D5139">
        <w:rPr>
          <w:rFonts w:ascii="Times New Roman" w:hAnsi="Times New Roman" w:cs="Times New Roman"/>
        </w:rPr>
        <w:t xml:space="preserve">).   The implication of holding the VSL constant can imply a weight of 2.1 for the lower quintile and .75 for the upper quintile and 1 for all others.  The weights are applied here only to income </w:t>
      </w:r>
      <w:r w:rsidR="008D5139" w:rsidRPr="008D5139">
        <w:rPr>
          <w:rFonts w:ascii="Times New Roman" w:hAnsi="Times New Roman" w:cs="Times New Roman"/>
        </w:rPr>
        <w:lastRenderedPageBreak/>
        <w:t xml:space="preserve">flows to low-income legal immigrants and </w:t>
      </w:r>
      <w:r w:rsidR="000E6F84" w:rsidRPr="008D5139">
        <w:rPr>
          <w:rFonts w:ascii="Times New Roman" w:hAnsi="Times New Roman" w:cs="Times New Roman"/>
        </w:rPr>
        <w:t>native-born</w:t>
      </w:r>
      <w:r w:rsidR="008D5139" w:rsidRPr="008D5139">
        <w:rPr>
          <w:rFonts w:ascii="Times New Roman" w:hAnsi="Times New Roman" w:cs="Times New Roman"/>
        </w:rPr>
        <w:t xml:space="preserve"> workers in the US (increased weights), and to owners of capital (reduced weights).</w:t>
      </w:r>
    </w:p>
    <w:p w14:paraId="12387A57" w14:textId="77777777" w:rsidR="004C3845" w:rsidRPr="008D5139" w:rsidRDefault="004C3845" w:rsidP="0085533D">
      <w:pPr>
        <w:spacing w:line="360" w:lineRule="auto"/>
        <w:rPr>
          <w:rFonts w:ascii="Times New Roman" w:hAnsi="Times New Roman" w:cs="Times New Roman"/>
        </w:rPr>
      </w:pPr>
    </w:p>
    <w:p w14:paraId="38578BB1" w14:textId="1BBA20C4" w:rsidR="006B0868" w:rsidRPr="008D5139" w:rsidRDefault="006B0868" w:rsidP="006B0868">
      <w:pPr>
        <w:spacing w:after="160" w:line="360" w:lineRule="auto"/>
        <w:rPr>
          <w:rFonts w:ascii="Times New Roman" w:hAnsi="Times New Roman" w:cs="Times New Roman"/>
          <w:shd w:val="clear" w:color="auto" w:fill="FFFFFF"/>
        </w:rPr>
      </w:pPr>
      <w:r w:rsidRPr="008D5139">
        <w:rPr>
          <w:rFonts w:ascii="Times New Roman" w:hAnsi="Times New Roman" w:cs="Times New Roman"/>
          <w:b/>
          <w:bCs/>
          <w:shd w:val="clear" w:color="auto" w:fill="FFFFFF"/>
        </w:rPr>
        <w:t xml:space="preserve">Timing and Duration for Present Value:  </w:t>
      </w:r>
      <w:r>
        <w:rPr>
          <w:rFonts w:ascii="Times New Roman" w:hAnsi="Times New Roman" w:cs="Times New Roman"/>
          <w:shd w:val="clear" w:color="auto" w:fill="FFFFFF"/>
        </w:rPr>
        <w:t xml:space="preserve">Numerous impacts have a time dimension.  </w:t>
      </w:r>
      <w:r w:rsidRPr="008D5139">
        <w:rPr>
          <w:rFonts w:ascii="Times New Roman" w:hAnsi="Times New Roman" w:cs="Times New Roman"/>
          <w:shd w:val="clear" w:color="auto" w:fill="FFFFFF"/>
        </w:rPr>
        <w:t xml:space="preserve">For the impact duration of illegal immigrants, DHS estimates the time in residence of the unauthorized immigrant population (DHS, 2018).  At any given point in time, unauthorized immigrants have been resident for varying periods of time.  The median duration (50th percentile) is between 16 and 20 years but </w:t>
      </w:r>
      <w:r>
        <w:rPr>
          <w:rFonts w:ascii="Times New Roman" w:hAnsi="Times New Roman" w:cs="Times New Roman"/>
          <w:shd w:val="clear" w:color="auto" w:fill="FFFFFF"/>
        </w:rPr>
        <w:t>that median</w:t>
      </w:r>
      <w:r w:rsidRPr="008D5139">
        <w:rPr>
          <w:rFonts w:ascii="Times New Roman" w:hAnsi="Times New Roman" w:cs="Times New Roman"/>
          <w:shd w:val="clear" w:color="auto" w:fill="FFFFFF"/>
        </w:rPr>
        <w:t xml:space="preserve"> is changing over time compared to 2007 </w:t>
      </w:r>
      <w:r>
        <w:rPr>
          <w:rFonts w:ascii="Times New Roman" w:hAnsi="Times New Roman" w:cs="Times New Roman"/>
          <w:shd w:val="clear" w:color="auto" w:fill="FFFFFF"/>
        </w:rPr>
        <w:t>(DHS, 2018)</w:t>
      </w:r>
      <w:r w:rsidRPr="008D5139">
        <w:rPr>
          <w:rFonts w:ascii="Times New Roman" w:hAnsi="Times New Roman" w:cs="Times New Roman"/>
          <w:shd w:val="clear" w:color="auto" w:fill="FFFFFF"/>
        </w:rPr>
        <w:t xml:space="preserve">.  For the purposes of this analysis, a maximum 20-year duration of impact is used in the present value analysis for </w:t>
      </w:r>
      <w:r>
        <w:rPr>
          <w:rFonts w:ascii="Times New Roman" w:hAnsi="Times New Roman" w:cs="Times New Roman"/>
          <w:shd w:val="clear" w:color="auto" w:fill="FFFFFF"/>
        </w:rPr>
        <w:t xml:space="preserve">those </w:t>
      </w:r>
      <w:r w:rsidRPr="008D5139">
        <w:rPr>
          <w:rFonts w:ascii="Times New Roman" w:hAnsi="Times New Roman" w:cs="Times New Roman"/>
          <w:shd w:val="clear" w:color="auto" w:fill="FFFFFF"/>
        </w:rPr>
        <w:t xml:space="preserve">impacts that persist.  </w:t>
      </w:r>
    </w:p>
    <w:p w14:paraId="1196CAFD" w14:textId="17BD5AAC" w:rsidR="006B0868" w:rsidRPr="008D5139" w:rsidRDefault="006B0868" w:rsidP="006B0868">
      <w:pPr>
        <w:spacing w:after="160" w:line="360" w:lineRule="auto"/>
        <w:rPr>
          <w:rFonts w:ascii="Times New Roman" w:hAnsi="Times New Roman" w:cs="Times New Roman"/>
          <w:shd w:val="clear" w:color="auto" w:fill="FFFFFF"/>
        </w:rPr>
      </w:pPr>
      <w:r w:rsidRPr="008D5139">
        <w:rPr>
          <w:rFonts w:ascii="Times New Roman" w:hAnsi="Times New Roman" w:cs="Times New Roman"/>
          <w:shd w:val="clear" w:color="auto" w:fill="FFFFFF"/>
        </w:rPr>
        <w:t xml:space="preserve">Further, the duration of any specific outcome may vary.  The initiating phase of many effects, the direct impacts, occur in an initial time period and some, but not all, persist depending on the outcome or impact category.   </w:t>
      </w:r>
      <w:r>
        <w:rPr>
          <w:rFonts w:ascii="Times New Roman" w:hAnsi="Times New Roman" w:cs="Times New Roman"/>
          <w:shd w:val="clear" w:color="auto" w:fill="FFFFFF"/>
        </w:rPr>
        <w:t xml:space="preserve">For instance, the benefit-cost (BC) categories of </w:t>
      </w:r>
      <w:r w:rsidRPr="008D5139">
        <w:rPr>
          <w:rFonts w:ascii="Times New Roman" w:hAnsi="Times New Roman" w:cs="Times New Roman"/>
          <w:shd w:val="clear" w:color="auto" w:fill="FFFFFF"/>
        </w:rPr>
        <w:t xml:space="preserve">Border Expenditures and the impact of </w:t>
      </w:r>
      <w:r>
        <w:rPr>
          <w:rFonts w:ascii="Times New Roman" w:hAnsi="Times New Roman" w:cs="Times New Roman"/>
          <w:shd w:val="clear" w:color="auto" w:fill="FFFFFF"/>
        </w:rPr>
        <w:t>Criminal Removal</w:t>
      </w:r>
      <w:r w:rsidRPr="008D513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are assumed to </w:t>
      </w:r>
      <w:r w:rsidRPr="008D5139">
        <w:rPr>
          <w:rFonts w:ascii="Times New Roman" w:hAnsi="Times New Roman" w:cs="Times New Roman"/>
          <w:shd w:val="clear" w:color="auto" w:fill="FFFFFF"/>
        </w:rPr>
        <w:t xml:space="preserve">only exist for the first year and do not persist. </w:t>
      </w:r>
      <w:r>
        <w:rPr>
          <w:rFonts w:ascii="Times New Roman" w:hAnsi="Times New Roman" w:cs="Times New Roman"/>
          <w:shd w:val="clear" w:color="auto" w:fill="FFFFFF"/>
        </w:rPr>
        <w:t xml:space="preserve">The BC category of </w:t>
      </w:r>
      <w:r w:rsidRPr="008D5139">
        <w:rPr>
          <w:rFonts w:ascii="Times New Roman" w:hAnsi="Times New Roman" w:cs="Times New Roman"/>
          <w:shd w:val="clear" w:color="auto" w:fill="FFFFFF"/>
        </w:rPr>
        <w:t xml:space="preserve">security benefits for successful asylees and the impact of those who Get Away persist at a steady level for 20 years.  </w:t>
      </w:r>
      <w:r>
        <w:rPr>
          <w:rFonts w:ascii="Times New Roman" w:hAnsi="Times New Roman" w:cs="Times New Roman"/>
          <w:shd w:val="clear" w:color="auto" w:fill="FFFFFF"/>
        </w:rPr>
        <w:t>Another example is that t</w:t>
      </w:r>
      <w:r w:rsidRPr="008D5139">
        <w:rPr>
          <w:rFonts w:ascii="Times New Roman" w:hAnsi="Times New Roman" w:cs="Times New Roman"/>
          <w:shd w:val="clear" w:color="auto" w:fill="FFFFFF"/>
        </w:rPr>
        <w:t xml:space="preserve">he income of adult and child successful asylees increases over </w:t>
      </w:r>
      <w:r w:rsidR="004C3845" w:rsidRPr="008D5139">
        <w:rPr>
          <w:rFonts w:ascii="Times New Roman" w:hAnsi="Times New Roman" w:cs="Times New Roman"/>
          <w:shd w:val="clear" w:color="auto" w:fill="FFFFFF"/>
        </w:rPr>
        <w:t>time,</w:t>
      </w:r>
      <w:r>
        <w:rPr>
          <w:rFonts w:ascii="Times New Roman" w:hAnsi="Times New Roman" w:cs="Times New Roman"/>
          <w:shd w:val="clear" w:color="auto" w:fill="FFFFFF"/>
        </w:rPr>
        <w:t xml:space="preserve"> </w:t>
      </w:r>
      <w:r w:rsidRPr="008D5139">
        <w:rPr>
          <w:rFonts w:ascii="Times New Roman" w:hAnsi="Times New Roman" w:cs="Times New Roman"/>
          <w:shd w:val="clear" w:color="auto" w:fill="FFFFFF"/>
        </w:rPr>
        <w:t xml:space="preserve">but children begin earning at a later date as they reach age 18.   </w:t>
      </w:r>
    </w:p>
    <w:p w14:paraId="7E4631FF" w14:textId="11514E4F" w:rsidR="008D5139" w:rsidRDefault="006B0868" w:rsidP="004C3845">
      <w:pPr>
        <w:spacing w:after="160" w:line="360" w:lineRule="auto"/>
        <w:rPr>
          <w:rFonts w:ascii="Times New Roman" w:hAnsi="Times New Roman" w:cs="Times New Roman"/>
          <w:shd w:val="clear" w:color="auto" w:fill="FFFFFF"/>
        </w:rPr>
      </w:pPr>
      <w:r>
        <w:rPr>
          <w:rFonts w:ascii="Times New Roman" w:hAnsi="Times New Roman" w:cs="Times New Roman"/>
          <w:shd w:val="clear" w:color="auto" w:fill="FFFFFF"/>
        </w:rPr>
        <w:t>The present value over time of each impact is based on standard discounting using a</w:t>
      </w:r>
      <w:r w:rsidRPr="008D5139">
        <w:rPr>
          <w:rFonts w:ascii="Times New Roman" w:hAnsi="Times New Roman" w:cs="Times New Roman"/>
          <w:shd w:val="clear" w:color="auto" w:fill="FFFFFF"/>
        </w:rPr>
        <w:t xml:space="preserve"> real discount rate </w:t>
      </w:r>
      <w:r>
        <w:rPr>
          <w:rFonts w:ascii="Times New Roman" w:hAnsi="Times New Roman" w:cs="Times New Roman"/>
          <w:shd w:val="clear" w:color="auto" w:fill="FFFFFF"/>
        </w:rPr>
        <w:t xml:space="preserve">of </w:t>
      </w:r>
      <w:r w:rsidRPr="008D5139">
        <w:rPr>
          <w:rFonts w:ascii="Times New Roman" w:hAnsi="Times New Roman" w:cs="Times New Roman"/>
          <w:shd w:val="clear" w:color="auto" w:fill="FFFFFF"/>
        </w:rPr>
        <w:t>3 percent, one of the currently recommended rates</w:t>
      </w:r>
      <w:r>
        <w:rPr>
          <w:rFonts w:ascii="Times New Roman" w:hAnsi="Times New Roman" w:cs="Times New Roman"/>
          <w:shd w:val="clear" w:color="auto" w:fill="FFFFFF"/>
        </w:rPr>
        <w:t xml:space="preserve"> for US government BCAs</w:t>
      </w:r>
      <w:r w:rsidRPr="008D5139">
        <w:rPr>
          <w:rFonts w:ascii="Times New Roman" w:hAnsi="Times New Roman" w:cs="Times New Roman"/>
          <w:shd w:val="clear" w:color="auto" w:fill="FFFFFF"/>
        </w:rPr>
        <w:t xml:space="preserve"> (OMB, 2003).  </w:t>
      </w:r>
    </w:p>
    <w:p w14:paraId="7735E232" w14:textId="69338C87" w:rsidR="003B67EC" w:rsidRDefault="003B67EC" w:rsidP="004C3845">
      <w:pPr>
        <w:spacing w:after="160" w:line="360" w:lineRule="auto"/>
        <w:rPr>
          <w:rFonts w:ascii="Times New Roman" w:hAnsi="Times New Roman" w:cs="Times New Roman"/>
          <w:shd w:val="clear" w:color="auto" w:fill="FFFFFF"/>
        </w:rPr>
      </w:pPr>
    </w:p>
    <w:p w14:paraId="79A2F453" w14:textId="3C88E96B" w:rsidR="003B67EC" w:rsidRDefault="003B67EC" w:rsidP="004C3845">
      <w:pPr>
        <w:spacing w:after="160" w:line="360" w:lineRule="auto"/>
        <w:rPr>
          <w:rFonts w:ascii="Times New Roman" w:hAnsi="Times New Roman" w:cs="Times New Roman"/>
          <w:shd w:val="clear" w:color="auto" w:fill="FFFFFF"/>
        </w:rPr>
      </w:pPr>
    </w:p>
    <w:p w14:paraId="6B6F780C" w14:textId="77777777" w:rsidR="003B67EC" w:rsidRDefault="003B67EC" w:rsidP="004C3845">
      <w:pPr>
        <w:spacing w:after="160" w:line="360" w:lineRule="auto"/>
        <w:rPr>
          <w:rFonts w:ascii="Times New Roman" w:hAnsi="Times New Roman" w:cs="Times New Roman"/>
          <w:shd w:val="clear" w:color="auto" w:fill="FFFFFF"/>
        </w:rPr>
      </w:pPr>
    </w:p>
    <w:p w14:paraId="5B2413C3" w14:textId="704825C9" w:rsidR="00DC7AC7" w:rsidRDefault="008D5139" w:rsidP="004C3845">
      <w:pPr>
        <w:pStyle w:val="Heading2"/>
        <w:numPr>
          <w:ilvl w:val="0"/>
          <w:numId w:val="0"/>
        </w:numPr>
      </w:pPr>
      <w:bookmarkStart w:id="6" w:name="_Toc80602205"/>
      <w:r w:rsidRPr="008D5139">
        <w:lastRenderedPageBreak/>
        <w:t xml:space="preserve">4.3 </w:t>
      </w:r>
      <w:r w:rsidR="003B67EC">
        <w:t>P</w:t>
      </w:r>
      <w:r w:rsidRPr="008D5139">
        <w:t xml:space="preserve">er person, conditional </w:t>
      </w:r>
      <w:r w:rsidR="003B67EC">
        <w:t xml:space="preserve">outcome </w:t>
      </w:r>
      <w:r w:rsidRPr="008D5139">
        <w:t>values</w:t>
      </w:r>
      <w:bookmarkEnd w:id="6"/>
      <w:r w:rsidRPr="008D5139">
        <w:t xml:space="preserve"> </w:t>
      </w:r>
    </w:p>
    <w:p w14:paraId="27BA4AB7" w14:textId="48F63338" w:rsidR="00D817A8" w:rsidRDefault="004C3845" w:rsidP="00D817A8">
      <w:pPr>
        <w:spacing w:line="360" w:lineRule="auto"/>
        <w:rPr>
          <w:rFonts w:ascii="Times New Roman" w:hAnsi="Times New Roman" w:cs="Times New Roman"/>
        </w:rPr>
      </w:pPr>
      <w:r>
        <w:rPr>
          <w:rFonts w:ascii="Times New Roman" w:hAnsi="Times New Roman" w:cs="Times New Roman"/>
        </w:rPr>
        <w:t>After</w:t>
      </w:r>
      <w:r w:rsidR="00165720">
        <w:rPr>
          <w:rFonts w:ascii="Times New Roman" w:hAnsi="Times New Roman" w:cs="Times New Roman"/>
        </w:rPr>
        <w:t xml:space="preserve"> quantifying as above the individual categories for each outcome, the categories are summed to compute the conditional per person point estimate</w:t>
      </w:r>
      <w:r w:rsidR="003B67EC">
        <w:rPr>
          <w:rFonts w:ascii="Times New Roman" w:hAnsi="Times New Roman" w:cs="Times New Roman"/>
        </w:rPr>
        <w:t xml:space="preserve"> for each outcome</w:t>
      </w:r>
      <w:r w:rsidR="008D5139" w:rsidRPr="008D5139">
        <w:rPr>
          <w:rFonts w:ascii="Times New Roman" w:hAnsi="Times New Roman" w:cs="Times New Roman"/>
          <w:vertAlign w:val="superscript"/>
        </w:rPr>
        <w:footnoteReference w:id="12"/>
      </w:r>
      <w:r w:rsidR="00165720">
        <w:rPr>
          <w:rFonts w:ascii="Times New Roman" w:hAnsi="Times New Roman" w:cs="Times New Roman"/>
        </w:rPr>
        <w:t xml:space="preserve">.  </w:t>
      </w:r>
      <w:r w:rsidR="008D5139" w:rsidRPr="008D5139">
        <w:rPr>
          <w:rFonts w:ascii="Times New Roman" w:hAnsi="Times New Roman" w:cs="Times New Roman"/>
        </w:rPr>
        <w:t xml:space="preserve">The </w:t>
      </w:r>
      <w:r w:rsidR="00165720">
        <w:rPr>
          <w:rFonts w:ascii="Times New Roman" w:hAnsi="Times New Roman" w:cs="Times New Roman"/>
        </w:rPr>
        <w:t xml:space="preserve">conditional values reported in Table 4 are the base analysis that </w:t>
      </w:r>
      <w:r w:rsidR="008D5139" w:rsidRPr="008D5139">
        <w:rPr>
          <w:rFonts w:ascii="Times New Roman" w:hAnsi="Times New Roman" w:cs="Times New Roman"/>
        </w:rPr>
        <w:t>include</w:t>
      </w:r>
      <w:r w:rsidR="00165720">
        <w:rPr>
          <w:rFonts w:ascii="Times New Roman" w:hAnsi="Times New Roman" w:cs="Times New Roman"/>
        </w:rPr>
        <w:t>s</w:t>
      </w:r>
      <w:r w:rsidR="008D5139" w:rsidRPr="008D5139">
        <w:rPr>
          <w:rFonts w:ascii="Times New Roman" w:hAnsi="Times New Roman" w:cs="Times New Roman"/>
        </w:rPr>
        <w:t xml:space="preserve"> direct effects, deterrence and multi-labor market effects</w:t>
      </w:r>
      <w:r w:rsidR="00165720">
        <w:rPr>
          <w:rFonts w:ascii="Times New Roman" w:hAnsi="Times New Roman" w:cs="Times New Roman"/>
        </w:rPr>
        <w:t xml:space="preserve"> </w:t>
      </w:r>
      <w:r w:rsidR="008D5139" w:rsidRPr="008D5139">
        <w:rPr>
          <w:rFonts w:ascii="Times New Roman" w:hAnsi="Times New Roman" w:cs="Times New Roman"/>
        </w:rPr>
        <w:t>but exclude equity weighting.  The</w:t>
      </w:r>
      <w:r w:rsidR="00165720">
        <w:rPr>
          <w:rFonts w:ascii="Times New Roman" w:hAnsi="Times New Roman" w:cs="Times New Roman"/>
        </w:rPr>
        <w:t xml:space="preserve"> </w:t>
      </w:r>
      <w:r w:rsidR="008D5139" w:rsidRPr="008D5139">
        <w:rPr>
          <w:rFonts w:ascii="Times New Roman" w:hAnsi="Times New Roman" w:cs="Times New Roman"/>
        </w:rPr>
        <w:t xml:space="preserve">values </w:t>
      </w:r>
      <w:r w:rsidR="00165720">
        <w:rPr>
          <w:rFonts w:ascii="Times New Roman" w:hAnsi="Times New Roman" w:cs="Times New Roman"/>
        </w:rPr>
        <w:t xml:space="preserve">are </w:t>
      </w:r>
      <w:r w:rsidR="008D5139" w:rsidRPr="008D5139">
        <w:rPr>
          <w:rFonts w:ascii="Times New Roman" w:hAnsi="Times New Roman" w:cs="Times New Roman"/>
        </w:rPr>
        <w:t>the</w:t>
      </w:r>
      <w:r w:rsidR="00165720">
        <w:rPr>
          <w:rFonts w:ascii="Times New Roman" w:hAnsi="Times New Roman" w:cs="Times New Roman"/>
        </w:rPr>
        <w:t xml:space="preserve"> present value</w:t>
      </w:r>
      <w:r w:rsidR="008D5139" w:rsidRPr="008D5139">
        <w:rPr>
          <w:rFonts w:ascii="Times New Roman" w:hAnsi="Times New Roman" w:cs="Times New Roman"/>
        </w:rPr>
        <w:t xml:space="preserve"> per person for the year of attempted entry and for impacts </w:t>
      </w:r>
      <w:r w:rsidR="0066756B">
        <w:rPr>
          <w:rFonts w:ascii="Times New Roman" w:hAnsi="Times New Roman" w:cs="Times New Roman"/>
        </w:rPr>
        <w:t>as described</w:t>
      </w:r>
      <w:r w:rsidR="008D5139" w:rsidRPr="008D5139">
        <w:rPr>
          <w:rFonts w:ascii="Times New Roman" w:hAnsi="Times New Roman" w:cs="Times New Roman"/>
        </w:rPr>
        <w:t xml:space="preserve"> up to 20 years thereafter.  The values are arranged in descending order of costs and benefit</w:t>
      </w:r>
      <w:r w:rsidR="0066756B">
        <w:rPr>
          <w:rFonts w:ascii="Times New Roman" w:hAnsi="Times New Roman" w:cs="Times New Roman"/>
        </w:rPr>
        <w:t>s</w:t>
      </w:r>
      <w:r w:rsidR="008D5139" w:rsidRPr="008D5139">
        <w:rPr>
          <w:rFonts w:ascii="Times New Roman" w:hAnsi="Times New Roman" w:cs="Times New Roman"/>
        </w:rPr>
        <w:t xml:space="preserve">.  For instance, if a person is a successful Other Humanitarian asylee (OH, not family unit or unaccompanied minor), the </w:t>
      </w:r>
      <w:r w:rsidR="0066756B">
        <w:rPr>
          <w:rFonts w:ascii="Times New Roman" w:hAnsi="Times New Roman" w:cs="Times New Roman"/>
        </w:rPr>
        <w:t>value</w:t>
      </w:r>
      <w:r w:rsidR="008D5139" w:rsidRPr="008D5139">
        <w:rPr>
          <w:rFonts w:ascii="Times New Roman" w:hAnsi="Times New Roman" w:cs="Times New Roman"/>
        </w:rPr>
        <w:t xml:space="preserve"> is about $518,000 of positive, present value net </w:t>
      </w:r>
      <w:r w:rsidR="008D5139" w:rsidRPr="0066756B">
        <w:rPr>
          <w:rFonts w:ascii="Times New Roman" w:hAnsi="Times New Roman" w:cs="Times New Roman"/>
          <w:i/>
          <w:iCs/>
        </w:rPr>
        <w:t>benefits</w:t>
      </w:r>
      <w:r w:rsidR="008D5139" w:rsidRPr="008D5139">
        <w:rPr>
          <w:rFonts w:ascii="Times New Roman" w:hAnsi="Times New Roman" w:cs="Times New Roman"/>
        </w:rPr>
        <w:t xml:space="preserve"> over 20 years</w:t>
      </w:r>
      <w:r w:rsidR="005370C8">
        <w:rPr>
          <w:rStyle w:val="FootnoteReference"/>
          <w:rFonts w:ascii="Times New Roman" w:hAnsi="Times New Roman" w:cs="Times New Roman"/>
        </w:rPr>
        <w:footnoteReference w:id="13"/>
      </w:r>
      <w:r w:rsidR="008D5139" w:rsidRPr="008D5139">
        <w:rPr>
          <w:rFonts w:ascii="Times New Roman" w:hAnsi="Times New Roman" w:cs="Times New Roman"/>
        </w:rPr>
        <w:t>.  In contrast an OH who is removed in absentia after entering the asylum process results in</w:t>
      </w:r>
      <w:r w:rsidR="00CE7C92">
        <w:rPr>
          <w:rFonts w:ascii="Times New Roman" w:hAnsi="Times New Roman" w:cs="Times New Roman"/>
        </w:rPr>
        <w:t xml:space="preserve"> managed</w:t>
      </w:r>
      <w:r w:rsidR="008D5139" w:rsidRPr="008D5139">
        <w:rPr>
          <w:rFonts w:ascii="Times New Roman" w:hAnsi="Times New Roman" w:cs="Times New Roman"/>
        </w:rPr>
        <w:t xml:space="preserve"> </w:t>
      </w:r>
      <w:r w:rsidR="008D5139" w:rsidRPr="008D5139">
        <w:rPr>
          <w:rFonts w:ascii="Times New Roman" w:hAnsi="Times New Roman" w:cs="Times New Roman"/>
          <w:i/>
          <w:iCs/>
        </w:rPr>
        <w:t>costs</w:t>
      </w:r>
      <w:r w:rsidR="008D5139" w:rsidRPr="008D5139">
        <w:rPr>
          <w:rFonts w:ascii="Times New Roman" w:hAnsi="Times New Roman" w:cs="Times New Roman"/>
        </w:rPr>
        <w:t xml:space="preserve"> of about $14,000</w:t>
      </w:r>
      <w:r w:rsidR="0066756B">
        <w:rPr>
          <w:rFonts w:ascii="Times New Roman" w:hAnsi="Times New Roman" w:cs="Times New Roman"/>
        </w:rPr>
        <w:t xml:space="preserve"> and residual costs (see Table 5) of about $78,000</w:t>
      </w:r>
      <w:r w:rsidR="008D5139" w:rsidRPr="008D5139">
        <w:rPr>
          <w:rFonts w:ascii="Times New Roman" w:hAnsi="Times New Roman" w:cs="Times New Roman"/>
        </w:rPr>
        <w:t xml:space="preserve">.  </w:t>
      </w:r>
      <w:r w:rsidR="0066756B">
        <w:rPr>
          <w:rFonts w:ascii="Times New Roman" w:hAnsi="Times New Roman" w:cs="Times New Roman"/>
        </w:rPr>
        <w:t>Looking ahead, the</w:t>
      </w:r>
      <w:r w:rsidR="008D5139" w:rsidRPr="008D5139">
        <w:rPr>
          <w:rFonts w:ascii="Times New Roman" w:hAnsi="Times New Roman" w:cs="Times New Roman"/>
        </w:rPr>
        <w:t xml:space="preserve"> total PV net benefits of a technology can be </w:t>
      </w:r>
      <w:r w:rsidR="0066756B">
        <w:rPr>
          <w:rFonts w:ascii="Times New Roman" w:hAnsi="Times New Roman" w:cs="Times New Roman"/>
        </w:rPr>
        <w:t xml:space="preserve">estimated </w:t>
      </w:r>
      <w:r w:rsidR="008D5139" w:rsidRPr="008D5139">
        <w:rPr>
          <w:rFonts w:ascii="Times New Roman" w:hAnsi="Times New Roman" w:cs="Times New Roman"/>
        </w:rPr>
        <w:t xml:space="preserve">by multiplying the unit values in Table </w:t>
      </w:r>
      <w:r w:rsidR="00020CB2">
        <w:rPr>
          <w:rFonts w:ascii="Times New Roman" w:hAnsi="Times New Roman" w:cs="Times New Roman"/>
        </w:rPr>
        <w:t>4</w:t>
      </w:r>
      <w:r w:rsidR="008D5139" w:rsidRPr="008D5139">
        <w:rPr>
          <w:rFonts w:ascii="Times New Roman" w:hAnsi="Times New Roman" w:cs="Times New Roman"/>
        </w:rPr>
        <w:t xml:space="preserve"> by the total number of outcomes in each category</w:t>
      </w:r>
      <w:r w:rsidR="00D817A8">
        <w:rPr>
          <w:rFonts w:ascii="Times New Roman" w:hAnsi="Times New Roman" w:cs="Times New Roman"/>
        </w:rPr>
        <w:t>,</w:t>
      </w:r>
      <w:r w:rsidR="008D5139" w:rsidRPr="008D5139">
        <w:rPr>
          <w:rFonts w:ascii="Times New Roman" w:hAnsi="Times New Roman" w:cs="Times New Roman"/>
        </w:rPr>
        <w:t xml:space="preserve"> or the expected value can be computed by multiplying the expected value per managed person by the total number of managed attempts. </w:t>
      </w:r>
      <w:bookmarkStart w:id="7" w:name="_Hlk71437122"/>
    </w:p>
    <w:p w14:paraId="341F604C" w14:textId="77777777" w:rsidR="003B67EC" w:rsidRDefault="003B67EC" w:rsidP="0085533D">
      <w:pPr>
        <w:spacing w:line="360" w:lineRule="auto"/>
        <w:jc w:val="center"/>
        <w:rPr>
          <w:rFonts w:ascii="Times New Roman" w:hAnsi="Times New Roman" w:cs="Times New Roman"/>
        </w:rPr>
      </w:pPr>
    </w:p>
    <w:p w14:paraId="5771C9F5" w14:textId="77777777" w:rsidR="003B67EC" w:rsidRDefault="003B67EC" w:rsidP="0085533D">
      <w:pPr>
        <w:spacing w:line="360" w:lineRule="auto"/>
        <w:jc w:val="center"/>
        <w:rPr>
          <w:rFonts w:ascii="Times New Roman" w:hAnsi="Times New Roman" w:cs="Times New Roman"/>
        </w:rPr>
      </w:pPr>
    </w:p>
    <w:p w14:paraId="7852F0C0" w14:textId="77777777" w:rsidR="003B67EC" w:rsidRDefault="003B67EC" w:rsidP="0085533D">
      <w:pPr>
        <w:spacing w:line="360" w:lineRule="auto"/>
        <w:jc w:val="center"/>
        <w:rPr>
          <w:rFonts w:ascii="Times New Roman" w:hAnsi="Times New Roman" w:cs="Times New Roman"/>
        </w:rPr>
      </w:pPr>
    </w:p>
    <w:p w14:paraId="6EFED96D" w14:textId="77777777" w:rsidR="003B67EC" w:rsidRDefault="003B67EC" w:rsidP="0085533D">
      <w:pPr>
        <w:spacing w:line="360" w:lineRule="auto"/>
        <w:jc w:val="center"/>
        <w:rPr>
          <w:rFonts w:ascii="Times New Roman" w:hAnsi="Times New Roman" w:cs="Times New Roman"/>
        </w:rPr>
      </w:pPr>
    </w:p>
    <w:p w14:paraId="7F0D16D7" w14:textId="77777777" w:rsidR="003B67EC" w:rsidRDefault="003B67EC" w:rsidP="0085533D">
      <w:pPr>
        <w:spacing w:line="360" w:lineRule="auto"/>
        <w:jc w:val="center"/>
        <w:rPr>
          <w:rFonts w:ascii="Times New Roman" w:hAnsi="Times New Roman" w:cs="Times New Roman"/>
        </w:rPr>
      </w:pPr>
    </w:p>
    <w:p w14:paraId="0396FAD4" w14:textId="77777777" w:rsidR="003B67EC" w:rsidRDefault="003B67EC" w:rsidP="0085533D">
      <w:pPr>
        <w:spacing w:line="360" w:lineRule="auto"/>
        <w:jc w:val="center"/>
        <w:rPr>
          <w:rFonts w:ascii="Times New Roman" w:hAnsi="Times New Roman" w:cs="Times New Roman"/>
        </w:rPr>
      </w:pPr>
    </w:p>
    <w:p w14:paraId="6372A717" w14:textId="77777777" w:rsidR="003B67EC" w:rsidRDefault="003B67EC" w:rsidP="0085533D">
      <w:pPr>
        <w:spacing w:line="360" w:lineRule="auto"/>
        <w:jc w:val="center"/>
        <w:rPr>
          <w:rFonts w:ascii="Times New Roman" w:hAnsi="Times New Roman" w:cs="Times New Roman"/>
        </w:rPr>
      </w:pPr>
    </w:p>
    <w:p w14:paraId="2EF6E692" w14:textId="77777777" w:rsidR="003B67EC" w:rsidRDefault="003B67EC" w:rsidP="0085533D">
      <w:pPr>
        <w:spacing w:line="360" w:lineRule="auto"/>
        <w:jc w:val="center"/>
        <w:rPr>
          <w:rFonts w:ascii="Times New Roman" w:hAnsi="Times New Roman" w:cs="Times New Roman"/>
        </w:rPr>
      </w:pPr>
    </w:p>
    <w:p w14:paraId="2C3676BF" w14:textId="15F697B7" w:rsidR="00590D84" w:rsidRDefault="008D5139" w:rsidP="0085533D">
      <w:pPr>
        <w:spacing w:line="360" w:lineRule="auto"/>
        <w:jc w:val="center"/>
        <w:rPr>
          <w:rFonts w:ascii="Times New Roman" w:hAnsi="Times New Roman" w:cs="Times New Roman"/>
        </w:rPr>
      </w:pPr>
      <w:r w:rsidRPr="008D5139">
        <w:rPr>
          <w:rFonts w:ascii="Times New Roman" w:hAnsi="Times New Roman" w:cs="Times New Roman"/>
        </w:rPr>
        <w:lastRenderedPageBreak/>
        <w:t xml:space="preserve">Table </w:t>
      </w:r>
      <w:r w:rsidR="00020CB2">
        <w:rPr>
          <w:rFonts w:ascii="Times New Roman" w:hAnsi="Times New Roman" w:cs="Times New Roman"/>
        </w:rPr>
        <w:t>4</w:t>
      </w:r>
      <w:r w:rsidRPr="008D5139">
        <w:rPr>
          <w:rFonts w:ascii="Times New Roman" w:hAnsi="Times New Roman" w:cs="Times New Roman"/>
        </w:rPr>
        <w:t xml:space="preserve">:  Ranked, </w:t>
      </w:r>
      <w:r w:rsidR="00020CB2">
        <w:rPr>
          <w:rFonts w:ascii="Times New Roman" w:hAnsi="Times New Roman" w:cs="Times New Roman"/>
        </w:rPr>
        <w:t>p</w:t>
      </w:r>
      <w:r w:rsidRPr="008D5139">
        <w:rPr>
          <w:rFonts w:ascii="Times New Roman" w:hAnsi="Times New Roman" w:cs="Times New Roman"/>
        </w:rPr>
        <w:t xml:space="preserve">oint </w:t>
      </w:r>
      <w:r w:rsidR="00020CB2">
        <w:rPr>
          <w:rFonts w:ascii="Times New Roman" w:hAnsi="Times New Roman" w:cs="Times New Roman"/>
        </w:rPr>
        <w:t>e</w:t>
      </w:r>
      <w:r w:rsidRPr="008D5139">
        <w:rPr>
          <w:rFonts w:ascii="Times New Roman" w:hAnsi="Times New Roman" w:cs="Times New Roman"/>
        </w:rPr>
        <w:t xml:space="preserve">stimates of </w:t>
      </w:r>
      <w:r w:rsidR="00020CB2">
        <w:rPr>
          <w:rFonts w:ascii="Times New Roman" w:hAnsi="Times New Roman" w:cs="Times New Roman"/>
        </w:rPr>
        <w:t>c</w:t>
      </w:r>
      <w:r w:rsidRPr="008D5139">
        <w:rPr>
          <w:rFonts w:ascii="Times New Roman" w:hAnsi="Times New Roman" w:cs="Times New Roman"/>
        </w:rPr>
        <w:t>onditional</w:t>
      </w:r>
      <w:r w:rsidR="00D74F2E">
        <w:rPr>
          <w:rFonts w:ascii="Times New Roman" w:hAnsi="Times New Roman" w:cs="Times New Roman"/>
        </w:rPr>
        <w:t xml:space="preserve"> PV </w:t>
      </w:r>
      <w:r w:rsidR="00020CB2">
        <w:rPr>
          <w:rFonts w:ascii="Times New Roman" w:hAnsi="Times New Roman" w:cs="Times New Roman"/>
        </w:rPr>
        <w:t>p</w:t>
      </w:r>
      <w:r w:rsidRPr="008D5139">
        <w:rPr>
          <w:rFonts w:ascii="Times New Roman" w:hAnsi="Times New Roman" w:cs="Times New Roman"/>
        </w:rPr>
        <w:t xml:space="preserve">er </w:t>
      </w:r>
      <w:r w:rsidR="00020CB2">
        <w:rPr>
          <w:rFonts w:ascii="Times New Roman" w:hAnsi="Times New Roman" w:cs="Times New Roman"/>
        </w:rPr>
        <w:t>m</w:t>
      </w:r>
      <w:r w:rsidRPr="008D5139">
        <w:rPr>
          <w:rFonts w:ascii="Times New Roman" w:hAnsi="Times New Roman" w:cs="Times New Roman"/>
        </w:rPr>
        <w:t xml:space="preserve">anaged </w:t>
      </w:r>
      <w:r w:rsidR="00020CB2">
        <w:rPr>
          <w:rFonts w:ascii="Times New Roman" w:hAnsi="Times New Roman" w:cs="Times New Roman"/>
        </w:rPr>
        <w:t>p</w:t>
      </w:r>
      <w:r w:rsidRPr="008D5139">
        <w:rPr>
          <w:rFonts w:ascii="Times New Roman" w:hAnsi="Times New Roman" w:cs="Times New Roman"/>
        </w:rPr>
        <w:t>e</w:t>
      </w:r>
      <w:r w:rsidR="00020CB2">
        <w:rPr>
          <w:rFonts w:ascii="Times New Roman" w:hAnsi="Times New Roman" w:cs="Times New Roman"/>
        </w:rPr>
        <w:t>r</w:t>
      </w:r>
      <w:r w:rsidRPr="008D5139">
        <w:rPr>
          <w:rFonts w:ascii="Times New Roman" w:hAnsi="Times New Roman" w:cs="Times New Roman"/>
        </w:rPr>
        <w:t xml:space="preserve">son </w:t>
      </w:r>
      <w:bookmarkEnd w:id="7"/>
    </w:p>
    <w:p w14:paraId="236F31D8" w14:textId="7B697E57" w:rsidR="008D5139" w:rsidRDefault="00EB12D1" w:rsidP="00EB12D1">
      <w:pPr>
        <w:spacing w:line="360" w:lineRule="auto"/>
        <w:jc w:val="center"/>
        <w:rPr>
          <w:rFonts w:ascii="Times New Roman" w:hAnsi="Times New Roman" w:cs="Times New Roman"/>
        </w:rPr>
      </w:pPr>
      <w:r w:rsidRPr="00EB12D1">
        <w:rPr>
          <w:noProof/>
        </w:rPr>
        <w:drawing>
          <wp:inline distT="0" distB="0" distL="0" distR="0" wp14:anchorId="1D1C9F1F" wp14:editId="3F7B33A8">
            <wp:extent cx="2590800" cy="2583180"/>
            <wp:effectExtent l="0" t="0" r="0" b="7620"/>
            <wp:docPr id="7" name="Picture 7" descr="Edited turn back/not crim for taxes,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dited turn back/not crim for taxes, 9/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583180"/>
                    </a:xfrm>
                    <a:prstGeom prst="rect">
                      <a:avLst/>
                    </a:prstGeom>
                    <a:noFill/>
                    <a:ln>
                      <a:noFill/>
                    </a:ln>
                  </pic:spPr>
                </pic:pic>
              </a:graphicData>
            </a:graphic>
          </wp:inline>
        </w:drawing>
      </w:r>
    </w:p>
    <w:p w14:paraId="27C3CB38" w14:textId="4EA22231" w:rsidR="008D5139" w:rsidRPr="008D5139" w:rsidRDefault="008D5139" w:rsidP="007C1ED3">
      <w:pPr>
        <w:spacing w:line="360" w:lineRule="auto"/>
        <w:jc w:val="center"/>
        <w:rPr>
          <w:rFonts w:ascii="Times New Roman" w:hAnsi="Times New Roman" w:cs="Times New Roman"/>
        </w:rPr>
      </w:pPr>
    </w:p>
    <w:p w14:paraId="1CD48F59" w14:textId="744684D3" w:rsidR="003B67EC" w:rsidRDefault="008D5139" w:rsidP="00635B29">
      <w:pPr>
        <w:spacing w:line="360" w:lineRule="auto"/>
        <w:rPr>
          <w:rFonts w:ascii="Times New Roman" w:hAnsi="Times New Roman" w:cs="Times New Roman"/>
        </w:rPr>
      </w:pPr>
      <w:r w:rsidRPr="008D5139">
        <w:rPr>
          <w:rFonts w:ascii="Times New Roman" w:hAnsi="Times New Roman" w:cs="Times New Roman"/>
        </w:rPr>
        <w:t xml:space="preserve">The conditional values for the residual cost outcomes are presented in Table </w:t>
      </w:r>
      <w:r w:rsidR="00147C46">
        <w:rPr>
          <w:rFonts w:ascii="Times New Roman" w:hAnsi="Times New Roman" w:cs="Times New Roman"/>
        </w:rPr>
        <w:t>5</w:t>
      </w:r>
      <w:r w:rsidRPr="008D5139">
        <w:rPr>
          <w:rFonts w:ascii="Times New Roman" w:hAnsi="Times New Roman" w:cs="Times New Roman"/>
        </w:rPr>
        <w:t xml:space="preserve">.  By far the largest residual </w:t>
      </w:r>
      <w:r w:rsidR="00D817A8">
        <w:rPr>
          <w:rFonts w:ascii="Times New Roman" w:hAnsi="Times New Roman" w:cs="Times New Roman"/>
        </w:rPr>
        <w:t xml:space="preserve">conditional </w:t>
      </w:r>
      <w:r w:rsidRPr="008D5139">
        <w:rPr>
          <w:rFonts w:ascii="Times New Roman" w:hAnsi="Times New Roman" w:cs="Times New Roman"/>
        </w:rPr>
        <w:t xml:space="preserve">cost outcome is a criminal Get Away, estimated to cost </w:t>
      </w:r>
      <w:r w:rsidR="003B67EC">
        <w:rPr>
          <w:rFonts w:ascii="Times New Roman" w:hAnsi="Times New Roman" w:cs="Times New Roman"/>
        </w:rPr>
        <w:t xml:space="preserve">about </w:t>
      </w:r>
      <w:r w:rsidRPr="008D5139">
        <w:rPr>
          <w:rFonts w:ascii="Times New Roman" w:hAnsi="Times New Roman" w:cs="Times New Roman"/>
        </w:rPr>
        <w:t>$5</w:t>
      </w:r>
      <w:r w:rsidR="001C0533">
        <w:rPr>
          <w:rFonts w:ascii="Times New Roman" w:hAnsi="Times New Roman" w:cs="Times New Roman"/>
        </w:rPr>
        <w:t>65</w:t>
      </w:r>
      <w:r w:rsidRPr="008D5139">
        <w:rPr>
          <w:rFonts w:ascii="Times New Roman" w:hAnsi="Times New Roman" w:cs="Times New Roman"/>
        </w:rPr>
        <w:t xml:space="preserve">,000, who is assumed to continue a criminal career for years as discussed above.  A non-criminal Get Away </w:t>
      </w:r>
      <w:r w:rsidR="00085163">
        <w:rPr>
          <w:rFonts w:ascii="Times New Roman" w:hAnsi="Times New Roman" w:cs="Times New Roman"/>
        </w:rPr>
        <w:t>and t</w:t>
      </w:r>
      <w:r w:rsidRPr="008D5139">
        <w:rPr>
          <w:rFonts w:ascii="Times New Roman" w:hAnsi="Times New Roman" w:cs="Times New Roman"/>
        </w:rPr>
        <w:t xml:space="preserve">he Humanitarian Get Away categories appear in both Tables </w:t>
      </w:r>
      <w:r w:rsidR="00147C46">
        <w:rPr>
          <w:rFonts w:ascii="Times New Roman" w:hAnsi="Times New Roman" w:cs="Times New Roman"/>
        </w:rPr>
        <w:t>4</w:t>
      </w:r>
      <w:r w:rsidRPr="008D5139">
        <w:rPr>
          <w:rFonts w:ascii="Times New Roman" w:hAnsi="Times New Roman" w:cs="Times New Roman"/>
        </w:rPr>
        <w:t xml:space="preserve"> and </w:t>
      </w:r>
      <w:r w:rsidR="00147C46">
        <w:rPr>
          <w:rFonts w:ascii="Times New Roman" w:hAnsi="Times New Roman" w:cs="Times New Roman"/>
        </w:rPr>
        <w:t>5</w:t>
      </w:r>
      <w:r w:rsidRPr="008D5139">
        <w:rPr>
          <w:rFonts w:ascii="Times New Roman" w:hAnsi="Times New Roman" w:cs="Times New Roman"/>
        </w:rPr>
        <w:t xml:space="preserve"> as there is some management cost for these individuals with the current technology, but if they Get </w:t>
      </w:r>
      <w:proofErr w:type="gramStart"/>
      <w:r w:rsidRPr="008D5139">
        <w:rPr>
          <w:rFonts w:ascii="Times New Roman" w:hAnsi="Times New Roman" w:cs="Times New Roman"/>
        </w:rPr>
        <w:t>Away</w:t>
      </w:r>
      <w:proofErr w:type="gramEnd"/>
      <w:r w:rsidRPr="008D5139">
        <w:rPr>
          <w:rFonts w:ascii="Times New Roman" w:hAnsi="Times New Roman" w:cs="Times New Roman"/>
        </w:rPr>
        <w:t xml:space="preserve"> they cause additional residual social costs.  </w:t>
      </w:r>
      <w:r w:rsidR="00085163">
        <w:rPr>
          <w:rFonts w:ascii="Times New Roman" w:hAnsi="Times New Roman" w:cs="Times New Roman"/>
        </w:rPr>
        <w:t>The conditional value of these</w:t>
      </w:r>
      <w:r w:rsidRPr="008D5139">
        <w:rPr>
          <w:rFonts w:ascii="Times New Roman" w:hAnsi="Times New Roman" w:cs="Times New Roman"/>
        </w:rPr>
        <w:t xml:space="preserve"> outcomes </w:t>
      </w:r>
      <w:proofErr w:type="gramStart"/>
      <w:r w:rsidRPr="008D5139">
        <w:rPr>
          <w:rFonts w:ascii="Times New Roman" w:hAnsi="Times New Roman" w:cs="Times New Roman"/>
        </w:rPr>
        <w:t>are</w:t>
      </w:r>
      <w:proofErr w:type="gramEnd"/>
      <w:r w:rsidRPr="008D5139">
        <w:rPr>
          <w:rFonts w:ascii="Times New Roman" w:hAnsi="Times New Roman" w:cs="Times New Roman"/>
        </w:rPr>
        <w:t xml:space="preserve"> in the neighborhood of $</w:t>
      </w:r>
      <w:r w:rsidR="00120F95">
        <w:rPr>
          <w:rFonts w:ascii="Times New Roman" w:hAnsi="Times New Roman" w:cs="Times New Roman"/>
        </w:rPr>
        <w:t>80</w:t>
      </w:r>
      <w:r w:rsidRPr="008D5139">
        <w:rPr>
          <w:rFonts w:ascii="Times New Roman" w:hAnsi="Times New Roman" w:cs="Times New Roman"/>
        </w:rPr>
        <w:t>,000</w:t>
      </w:r>
      <w:r w:rsidR="00085163">
        <w:rPr>
          <w:rFonts w:ascii="Times New Roman" w:hAnsi="Times New Roman" w:cs="Times New Roman"/>
        </w:rPr>
        <w:t xml:space="preserve"> and differ slightly due to varying estimates of income and sales tax generated</w:t>
      </w:r>
      <w:r w:rsidRPr="008D5139">
        <w:rPr>
          <w:rFonts w:ascii="Times New Roman" w:hAnsi="Times New Roman" w:cs="Times New Roman"/>
        </w:rPr>
        <w:t xml:space="preserve">.  </w:t>
      </w:r>
    </w:p>
    <w:p w14:paraId="4C7F5446" w14:textId="1920BC41" w:rsidR="008D5139" w:rsidRDefault="008D5139" w:rsidP="0085533D">
      <w:pPr>
        <w:spacing w:line="360" w:lineRule="auto"/>
        <w:jc w:val="center"/>
        <w:rPr>
          <w:rFonts w:ascii="Times New Roman" w:hAnsi="Times New Roman" w:cs="Times New Roman"/>
        </w:rPr>
      </w:pPr>
      <w:r w:rsidRPr="008D5139">
        <w:rPr>
          <w:rFonts w:ascii="Times New Roman" w:hAnsi="Times New Roman" w:cs="Times New Roman"/>
        </w:rPr>
        <w:t xml:space="preserve">Table </w:t>
      </w:r>
      <w:r w:rsidR="00147C46">
        <w:rPr>
          <w:rFonts w:ascii="Times New Roman" w:hAnsi="Times New Roman" w:cs="Times New Roman"/>
        </w:rPr>
        <w:t>5</w:t>
      </w:r>
      <w:r w:rsidRPr="008D5139">
        <w:rPr>
          <w:rFonts w:ascii="Times New Roman" w:hAnsi="Times New Roman" w:cs="Times New Roman"/>
        </w:rPr>
        <w:t>:  Residual</w:t>
      </w:r>
      <w:r w:rsidR="00D74F2E">
        <w:rPr>
          <w:rFonts w:ascii="Times New Roman" w:hAnsi="Times New Roman" w:cs="Times New Roman"/>
        </w:rPr>
        <w:t>, ranked conditional PV per person</w:t>
      </w:r>
    </w:p>
    <w:p w14:paraId="41D22182" w14:textId="4662B106" w:rsidR="006E1B8A" w:rsidRPr="008D5139" w:rsidRDefault="00EB12D1" w:rsidP="00635B29">
      <w:pPr>
        <w:spacing w:line="360" w:lineRule="auto"/>
        <w:jc w:val="center"/>
        <w:rPr>
          <w:rFonts w:ascii="Times New Roman" w:hAnsi="Times New Roman" w:cs="Times New Roman"/>
        </w:rPr>
      </w:pPr>
      <w:r w:rsidRPr="00EB12D1">
        <w:rPr>
          <w:noProof/>
        </w:rPr>
        <w:drawing>
          <wp:inline distT="0" distB="0" distL="0" distR="0" wp14:anchorId="431DE1FC" wp14:editId="18FABF0F">
            <wp:extent cx="2217420" cy="1303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1303020"/>
                    </a:xfrm>
                    <a:prstGeom prst="rect">
                      <a:avLst/>
                    </a:prstGeom>
                    <a:noFill/>
                    <a:ln>
                      <a:noFill/>
                    </a:ln>
                  </pic:spPr>
                </pic:pic>
              </a:graphicData>
            </a:graphic>
          </wp:inline>
        </w:drawing>
      </w:r>
    </w:p>
    <w:p w14:paraId="0458C681" w14:textId="210F991B" w:rsidR="008D5139" w:rsidRPr="008D5139" w:rsidRDefault="008D5139" w:rsidP="009B0315">
      <w:pPr>
        <w:pStyle w:val="Heading1"/>
      </w:pPr>
      <w:bookmarkStart w:id="8" w:name="_Toc80602206"/>
      <w:r w:rsidRPr="008D5139">
        <w:lastRenderedPageBreak/>
        <w:t xml:space="preserve">Results:  </w:t>
      </w:r>
      <w:r w:rsidR="001647CB">
        <w:t>Total e</w:t>
      </w:r>
      <w:r w:rsidRPr="008D5139">
        <w:t>xpected net present value</w:t>
      </w:r>
      <w:bookmarkEnd w:id="8"/>
      <w:r w:rsidR="001647CB">
        <w:t xml:space="preserve"> and its decomposition</w:t>
      </w:r>
    </w:p>
    <w:p w14:paraId="40A54493" w14:textId="1E3E8BB1" w:rsidR="00AF3849" w:rsidRDefault="009B0315" w:rsidP="0085533D">
      <w:pPr>
        <w:spacing w:after="160" w:line="360" w:lineRule="auto"/>
        <w:rPr>
          <w:rFonts w:ascii="Times New Roman" w:hAnsi="Times New Roman" w:cs="Times New Roman"/>
        </w:rPr>
      </w:pPr>
      <w:r>
        <w:rPr>
          <w:rFonts w:ascii="Times New Roman" w:hAnsi="Times New Roman" w:cs="Times New Roman"/>
        </w:rPr>
        <w:t xml:space="preserve">Alternative models of increasing scope are presented along with several decompositions of the total.  </w:t>
      </w:r>
      <w:r w:rsidR="008D5139" w:rsidRPr="008D5139">
        <w:rPr>
          <w:rFonts w:ascii="Times New Roman" w:hAnsi="Times New Roman" w:cs="Times New Roman"/>
        </w:rPr>
        <w:t xml:space="preserve">Two </w:t>
      </w:r>
      <w:r>
        <w:rPr>
          <w:rFonts w:ascii="Times New Roman" w:hAnsi="Times New Roman" w:cs="Times New Roman"/>
        </w:rPr>
        <w:t xml:space="preserve">models compare the immediate effects with the present value effects for a one-year cohort in Table 6 below.  </w:t>
      </w:r>
      <w:r w:rsidR="008D5139" w:rsidRPr="008D5139">
        <w:rPr>
          <w:rFonts w:ascii="Times New Roman" w:hAnsi="Times New Roman" w:cs="Times New Roman"/>
        </w:rPr>
        <w:t>Each row identifies the impacts that are included in the metric starting with the most restrictive, the Direct impacts, and adding additional elements with the complete set including multi-market, deterrence, and equity elements</w:t>
      </w:r>
      <w:r w:rsidR="008D5139" w:rsidRPr="008D5139">
        <w:rPr>
          <w:rFonts w:ascii="Times New Roman" w:hAnsi="Times New Roman" w:cs="Times New Roman"/>
          <w:vertAlign w:val="superscript"/>
        </w:rPr>
        <w:footnoteReference w:id="14"/>
      </w:r>
      <w:r w:rsidR="008D5139" w:rsidRPr="008D5139">
        <w:rPr>
          <w:rFonts w:ascii="Times New Roman" w:hAnsi="Times New Roman" w:cs="Times New Roman"/>
        </w:rPr>
        <w:t xml:space="preserve">.  The highlighted metric that includes Direct, Multi-Market and Deterrence is referred to as the base case unless otherwise identified.  </w:t>
      </w:r>
      <w:r w:rsidR="00326C53">
        <w:rPr>
          <w:rFonts w:ascii="Times New Roman" w:hAnsi="Times New Roman" w:cs="Times New Roman"/>
        </w:rPr>
        <w:t>In that case, the point estimate of the immediate expected value is $1,8</w:t>
      </w:r>
      <w:r w:rsidR="00402629">
        <w:rPr>
          <w:rFonts w:ascii="Times New Roman" w:hAnsi="Times New Roman" w:cs="Times New Roman"/>
        </w:rPr>
        <w:t>8</w:t>
      </w:r>
      <w:r w:rsidR="00326C53">
        <w:rPr>
          <w:rFonts w:ascii="Times New Roman" w:hAnsi="Times New Roman" w:cs="Times New Roman"/>
        </w:rPr>
        <w:t>1 per person.  The expected values are taken across the entire set of managed outcomes and their conditional values.  The present value (PV) per person is much higher, $7</w:t>
      </w:r>
      <w:r w:rsidR="00402629">
        <w:rPr>
          <w:rFonts w:ascii="Times New Roman" w:hAnsi="Times New Roman" w:cs="Times New Roman"/>
        </w:rPr>
        <w:t>5,272</w:t>
      </w:r>
      <w:r w:rsidR="00326C53">
        <w:rPr>
          <w:rFonts w:ascii="Times New Roman" w:hAnsi="Times New Roman" w:cs="Times New Roman"/>
        </w:rPr>
        <w:t xml:space="preserve">.  </w:t>
      </w:r>
      <w:r w:rsidR="008D5139" w:rsidRPr="008D5139">
        <w:rPr>
          <w:rFonts w:ascii="Times New Roman" w:hAnsi="Times New Roman" w:cs="Times New Roman"/>
        </w:rPr>
        <w:t>Also reported for some results are the intermediate elements of the expected value of enforcement outcomes and the expected value of Get Ways</w:t>
      </w:r>
    </w:p>
    <w:p w14:paraId="5B58E014" w14:textId="43D29E86" w:rsidR="00AF3849" w:rsidRPr="00AF3849" w:rsidRDefault="00AF3849" w:rsidP="00AF3849">
      <w:pPr>
        <w:spacing w:after="160" w:line="360" w:lineRule="auto"/>
        <w:jc w:val="center"/>
        <w:rPr>
          <w:rFonts w:ascii="Times New Roman" w:hAnsi="Times New Roman" w:cs="Times New Roman"/>
        </w:rPr>
      </w:pPr>
      <w:r w:rsidRPr="00147C46">
        <w:rPr>
          <w:rFonts w:ascii="Times New Roman" w:hAnsi="Times New Roman" w:cs="Times New Roman"/>
        </w:rPr>
        <w:t xml:space="preserve">Table 6:  Summary of </w:t>
      </w:r>
      <w:r>
        <w:rPr>
          <w:rFonts w:ascii="Times New Roman" w:hAnsi="Times New Roman" w:cs="Times New Roman"/>
        </w:rPr>
        <w:t>e</w:t>
      </w:r>
      <w:r w:rsidRPr="00147C46">
        <w:rPr>
          <w:rFonts w:ascii="Times New Roman" w:hAnsi="Times New Roman" w:cs="Times New Roman"/>
        </w:rPr>
        <w:t xml:space="preserve">xpected </w:t>
      </w:r>
      <w:r>
        <w:rPr>
          <w:rFonts w:ascii="Times New Roman" w:hAnsi="Times New Roman" w:cs="Times New Roman"/>
        </w:rPr>
        <w:t>v</w:t>
      </w:r>
      <w:r w:rsidRPr="00147C46">
        <w:rPr>
          <w:rFonts w:ascii="Times New Roman" w:hAnsi="Times New Roman" w:cs="Times New Roman"/>
        </w:rPr>
        <w:t xml:space="preserve">alue </w:t>
      </w:r>
      <w:r>
        <w:rPr>
          <w:rFonts w:ascii="Times New Roman" w:hAnsi="Times New Roman" w:cs="Times New Roman"/>
        </w:rPr>
        <w:t>p</w:t>
      </w:r>
      <w:r w:rsidRPr="00147C46">
        <w:rPr>
          <w:rFonts w:ascii="Times New Roman" w:hAnsi="Times New Roman" w:cs="Times New Roman"/>
        </w:rPr>
        <w:t xml:space="preserve">er </w:t>
      </w:r>
      <w:r>
        <w:rPr>
          <w:rFonts w:ascii="Times New Roman" w:hAnsi="Times New Roman" w:cs="Times New Roman"/>
        </w:rPr>
        <w:t>p</w:t>
      </w:r>
      <w:r w:rsidRPr="00147C46">
        <w:rPr>
          <w:rFonts w:ascii="Times New Roman" w:hAnsi="Times New Roman" w:cs="Times New Roman"/>
        </w:rPr>
        <w:t xml:space="preserve">erson </w:t>
      </w:r>
      <w:r>
        <w:rPr>
          <w:rFonts w:ascii="Times New Roman" w:hAnsi="Times New Roman" w:cs="Times New Roman"/>
        </w:rPr>
        <w:t>model r</w:t>
      </w:r>
      <w:r w:rsidRPr="00147C46">
        <w:rPr>
          <w:rFonts w:ascii="Times New Roman" w:hAnsi="Times New Roman" w:cs="Times New Roman"/>
        </w:rPr>
        <w:t>esults, 2017</w:t>
      </w:r>
    </w:p>
    <w:p w14:paraId="07230DCC" w14:textId="49D95E47" w:rsidR="00AF3849" w:rsidRPr="00AF3849" w:rsidRDefault="00AF3849" w:rsidP="00402629">
      <w:pPr>
        <w:pStyle w:val="Heading2"/>
        <w:numPr>
          <w:ilvl w:val="0"/>
          <w:numId w:val="0"/>
        </w:numPr>
        <w:ind w:left="432"/>
      </w:pPr>
      <w:r w:rsidRPr="00AF3849">
        <w:rPr>
          <w:noProof/>
        </w:rPr>
        <w:drawing>
          <wp:inline distT="0" distB="0" distL="0" distR="0" wp14:anchorId="2270523A" wp14:editId="314BF3EB">
            <wp:extent cx="4427220" cy="2535844"/>
            <wp:effectExtent l="0" t="0" r="0" b="0"/>
            <wp:docPr id="6" name="Picture 6" descr="Edited 9/5 for some changes in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dited 9/5 for some changes in tax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0621" cy="2537792"/>
                    </a:xfrm>
                    <a:prstGeom prst="rect">
                      <a:avLst/>
                    </a:prstGeom>
                    <a:noFill/>
                    <a:ln>
                      <a:noFill/>
                    </a:ln>
                  </pic:spPr>
                </pic:pic>
              </a:graphicData>
            </a:graphic>
          </wp:inline>
        </w:drawing>
      </w:r>
    </w:p>
    <w:p w14:paraId="61E89AA4" w14:textId="3CD62D5A"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lastRenderedPageBreak/>
        <w:t xml:space="preserve">Several major insights emerge from the results in Table </w:t>
      </w:r>
      <w:r w:rsidR="00A33F43">
        <w:rPr>
          <w:rFonts w:ascii="Times New Roman" w:hAnsi="Times New Roman" w:cs="Times New Roman"/>
        </w:rPr>
        <w:t>6</w:t>
      </w:r>
      <w:r w:rsidRPr="008D5139">
        <w:rPr>
          <w:rFonts w:ascii="Times New Roman" w:hAnsi="Times New Roman" w:cs="Times New Roman"/>
        </w:rPr>
        <w:t xml:space="preserve"> for the expected value per person:</w:t>
      </w:r>
    </w:p>
    <w:p w14:paraId="6A0EC17A" w14:textId="2778E1BF" w:rsidR="000D30DF" w:rsidRDefault="008D5139" w:rsidP="00E1382D">
      <w:pPr>
        <w:spacing w:after="160" w:line="360" w:lineRule="auto"/>
        <w:ind w:left="720"/>
        <w:rPr>
          <w:rFonts w:ascii="Times New Roman" w:hAnsi="Times New Roman" w:cs="Times New Roman"/>
        </w:rPr>
      </w:pPr>
      <w:r w:rsidRPr="008D5139">
        <w:rPr>
          <w:rFonts w:ascii="Times New Roman" w:hAnsi="Times New Roman" w:cs="Times New Roman"/>
        </w:rPr>
        <w:t xml:space="preserve">1.  </w:t>
      </w:r>
      <w:r w:rsidR="00326C53">
        <w:rPr>
          <w:rFonts w:ascii="Times New Roman" w:hAnsi="Times New Roman" w:cs="Times New Roman"/>
        </w:rPr>
        <w:t>Immediate versus present value result:</w:t>
      </w:r>
      <w:r w:rsidRPr="008D5139">
        <w:rPr>
          <w:rFonts w:ascii="Times New Roman" w:hAnsi="Times New Roman" w:cs="Times New Roman"/>
        </w:rPr>
        <w:t xml:space="preserve">  The immediate compared to the present value results change substantially and sometimes change sign.  This </w:t>
      </w:r>
      <w:r w:rsidR="004A0B42">
        <w:rPr>
          <w:rFonts w:ascii="Times New Roman" w:hAnsi="Times New Roman" w:cs="Times New Roman"/>
        </w:rPr>
        <w:t>shows</w:t>
      </w:r>
      <w:r w:rsidRPr="008D5139">
        <w:rPr>
          <w:rFonts w:ascii="Times New Roman" w:hAnsi="Times New Roman" w:cs="Times New Roman"/>
        </w:rPr>
        <w:t xml:space="preserve"> that multi-year effects are central to understanding border management.  </w:t>
      </w:r>
    </w:p>
    <w:p w14:paraId="5DBCD14C" w14:textId="6E31C7A8" w:rsidR="009E57CE" w:rsidRDefault="008D5139" w:rsidP="004A0B42">
      <w:pPr>
        <w:spacing w:after="160" w:line="360" w:lineRule="auto"/>
        <w:ind w:left="720"/>
        <w:rPr>
          <w:rFonts w:ascii="Times New Roman" w:hAnsi="Times New Roman" w:cs="Times New Roman"/>
        </w:rPr>
      </w:pPr>
      <w:r w:rsidRPr="008D5139">
        <w:rPr>
          <w:rFonts w:ascii="Times New Roman" w:hAnsi="Times New Roman" w:cs="Times New Roman"/>
        </w:rPr>
        <w:t>2.   Adding labor multi-market effects</w:t>
      </w:r>
      <w:r w:rsidR="00326C53">
        <w:rPr>
          <w:rFonts w:ascii="Times New Roman" w:hAnsi="Times New Roman" w:cs="Times New Roman"/>
        </w:rPr>
        <w:t xml:space="preserve"> --</w:t>
      </w:r>
      <w:r w:rsidRPr="008D5139">
        <w:rPr>
          <w:rFonts w:ascii="Times New Roman" w:hAnsi="Times New Roman" w:cs="Times New Roman"/>
        </w:rPr>
        <w:t xml:space="preserve">the income gains of relatively unskilled native workers </w:t>
      </w:r>
      <w:r w:rsidR="00BA2888">
        <w:rPr>
          <w:rFonts w:ascii="Times New Roman" w:hAnsi="Times New Roman" w:cs="Times New Roman"/>
        </w:rPr>
        <w:t xml:space="preserve">from removals </w:t>
      </w:r>
      <w:r w:rsidR="00BA2888" w:rsidRPr="008D5139">
        <w:rPr>
          <w:rFonts w:ascii="Times New Roman" w:hAnsi="Times New Roman" w:cs="Times New Roman"/>
        </w:rPr>
        <w:t>and the losses of owners of capital and consumer</w:t>
      </w:r>
      <w:r w:rsidR="00BA2888">
        <w:rPr>
          <w:rFonts w:ascii="Times New Roman" w:hAnsi="Times New Roman" w:cs="Times New Roman"/>
        </w:rPr>
        <w:t>--to the direct effect</w:t>
      </w:r>
      <w:r w:rsidR="00BA2888" w:rsidRPr="008D5139">
        <w:rPr>
          <w:rFonts w:ascii="Times New Roman" w:hAnsi="Times New Roman" w:cs="Times New Roman"/>
        </w:rPr>
        <w:t xml:space="preserve"> </w:t>
      </w:r>
      <w:r w:rsidRPr="008D5139">
        <w:rPr>
          <w:rFonts w:ascii="Times New Roman" w:hAnsi="Times New Roman" w:cs="Times New Roman"/>
        </w:rPr>
        <w:t xml:space="preserve">is </w:t>
      </w:r>
      <w:r w:rsidR="005370C8">
        <w:rPr>
          <w:rFonts w:ascii="Times New Roman" w:hAnsi="Times New Roman" w:cs="Times New Roman"/>
        </w:rPr>
        <w:t>relatively small</w:t>
      </w:r>
      <w:r w:rsidRPr="008D5139">
        <w:rPr>
          <w:rFonts w:ascii="Times New Roman" w:hAnsi="Times New Roman" w:cs="Times New Roman"/>
        </w:rPr>
        <w:t xml:space="preserve">.  These results highlight distributional impacts within the aggregate.  </w:t>
      </w:r>
    </w:p>
    <w:p w14:paraId="668A3280" w14:textId="06C55A6A" w:rsidR="008D5139" w:rsidRPr="008D5139" w:rsidRDefault="008D5139" w:rsidP="0085533D">
      <w:pPr>
        <w:spacing w:after="160" w:line="360" w:lineRule="auto"/>
        <w:ind w:left="720"/>
        <w:rPr>
          <w:rFonts w:ascii="Times New Roman" w:hAnsi="Times New Roman" w:cs="Times New Roman"/>
        </w:rPr>
      </w:pPr>
      <w:r w:rsidRPr="008D5139">
        <w:rPr>
          <w:rFonts w:ascii="Times New Roman" w:hAnsi="Times New Roman" w:cs="Times New Roman"/>
        </w:rPr>
        <w:t>3.  Adding deterrence changes the sign of the immediate impact from negative to positive and improves the present value by about seven percent</w:t>
      </w:r>
      <w:r w:rsidR="005370C8">
        <w:rPr>
          <w:rFonts w:ascii="Times New Roman" w:hAnsi="Times New Roman" w:cs="Times New Roman"/>
        </w:rPr>
        <w:t xml:space="preserve"> compared to the direct plus multi-market model</w:t>
      </w:r>
      <w:r w:rsidRPr="008D5139">
        <w:rPr>
          <w:rFonts w:ascii="Times New Roman" w:hAnsi="Times New Roman" w:cs="Times New Roman"/>
        </w:rPr>
        <w:t xml:space="preserve">.  This relatively larger effect in the short run is because “deterrence” is a single year effect in that people must be “re-deterred” each year.  Consequently, the immediate effect is relatively </w:t>
      </w:r>
      <w:proofErr w:type="gramStart"/>
      <w:r w:rsidRPr="008D5139">
        <w:rPr>
          <w:rFonts w:ascii="Times New Roman" w:hAnsi="Times New Roman" w:cs="Times New Roman"/>
        </w:rPr>
        <w:t>large</w:t>
      </w:r>
      <w:proofErr w:type="gramEnd"/>
      <w:r w:rsidRPr="008D5139">
        <w:rPr>
          <w:rFonts w:ascii="Times New Roman" w:hAnsi="Times New Roman" w:cs="Times New Roman"/>
        </w:rPr>
        <w:t xml:space="preserve"> but its relative importance diminishes in the present value metric.</w:t>
      </w:r>
    </w:p>
    <w:p w14:paraId="5EC9C155" w14:textId="3216725F" w:rsidR="001452B1" w:rsidRDefault="008D5139" w:rsidP="0085533D">
      <w:pPr>
        <w:spacing w:after="160" w:line="360" w:lineRule="auto"/>
        <w:ind w:left="720"/>
        <w:rPr>
          <w:rFonts w:ascii="Times New Roman" w:hAnsi="Times New Roman" w:cs="Times New Roman"/>
        </w:rPr>
      </w:pPr>
      <w:r w:rsidRPr="008D5139">
        <w:rPr>
          <w:rFonts w:ascii="Times New Roman" w:hAnsi="Times New Roman" w:cs="Times New Roman"/>
        </w:rPr>
        <w:t xml:space="preserve">4.  Equity weighting:  </w:t>
      </w:r>
      <w:r w:rsidR="009E57CE">
        <w:rPr>
          <w:rFonts w:ascii="Times New Roman" w:hAnsi="Times New Roman" w:cs="Times New Roman"/>
        </w:rPr>
        <w:t>W</w:t>
      </w:r>
      <w:r w:rsidRPr="008D5139">
        <w:rPr>
          <w:rFonts w:ascii="Times New Roman" w:hAnsi="Times New Roman" w:cs="Times New Roman"/>
        </w:rPr>
        <w:t xml:space="preserve">eighting leads to the largest shift in the present value numbers among the metrics, a gain in present value per person of about 18 percent. </w:t>
      </w:r>
    </w:p>
    <w:p w14:paraId="182346D7" w14:textId="561E3AC3" w:rsidR="001E57B0" w:rsidRPr="00BA2888" w:rsidRDefault="008D5139" w:rsidP="00BA2888">
      <w:pPr>
        <w:spacing w:after="160" w:line="360" w:lineRule="auto"/>
        <w:ind w:left="720"/>
        <w:rPr>
          <w:rFonts w:ascii="Times New Roman" w:hAnsi="Times New Roman" w:cs="Times New Roman"/>
        </w:rPr>
      </w:pPr>
      <w:r w:rsidRPr="008D5139">
        <w:rPr>
          <w:rFonts w:ascii="Times New Roman" w:hAnsi="Times New Roman" w:cs="Times New Roman"/>
        </w:rPr>
        <w:t xml:space="preserve"> </w:t>
      </w:r>
      <w:r w:rsidR="001452B1">
        <w:rPr>
          <w:rFonts w:ascii="Times New Roman" w:hAnsi="Times New Roman" w:cs="Times New Roman"/>
        </w:rPr>
        <w:t xml:space="preserve">5. Residual expected value:  The unmanaged residual is substantial (not in Table 6).  The per-person expected </w:t>
      </w:r>
      <w:r w:rsidR="00BA2888">
        <w:rPr>
          <w:rFonts w:ascii="Times New Roman" w:hAnsi="Times New Roman" w:cs="Times New Roman"/>
        </w:rPr>
        <w:t xml:space="preserve">residual </w:t>
      </w:r>
      <w:r w:rsidR="001452B1">
        <w:rPr>
          <w:rFonts w:ascii="Times New Roman" w:hAnsi="Times New Roman" w:cs="Times New Roman"/>
        </w:rPr>
        <w:t xml:space="preserve">value in the base case is a cost of $ </w:t>
      </w:r>
      <w:r w:rsidR="00BA2888">
        <w:rPr>
          <w:rFonts w:ascii="Times New Roman" w:hAnsi="Times New Roman" w:cs="Times New Roman"/>
        </w:rPr>
        <w:t>103,306</w:t>
      </w:r>
      <w:r w:rsidR="001452B1">
        <w:rPr>
          <w:rFonts w:ascii="Times New Roman" w:hAnsi="Times New Roman" w:cs="Times New Roman"/>
        </w:rPr>
        <w:t>.  In other words, the cost of a person avoiding management is larger than the net benefit gained of those being managed</w:t>
      </w:r>
      <w:r w:rsidR="009E57CE">
        <w:rPr>
          <w:rFonts w:ascii="Times New Roman" w:hAnsi="Times New Roman" w:cs="Times New Roman"/>
        </w:rPr>
        <w:t xml:space="preserve"> but ultimately, more individuals are managed tha</w:t>
      </w:r>
      <w:r w:rsidR="00BA2888">
        <w:rPr>
          <w:rFonts w:ascii="Times New Roman" w:hAnsi="Times New Roman" w:cs="Times New Roman"/>
        </w:rPr>
        <w:t>n</w:t>
      </w:r>
      <w:r w:rsidR="009E57CE">
        <w:rPr>
          <w:rFonts w:ascii="Times New Roman" w:hAnsi="Times New Roman" w:cs="Times New Roman"/>
        </w:rPr>
        <w:t xml:space="preserve"> unmanaged.</w:t>
      </w:r>
      <w:bookmarkStart w:id="9" w:name="_Toc80602207"/>
    </w:p>
    <w:p w14:paraId="0EE1FF13" w14:textId="6B6E1C95" w:rsidR="008D5139" w:rsidRPr="008D5139" w:rsidRDefault="008D5139" w:rsidP="001F46E8">
      <w:pPr>
        <w:pStyle w:val="Heading1"/>
        <w:numPr>
          <w:ilvl w:val="1"/>
          <w:numId w:val="17"/>
        </w:numPr>
      </w:pPr>
      <w:r w:rsidRPr="008D5139">
        <w:lastRenderedPageBreak/>
        <w:t>Deco</w:t>
      </w:r>
      <w:r w:rsidR="009B02EB">
        <w:t>mposition: Outcomes</w:t>
      </w:r>
      <w:bookmarkEnd w:id="9"/>
    </w:p>
    <w:p w14:paraId="07463909" w14:textId="7730BED2"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 results presented in Table </w:t>
      </w:r>
      <w:r w:rsidR="00C949B2">
        <w:rPr>
          <w:rFonts w:ascii="Times New Roman" w:hAnsi="Times New Roman" w:cs="Times New Roman"/>
        </w:rPr>
        <w:t>6</w:t>
      </w:r>
      <w:r w:rsidRPr="008D5139">
        <w:rPr>
          <w:rFonts w:ascii="Times New Roman" w:hAnsi="Times New Roman" w:cs="Times New Roman"/>
        </w:rPr>
        <w:t xml:space="preserve"> aggregate</w:t>
      </w:r>
      <w:r w:rsidR="00CC4507">
        <w:rPr>
          <w:rFonts w:ascii="Times New Roman" w:hAnsi="Times New Roman" w:cs="Times New Roman"/>
        </w:rPr>
        <w:t xml:space="preserve"> impacts over</w:t>
      </w:r>
      <w:r w:rsidRPr="008D5139">
        <w:rPr>
          <w:rFonts w:ascii="Times New Roman" w:hAnsi="Times New Roman" w:cs="Times New Roman"/>
        </w:rPr>
        <w:t xml:space="preserve"> outcomes.  </w:t>
      </w:r>
      <w:r w:rsidR="00CC4507">
        <w:rPr>
          <w:rFonts w:ascii="Times New Roman" w:hAnsi="Times New Roman" w:cs="Times New Roman"/>
        </w:rPr>
        <w:t>Table 7</w:t>
      </w:r>
      <w:r w:rsidRPr="008D5139">
        <w:rPr>
          <w:rFonts w:ascii="Times New Roman" w:hAnsi="Times New Roman" w:cs="Times New Roman"/>
        </w:rPr>
        <w:t xml:space="preserve"> ranks the</w:t>
      </w:r>
      <w:r w:rsidR="00CC4507">
        <w:rPr>
          <w:rFonts w:ascii="Times New Roman" w:hAnsi="Times New Roman" w:cs="Times New Roman"/>
        </w:rPr>
        <w:t xml:space="preserve"> individual</w:t>
      </w:r>
      <w:r w:rsidRPr="008D5139">
        <w:rPr>
          <w:rFonts w:ascii="Times New Roman" w:hAnsi="Times New Roman" w:cs="Times New Roman"/>
        </w:rPr>
        <w:t xml:space="preserve"> outcomes by their </w:t>
      </w:r>
      <w:r w:rsidR="00CC4507">
        <w:rPr>
          <w:rFonts w:ascii="Times New Roman" w:hAnsi="Times New Roman" w:cs="Times New Roman"/>
        </w:rPr>
        <w:t>EV</w:t>
      </w:r>
      <w:r w:rsidRPr="008D5139">
        <w:rPr>
          <w:rFonts w:ascii="Times New Roman" w:hAnsi="Times New Roman" w:cs="Times New Roman"/>
        </w:rPr>
        <w:t xml:space="preserve"> per person for the base case</w:t>
      </w:r>
      <w:r w:rsidR="00CC4507">
        <w:rPr>
          <w:rFonts w:ascii="Times New Roman" w:hAnsi="Times New Roman" w:cs="Times New Roman"/>
        </w:rPr>
        <w:t xml:space="preserve">, the conditional value times its probability.  </w:t>
      </w:r>
      <w:r w:rsidRPr="008D5139">
        <w:rPr>
          <w:rFonts w:ascii="Times New Roman" w:hAnsi="Times New Roman" w:cs="Times New Roman"/>
        </w:rPr>
        <w:t>Hence a large conditional value can be small in expected value due to low probability (</w:t>
      </w:r>
      <w:proofErr w:type="gramStart"/>
      <w:r w:rsidRPr="008D5139">
        <w:rPr>
          <w:rFonts w:ascii="Times New Roman" w:hAnsi="Times New Roman" w:cs="Times New Roman"/>
        </w:rPr>
        <w:t>e.g.</w:t>
      </w:r>
      <w:proofErr w:type="gramEnd"/>
      <w:r w:rsidRPr="008D5139">
        <w:rPr>
          <w:rFonts w:ascii="Times New Roman" w:hAnsi="Times New Roman" w:cs="Times New Roman"/>
        </w:rPr>
        <w:t xml:space="preserve"> death), or a modest conditional value can be large if associated with high probability (e.g. removal of a non-criminal). </w:t>
      </w:r>
      <w:r w:rsidR="004934F7">
        <w:rPr>
          <w:rFonts w:ascii="Times New Roman" w:hAnsi="Times New Roman" w:cs="Times New Roman"/>
        </w:rPr>
        <w:t xml:space="preserve"> The residual EV</w:t>
      </w:r>
      <w:r w:rsidR="002927B2">
        <w:rPr>
          <w:rFonts w:ascii="Times New Roman" w:hAnsi="Times New Roman" w:cs="Times New Roman"/>
        </w:rPr>
        <w:t>s</w:t>
      </w:r>
      <w:r w:rsidR="004934F7">
        <w:rPr>
          <w:rFonts w:ascii="Times New Roman" w:hAnsi="Times New Roman" w:cs="Times New Roman"/>
        </w:rPr>
        <w:t xml:space="preserve"> at the bottom of the table are similar, the largest expected value cost is for a non-criminal Get Away as that has a high probability even if a medium conditional value</w:t>
      </w:r>
      <w:r w:rsidR="00377B1B">
        <w:rPr>
          <w:rStyle w:val="FootnoteReference"/>
          <w:rFonts w:ascii="Times New Roman" w:hAnsi="Times New Roman" w:cs="Times New Roman"/>
        </w:rPr>
        <w:footnoteReference w:id="15"/>
      </w:r>
      <w:r w:rsidR="004934F7">
        <w:rPr>
          <w:rFonts w:ascii="Times New Roman" w:hAnsi="Times New Roman" w:cs="Times New Roman"/>
        </w:rPr>
        <w:t>.</w:t>
      </w:r>
    </w:p>
    <w:p w14:paraId="239E0FBB" w14:textId="6E9AA1C5" w:rsidR="00E1382D" w:rsidRDefault="00E1382D" w:rsidP="0085533D">
      <w:pPr>
        <w:spacing w:line="360" w:lineRule="auto"/>
        <w:jc w:val="center"/>
        <w:rPr>
          <w:rFonts w:ascii="Times New Roman" w:hAnsi="Times New Roman" w:cs="Times New Roman"/>
        </w:rPr>
      </w:pPr>
      <w:r>
        <w:rPr>
          <w:rFonts w:ascii="Times New Roman" w:hAnsi="Times New Roman" w:cs="Times New Roman"/>
        </w:rPr>
        <w:t xml:space="preserve">Table </w:t>
      </w:r>
      <w:r w:rsidR="00CC4507">
        <w:rPr>
          <w:rFonts w:ascii="Times New Roman" w:hAnsi="Times New Roman" w:cs="Times New Roman"/>
        </w:rPr>
        <w:t>7</w:t>
      </w:r>
      <w:r>
        <w:rPr>
          <w:rFonts w:ascii="Times New Roman" w:hAnsi="Times New Roman" w:cs="Times New Roman"/>
        </w:rPr>
        <w:t xml:space="preserve">:  Ranked Expected Value </w:t>
      </w:r>
      <w:r w:rsidR="00CC4507">
        <w:rPr>
          <w:rFonts w:ascii="Times New Roman" w:hAnsi="Times New Roman" w:cs="Times New Roman"/>
        </w:rPr>
        <w:t>by Outcome</w:t>
      </w:r>
      <w:r>
        <w:rPr>
          <w:rFonts w:ascii="Times New Roman" w:hAnsi="Times New Roman" w:cs="Times New Roman"/>
        </w:rPr>
        <w:t xml:space="preserve"> per Person, 2017</w:t>
      </w:r>
    </w:p>
    <w:p w14:paraId="6F846E9F" w14:textId="506279AE" w:rsidR="00377B1B" w:rsidRPr="008D5139" w:rsidRDefault="008B09DD" w:rsidP="001C0533">
      <w:pPr>
        <w:spacing w:line="360" w:lineRule="auto"/>
        <w:jc w:val="center"/>
        <w:rPr>
          <w:rFonts w:ascii="Times New Roman" w:hAnsi="Times New Roman" w:cs="Times New Roman"/>
        </w:rPr>
      </w:pPr>
      <w:r w:rsidRPr="008B09DD">
        <w:rPr>
          <w:noProof/>
        </w:rPr>
        <w:drawing>
          <wp:inline distT="0" distB="0" distL="0" distR="0" wp14:anchorId="60D73609" wp14:editId="3E300E61">
            <wp:extent cx="4015740" cy="3848100"/>
            <wp:effectExtent l="0" t="0" r="3810" b="0"/>
            <wp:docPr id="5" name="Picture 5" descr="edited 9/5 for changes in some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ited 9/5 for changes in some tax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3848100"/>
                    </a:xfrm>
                    <a:prstGeom prst="rect">
                      <a:avLst/>
                    </a:prstGeom>
                    <a:noFill/>
                    <a:ln>
                      <a:noFill/>
                    </a:ln>
                  </pic:spPr>
                </pic:pic>
              </a:graphicData>
            </a:graphic>
          </wp:inline>
        </w:drawing>
      </w:r>
    </w:p>
    <w:p w14:paraId="178935D1" w14:textId="1F5F3F18" w:rsidR="008D5139" w:rsidRPr="008D5139" w:rsidRDefault="008D5139" w:rsidP="00F97A92">
      <w:pPr>
        <w:pStyle w:val="Heading2"/>
        <w:numPr>
          <w:ilvl w:val="1"/>
          <w:numId w:val="17"/>
        </w:numPr>
      </w:pPr>
      <w:bookmarkStart w:id="10" w:name="_Toc80602208"/>
      <w:r w:rsidRPr="008D5139">
        <w:lastRenderedPageBreak/>
        <w:t>Total value</w:t>
      </w:r>
      <w:bookmarkEnd w:id="10"/>
      <w:r w:rsidR="00883269">
        <w:t xml:space="preserve"> of the Managed and Unmanaged</w:t>
      </w:r>
    </w:p>
    <w:p w14:paraId="05E25E28" w14:textId="2BC245A9" w:rsid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Results that aggregate from the per person results of Table </w:t>
      </w:r>
      <w:r w:rsidR="00697A1D">
        <w:rPr>
          <w:rFonts w:ascii="Times New Roman" w:hAnsi="Times New Roman" w:cs="Times New Roman"/>
        </w:rPr>
        <w:t xml:space="preserve">6 </w:t>
      </w:r>
      <w:r w:rsidRPr="008D5139">
        <w:rPr>
          <w:rFonts w:ascii="Times New Roman" w:hAnsi="Times New Roman" w:cs="Times New Roman"/>
        </w:rPr>
        <w:t xml:space="preserve">can be informative for investment decisions.  Calibrating to the year 2017, with </w:t>
      </w:r>
      <w:r w:rsidR="00426486">
        <w:rPr>
          <w:rFonts w:ascii="Times New Roman" w:hAnsi="Times New Roman" w:cs="Times New Roman"/>
        </w:rPr>
        <w:t>about 620,000 cases</w:t>
      </w:r>
      <w:r w:rsidRPr="008D5139">
        <w:rPr>
          <w:rFonts w:ascii="Times New Roman" w:hAnsi="Times New Roman" w:cs="Times New Roman"/>
        </w:rPr>
        <w:t xml:space="preserve"> managed</w:t>
      </w:r>
      <w:r w:rsidRPr="008D5139">
        <w:rPr>
          <w:rFonts w:ascii="Times New Roman" w:hAnsi="Times New Roman" w:cs="Times New Roman"/>
          <w:vertAlign w:val="superscript"/>
        </w:rPr>
        <w:footnoteReference w:id="16"/>
      </w:r>
      <w:r w:rsidRPr="008D5139">
        <w:rPr>
          <w:rFonts w:ascii="Times New Roman" w:hAnsi="Times New Roman" w:cs="Times New Roman"/>
        </w:rPr>
        <w:t xml:space="preserve">, the </w:t>
      </w:r>
      <w:r w:rsidR="00426486">
        <w:rPr>
          <w:rFonts w:ascii="Times New Roman" w:hAnsi="Times New Roman" w:cs="Times New Roman"/>
        </w:rPr>
        <w:t xml:space="preserve">base case </w:t>
      </w:r>
      <w:r w:rsidRPr="008D5139">
        <w:rPr>
          <w:rFonts w:ascii="Times New Roman" w:hAnsi="Times New Roman" w:cs="Times New Roman"/>
        </w:rPr>
        <w:t xml:space="preserve">of </w:t>
      </w:r>
      <w:r w:rsidR="00426486">
        <w:rPr>
          <w:rFonts w:ascii="Times New Roman" w:hAnsi="Times New Roman" w:cs="Times New Roman"/>
        </w:rPr>
        <w:t xml:space="preserve">about </w:t>
      </w:r>
      <w:r w:rsidRPr="008D5139">
        <w:rPr>
          <w:rFonts w:ascii="Times New Roman" w:hAnsi="Times New Roman" w:cs="Times New Roman"/>
        </w:rPr>
        <w:t>$7</w:t>
      </w:r>
      <w:r w:rsidR="00697A1D">
        <w:rPr>
          <w:rFonts w:ascii="Times New Roman" w:hAnsi="Times New Roman" w:cs="Times New Roman"/>
        </w:rPr>
        <w:t>5</w:t>
      </w:r>
      <w:r w:rsidRPr="008D5139">
        <w:rPr>
          <w:rFonts w:ascii="Times New Roman" w:hAnsi="Times New Roman" w:cs="Times New Roman"/>
        </w:rPr>
        <w:t>,</w:t>
      </w:r>
      <w:r w:rsidR="00426486">
        <w:rPr>
          <w:rFonts w:ascii="Times New Roman" w:hAnsi="Times New Roman" w:cs="Times New Roman"/>
        </w:rPr>
        <w:t>0</w:t>
      </w:r>
      <w:r w:rsidRPr="008D5139">
        <w:rPr>
          <w:rFonts w:ascii="Times New Roman" w:hAnsi="Times New Roman" w:cs="Times New Roman"/>
        </w:rPr>
        <w:t>00 in expected value per person yields annual (PV) net benefits of $46.</w:t>
      </w:r>
      <w:r w:rsidR="00697A1D">
        <w:rPr>
          <w:rFonts w:ascii="Times New Roman" w:hAnsi="Times New Roman" w:cs="Times New Roman"/>
        </w:rPr>
        <w:t>6</w:t>
      </w:r>
      <w:r w:rsidRPr="008D5139">
        <w:rPr>
          <w:rFonts w:ascii="Times New Roman" w:hAnsi="Times New Roman" w:cs="Times New Roman"/>
        </w:rPr>
        <w:t xml:space="preserve"> billion (2017) dollars based on the number of cases in each category.  Incorporating equity effects yields annual net (PV) benefits of about $</w:t>
      </w:r>
      <w:r w:rsidR="00CB6588">
        <w:rPr>
          <w:rFonts w:ascii="Times New Roman" w:hAnsi="Times New Roman" w:cs="Times New Roman"/>
        </w:rPr>
        <w:t>5</w:t>
      </w:r>
      <w:r w:rsidR="00697A1D">
        <w:rPr>
          <w:rFonts w:ascii="Times New Roman" w:hAnsi="Times New Roman" w:cs="Times New Roman"/>
        </w:rPr>
        <w:t>5</w:t>
      </w:r>
      <w:r w:rsidR="00CB6588">
        <w:rPr>
          <w:rFonts w:ascii="Times New Roman" w:hAnsi="Times New Roman" w:cs="Times New Roman"/>
        </w:rPr>
        <w:t>.2</w:t>
      </w:r>
      <w:r w:rsidRPr="008D5139">
        <w:rPr>
          <w:rFonts w:ascii="Times New Roman" w:hAnsi="Times New Roman" w:cs="Times New Roman"/>
        </w:rPr>
        <w:t xml:space="preserve"> billion.</w:t>
      </w:r>
    </w:p>
    <w:p w14:paraId="3FB416DF" w14:textId="23CF7A16" w:rsidR="006C2AFF" w:rsidRPr="008D5139" w:rsidRDefault="00426486" w:rsidP="0085533D">
      <w:pPr>
        <w:spacing w:after="160" w:line="360" w:lineRule="auto"/>
        <w:rPr>
          <w:rFonts w:ascii="Times New Roman" w:hAnsi="Times New Roman" w:cs="Times New Roman"/>
        </w:rPr>
      </w:pPr>
      <w:r>
        <w:rPr>
          <w:rFonts w:ascii="Times New Roman" w:hAnsi="Times New Roman" w:cs="Times New Roman"/>
        </w:rPr>
        <w:t>For comparison, t</w:t>
      </w:r>
      <w:r w:rsidR="006C2AFF">
        <w:rPr>
          <w:rFonts w:ascii="Times New Roman" w:hAnsi="Times New Roman" w:cs="Times New Roman"/>
        </w:rPr>
        <w:t xml:space="preserve">he total </w:t>
      </w:r>
      <w:r w:rsidR="00DD6BEA">
        <w:rPr>
          <w:rFonts w:ascii="Times New Roman" w:hAnsi="Times New Roman" w:cs="Times New Roman"/>
        </w:rPr>
        <w:t xml:space="preserve">EPV </w:t>
      </w:r>
      <w:r w:rsidR="006C2AFF">
        <w:rPr>
          <w:rFonts w:ascii="Times New Roman" w:hAnsi="Times New Roman" w:cs="Times New Roman"/>
        </w:rPr>
        <w:t xml:space="preserve">for </w:t>
      </w:r>
      <w:r w:rsidR="00DD6BEA">
        <w:rPr>
          <w:rFonts w:ascii="Times New Roman" w:hAnsi="Times New Roman" w:cs="Times New Roman"/>
        </w:rPr>
        <w:t xml:space="preserve">a </w:t>
      </w:r>
      <w:r w:rsidR="00B4374F">
        <w:rPr>
          <w:rFonts w:ascii="Times New Roman" w:hAnsi="Times New Roman" w:cs="Times New Roman"/>
        </w:rPr>
        <w:t>one-year</w:t>
      </w:r>
      <w:r w:rsidR="00DD6BEA">
        <w:rPr>
          <w:rFonts w:ascii="Times New Roman" w:hAnsi="Times New Roman" w:cs="Times New Roman"/>
        </w:rPr>
        <w:t xml:space="preserve"> cohort of </w:t>
      </w:r>
      <w:r w:rsidR="00697A1D">
        <w:rPr>
          <w:rFonts w:ascii="Times New Roman" w:hAnsi="Times New Roman" w:cs="Times New Roman"/>
        </w:rPr>
        <w:t xml:space="preserve">the </w:t>
      </w:r>
      <w:r w:rsidR="006C2AFF">
        <w:rPr>
          <w:rFonts w:ascii="Times New Roman" w:hAnsi="Times New Roman" w:cs="Times New Roman"/>
        </w:rPr>
        <w:t xml:space="preserve">unmanaged </w:t>
      </w:r>
      <w:r w:rsidR="00697A1D">
        <w:rPr>
          <w:rFonts w:ascii="Times New Roman" w:hAnsi="Times New Roman" w:cs="Times New Roman"/>
        </w:rPr>
        <w:t xml:space="preserve">(residual) </w:t>
      </w:r>
      <w:r w:rsidR="006C2AFF">
        <w:rPr>
          <w:rFonts w:ascii="Times New Roman" w:hAnsi="Times New Roman" w:cs="Times New Roman"/>
        </w:rPr>
        <w:t xml:space="preserve">cases is </w:t>
      </w:r>
      <w:r w:rsidR="00DD6BEA">
        <w:rPr>
          <w:rFonts w:ascii="Times New Roman" w:hAnsi="Times New Roman" w:cs="Times New Roman"/>
        </w:rPr>
        <w:t>$2</w:t>
      </w:r>
      <w:r w:rsidR="00697A1D">
        <w:rPr>
          <w:rFonts w:ascii="Times New Roman" w:hAnsi="Times New Roman" w:cs="Times New Roman"/>
        </w:rPr>
        <w:t>3.7</w:t>
      </w:r>
      <w:r w:rsidR="00DD6BEA">
        <w:rPr>
          <w:rFonts w:ascii="Times New Roman" w:hAnsi="Times New Roman" w:cs="Times New Roman"/>
        </w:rPr>
        <w:t xml:space="preserve"> billion</w:t>
      </w:r>
      <w:r w:rsidR="006C2AFF">
        <w:rPr>
          <w:rFonts w:ascii="Times New Roman" w:hAnsi="Times New Roman" w:cs="Times New Roman"/>
        </w:rPr>
        <w:t>,</w:t>
      </w:r>
      <w:r w:rsidR="008664AE">
        <w:rPr>
          <w:rFonts w:ascii="Times New Roman" w:hAnsi="Times New Roman" w:cs="Times New Roman"/>
        </w:rPr>
        <w:t xml:space="preserve"> 51</w:t>
      </w:r>
      <w:r w:rsidR="006C2AFF">
        <w:rPr>
          <w:rFonts w:ascii="Times New Roman" w:hAnsi="Times New Roman" w:cs="Times New Roman"/>
        </w:rPr>
        <w:t xml:space="preserve"> percent</w:t>
      </w:r>
      <w:r w:rsidR="00DD6BEA">
        <w:rPr>
          <w:rFonts w:ascii="Times New Roman" w:hAnsi="Times New Roman" w:cs="Times New Roman"/>
        </w:rPr>
        <w:t xml:space="preserve"> the size of the net benefits</w:t>
      </w:r>
      <w:r w:rsidR="008664AE">
        <w:rPr>
          <w:rFonts w:ascii="Times New Roman" w:hAnsi="Times New Roman" w:cs="Times New Roman"/>
        </w:rPr>
        <w:t xml:space="preserve"> of the managed cases</w:t>
      </w:r>
      <w:r w:rsidR="00DD6BEA">
        <w:rPr>
          <w:rFonts w:ascii="Times New Roman" w:hAnsi="Times New Roman" w:cs="Times New Roman"/>
        </w:rPr>
        <w:t xml:space="preserve">.  Like the analogy to residual pollution, there </w:t>
      </w:r>
      <w:r w:rsidR="008664AE">
        <w:rPr>
          <w:rFonts w:ascii="Times New Roman" w:hAnsi="Times New Roman" w:cs="Times New Roman"/>
        </w:rPr>
        <w:t>are</w:t>
      </w:r>
      <w:r w:rsidR="00DD6BEA">
        <w:rPr>
          <w:rFonts w:ascii="Times New Roman" w:hAnsi="Times New Roman" w:cs="Times New Roman"/>
        </w:rPr>
        <w:t xml:space="preserve"> substantial </w:t>
      </w:r>
      <w:r w:rsidR="008664AE">
        <w:rPr>
          <w:rFonts w:ascii="Times New Roman" w:hAnsi="Times New Roman" w:cs="Times New Roman"/>
        </w:rPr>
        <w:t>avoided costs to be potentially recorded as benefits if an improvement occurs at the border or the interior.</w:t>
      </w:r>
    </w:p>
    <w:p w14:paraId="232D9FB4" w14:textId="764B7865" w:rsidR="008D5139" w:rsidRPr="008D5139" w:rsidRDefault="00367A9D" w:rsidP="0085533D">
      <w:pPr>
        <w:spacing w:after="160" w:line="360" w:lineRule="auto"/>
        <w:rPr>
          <w:rFonts w:ascii="Times New Roman" w:hAnsi="Times New Roman" w:cs="Times New Roman"/>
        </w:rPr>
      </w:pPr>
      <w:r>
        <w:rPr>
          <w:rFonts w:ascii="Times New Roman" w:hAnsi="Times New Roman" w:cs="Times New Roman"/>
        </w:rPr>
        <w:t>It is worth noting that</w:t>
      </w:r>
      <w:r w:rsidR="008D5139" w:rsidRPr="008D5139">
        <w:rPr>
          <w:rFonts w:ascii="Times New Roman" w:hAnsi="Times New Roman" w:cs="Times New Roman"/>
        </w:rPr>
        <w:t xml:space="preserve"> the net present value</w:t>
      </w:r>
      <w:r w:rsidR="00426486">
        <w:rPr>
          <w:rFonts w:ascii="Times New Roman" w:hAnsi="Times New Roman" w:cs="Times New Roman"/>
        </w:rPr>
        <w:t xml:space="preserve"> of one cohort</w:t>
      </w:r>
      <w:r w:rsidR="008D5139" w:rsidRPr="008D5139">
        <w:rPr>
          <w:rFonts w:ascii="Times New Roman" w:hAnsi="Times New Roman" w:cs="Times New Roman"/>
        </w:rPr>
        <w:t xml:space="preserve"> does not represent the </w:t>
      </w:r>
      <w:r w:rsidR="002927B2" w:rsidRPr="008D5139">
        <w:rPr>
          <w:rFonts w:ascii="Times New Roman" w:hAnsi="Times New Roman" w:cs="Times New Roman"/>
        </w:rPr>
        <w:t>lifetime</w:t>
      </w:r>
      <w:r w:rsidR="008D5139" w:rsidRPr="008D5139">
        <w:rPr>
          <w:rFonts w:ascii="Times New Roman" w:hAnsi="Times New Roman" w:cs="Times New Roman"/>
        </w:rPr>
        <w:t xml:space="preserve"> of a technology.  </w:t>
      </w:r>
      <w:r w:rsidR="008664AE">
        <w:rPr>
          <w:rFonts w:ascii="Times New Roman" w:hAnsi="Times New Roman" w:cs="Times New Roman"/>
        </w:rPr>
        <w:t xml:space="preserve">There are likely multiple annual cohorts </w:t>
      </w:r>
      <w:proofErr w:type="spellStart"/>
      <w:r w:rsidR="008664AE">
        <w:rPr>
          <w:rFonts w:ascii="Times New Roman" w:hAnsi="Times New Roman" w:cs="Times New Roman"/>
        </w:rPr>
        <w:t>affectd</w:t>
      </w:r>
      <w:proofErr w:type="spellEnd"/>
      <w:r w:rsidR="008664AE">
        <w:rPr>
          <w:rFonts w:ascii="Times New Roman" w:hAnsi="Times New Roman" w:cs="Times New Roman"/>
        </w:rPr>
        <w:t xml:space="preserve"> by a new technology.  </w:t>
      </w:r>
      <w:r w:rsidR="008D5139" w:rsidRPr="008D5139">
        <w:rPr>
          <w:rFonts w:ascii="Times New Roman" w:hAnsi="Times New Roman" w:cs="Times New Roman"/>
        </w:rPr>
        <w:t xml:space="preserve">For </w:t>
      </w:r>
      <w:r w:rsidR="008D739D">
        <w:rPr>
          <w:rFonts w:ascii="Times New Roman" w:hAnsi="Times New Roman" w:cs="Times New Roman"/>
        </w:rPr>
        <w:t xml:space="preserve">example, </w:t>
      </w:r>
      <w:r w:rsidR="008D5139" w:rsidRPr="008D5139">
        <w:rPr>
          <w:rFonts w:ascii="Times New Roman" w:hAnsi="Times New Roman" w:cs="Times New Roman"/>
        </w:rPr>
        <w:t xml:space="preserve">the </w:t>
      </w:r>
      <w:r w:rsidR="002927B2" w:rsidRPr="008D5139">
        <w:rPr>
          <w:rFonts w:ascii="Times New Roman" w:hAnsi="Times New Roman" w:cs="Times New Roman"/>
        </w:rPr>
        <w:t>lifetime</w:t>
      </w:r>
      <w:r w:rsidR="008D5139" w:rsidRPr="008D5139">
        <w:rPr>
          <w:rFonts w:ascii="Times New Roman" w:hAnsi="Times New Roman" w:cs="Times New Roman"/>
        </w:rPr>
        <w:t xml:space="preserve"> of the technology might be 20 years, for other technologies a shorter time.  </w:t>
      </w:r>
      <w:r w:rsidR="00426486">
        <w:rPr>
          <w:rFonts w:ascii="Times New Roman" w:hAnsi="Times New Roman" w:cs="Times New Roman"/>
        </w:rPr>
        <w:t xml:space="preserve">While there are alternatives on how to treat salvage value beyond an illustrative 20 years, if one truncates </w:t>
      </w:r>
      <w:r w:rsidR="008D739D">
        <w:rPr>
          <w:rFonts w:ascii="Times New Roman" w:hAnsi="Times New Roman" w:cs="Times New Roman"/>
        </w:rPr>
        <w:t xml:space="preserve">the </w:t>
      </w:r>
      <w:r w:rsidR="00426486">
        <w:rPr>
          <w:rFonts w:ascii="Times New Roman" w:hAnsi="Times New Roman" w:cs="Times New Roman"/>
        </w:rPr>
        <w:t xml:space="preserve">net benefits of </w:t>
      </w:r>
      <w:r w:rsidR="008D739D">
        <w:rPr>
          <w:rFonts w:ascii="Times New Roman" w:hAnsi="Times New Roman" w:cs="Times New Roman"/>
        </w:rPr>
        <w:t xml:space="preserve">late </w:t>
      </w:r>
      <w:r w:rsidR="00426486">
        <w:rPr>
          <w:rFonts w:ascii="Times New Roman" w:hAnsi="Times New Roman" w:cs="Times New Roman"/>
        </w:rPr>
        <w:t>cohort</w:t>
      </w:r>
      <w:r w:rsidR="008D739D">
        <w:rPr>
          <w:rFonts w:ascii="Times New Roman" w:hAnsi="Times New Roman" w:cs="Times New Roman"/>
        </w:rPr>
        <w:t xml:space="preserve"> that</w:t>
      </w:r>
      <w:r w:rsidR="00426486">
        <w:rPr>
          <w:rFonts w:ascii="Times New Roman" w:hAnsi="Times New Roman" w:cs="Times New Roman"/>
        </w:rPr>
        <w:t xml:space="preserve"> extend beyond 20 years, </w:t>
      </w:r>
      <w:r w:rsidR="002927B2">
        <w:rPr>
          <w:rFonts w:ascii="Times New Roman" w:hAnsi="Times New Roman" w:cs="Times New Roman"/>
        </w:rPr>
        <w:t xml:space="preserve">it </w:t>
      </w:r>
      <w:r w:rsidR="008D5139" w:rsidRPr="008D5139">
        <w:rPr>
          <w:rFonts w:ascii="Times New Roman" w:hAnsi="Times New Roman" w:cs="Times New Roman"/>
        </w:rPr>
        <w:t>can be shown that the resulting 20-year present value is about 9.5 times the initial, single year present value</w:t>
      </w:r>
      <w:r w:rsidR="00426486">
        <w:rPr>
          <w:rFonts w:ascii="Times New Roman" w:hAnsi="Times New Roman" w:cs="Times New Roman"/>
        </w:rPr>
        <w:t xml:space="preserve">.  </w:t>
      </w:r>
      <w:r w:rsidR="008D5139" w:rsidRPr="008D5139">
        <w:rPr>
          <w:rFonts w:ascii="Times New Roman" w:hAnsi="Times New Roman" w:cs="Times New Roman"/>
        </w:rPr>
        <w:t xml:space="preserve">A different approach is to include the </w:t>
      </w:r>
      <w:r w:rsidR="008D739D">
        <w:rPr>
          <w:rFonts w:ascii="Times New Roman" w:hAnsi="Times New Roman" w:cs="Times New Roman"/>
        </w:rPr>
        <w:t xml:space="preserve">entire </w:t>
      </w:r>
      <w:r w:rsidR="008D5139" w:rsidRPr="008D5139">
        <w:rPr>
          <w:rFonts w:ascii="Times New Roman" w:hAnsi="Times New Roman" w:cs="Times New Roman"/>
        </w:rPr>
        <w:t>future value that would lead to a higher life-cycle value</w:t>
      </w:r>
      <w:r w:rsidR="008D739D">
        <w:rPr>
          <w:rFonts w:ascii="Times New Roman" w:hAnsi="Times New Roman" w:cs="Times New Roman"/>
        </w:rPr>
        <w:t>.  These</w:t>
      </w:r>
      <w:r w:rsidR="002927B2">
        <w:rPr>
          <w:rFonts w:ascii="Times New Roman" w:hAnsi="Times New Roman" w:cs="Times New Roman"/>
        </w:rPr>
        <w:t xml:space="preserve"> </w:t>
      </w:r>
      <w:r w:rsidR="008D739D">
        <w:rPr>
          <w:rFonts w:ascii="Times New Roman" w:hAnsi="Times New Roman" w:cs="Times New Roman"/>
        </w:rPr>
        <w:t xml:space="preserve">technological </w:t>
      </w:r>
      <w:r w:rsidR="002927B2">
        <w:rPr>
          <w:rFonts w:ascii="Times New Roman" w:hAnsi="Times New Roman" w:cs="Times New Roman"/>
        </w:rPr>
        <w:t>lifetime impacts are not included here.</w:t>
      </w:r>
    </w:p>
    <w:p w14:paraId="28548945" w14:textId="2EDDFC07" w:rsidR="008D5139" w:rsidRPr="008D5139" w:rsidRDefault="009B02EB" w:rsidP="0085533D">
      <w:pPr>
        <w:pStyle w:val="Heading2"/>
        <w:numPr>
          <w:ilvl w:val="1"/>
          <w:numId w:val="17"/>
        </w:numPr>
      </w:pPr>
      <w:bookmarkStart w:id="11" w:name="_Toc80602209"/>
      <w:r>
        <w:t xml:space="preserve">Decomposition: </w:t>
      </w:r>
      <w:r w:rsidR="008D5139" w:rsidRPr="008D5139">
        <w:t>Benefit and cost categories</w:t>
      </w:r>
      <w:bookmarkEnd w:id="11"/>
    </w:p>
    <w:p w14:paraId="4E22DD7A" w14:textId="3F322B97" w:rsidR="008D5139" w:rsidRPr="008D5139" w:rsidRDefault="005E73A4" w:rsidP="0085533D">
      <w:pPr>
        <w:spacing w:after="160" w:line="360" w:lineRule="auto"/>
        <w:rPr>
          <w:rFonts w:ascii="Times New Roman" w:hAnsi="Times New Roman" w:cs="Times New Roman"/>
        </w:rPr>
      </w:pPr>
      <w:r>
        <w:rPr>
          <w:rFonts w:ascii="Times New Roman" w:hAnsi="Times New Roman" w:cs="Times New Roman"/>
        </w:rPr>
        <w:t>P</w:t>
      </w:r>
      <w:r w:rsidR="008D5139" w:rsidRPr="008D5139">
        <w:rPr>
          <w:rFonts w:ascii="Times New Roman" w:hAnsi="Times New Roman" w:cs="Times New Roman"/>
        </w:rPr>
        <w:t xml:space="preserve">resenting results in a BCA format provides complementary information on the value of impact categories and their importance.  </w:t>
      </w:r>
      <w:r>
        <w:rPr>
          <w:rFonts w:ascii="Times New Roman" w:hAnsi="Times New Roman" w:cs="Times New Roman"/>
        </w:rPr>
        <w:t xml:space="preserve">Aggregating results for impacts </w:t>
      </w:r>
      <w:r>
        <w:rPr>
          <w:rFonts w:ascii="Times New Roman" w:hAnsi="Times New Roman" w:cs="Times New Roman"/>
        </w:rPr>
        <w:lastRenderedPageBreak/>
        <w:t xml:space="preserve">rather </w:t>
      </w:r>
      <w:r w:rsidR="0023517F">
        <w:rPr>
          <w:rFonts w:ascii="Times New Roman" w:hAnsi="Times New Roman" w:cs="Times New Roman"/>
        </w:rPr>
        <w:t xml:space="preserve">than </w:t>
      </w:r>
      <w:r>
        <w:rPr>
          <w:rFonts w:ascii="Times New Roman" w:hAnsi="Times New Roman" w:cs="Times New Roman"/>
        </w:rPr>
        <w:t xml:space="preserve">outputs for the </w:t>
      </w:r>
      <w:r w:rsidR="008D5139" w:rsidRPr="008D5139">
        <w:rPr>
          <w:rFonts w:ascii="Times New Roman" w:hAnsi="Times New Roman" w:cs="Times New Roman"/>
        </w:rPr>
        <w:t xml:space="preserve">base metric (Direct, Multi-Market and Deterrence) yields the benefit and cost categories in Table </w:t>
      </w:r>
      <w:r>
        <w:rPr>
          <w:rFonts w:ascii="Times New Roman" w:hAnsi="Times New Roman" w:cs="Times New Roman"/>
        </w:rPr>
        <w:t>8</w:t>
      </w:r>
      <w:r w:rsidR="008D5139" w:rsidRPr="008D5139">
        <w:rPr>
          <w:rFonts w:ascii="Times New Roman" w:hAnsi="Times New Roman" w:cs="Times New Roman"/>
        </w:rPr>
        <w:t xml:space="preserve">.  The bottom-line net benefit </w:t>
      </w:r>
      <w:r>
        <w:rPr>
          <w:rFonts w:ascii="Times New Roman" w:hAnsi="Times New Roman" w:cs="Times New Roman"/>
        </w:rPr>
        <w:t xml:space="preserve">per person </w:t>
      </w:r>
      <w:r w:rsidR="008D5139" w:rsidRPr="008D5139">
        <w:rPr>
          <w:rFonts w:ascii="Times New Roman" w:hAnsi="Times New Roman" w:cs="Times New Roman"/>
        </w:rPr>
        <w:t xml:space="preserve">is exactly equal to the </w:t>
      </w:r>
      <w:r w:rsidR="00367A9D">
        <w:rPr>
          <w:rFonts w:ascii="Times New Roman" w:hAnsi="Times New Roman" w:cs="Times New Roman"/>
        </w:rPr>
        <w:t>outcome-based</w:t>
      </w:r>
      <w:r>
        <w:rPr>
          <w:rFonts w:ascii="Times New Roman" w:hAnsi="Times New Roman" w:cs="Times New Roman"/>
        </w:rPr>
        <w:t xml:space="preserve"> value </w:t>
      </w:r>
      <w:r w:rsidR="008D5139" w:rsidRPr="008D5139">
        <w:rPr>
          <w:rFonts w:ascii="Times New Roman" w:hAnsi="Times New Roman" w:cs="Times New Roman"/>
        </w:rPr>
        <w:t xml:space="preserve">from Table </w:t>
      </w:r>
      <w:r w:rsidR="00C949B2">
        <w:rPr>
          <w:rFonts w:ascii="Times New Roman" w:hAnsi="Times New Roman" w:cs="Times New Roman"/>
        </w:rPr>
        <w:t>6</w:t>
      </w:r>
      <w:r w:rsidR="00367A9D">
        <w:rPr>
          <w:rFonts w:ascii="Times New Roman" w:hAnsi="Times New Roman" w:cs="Times New Roman"/>
        </w:rPr>
        <w:t>;</w:t>
      </w:r>
      <w:r>
        <w:rPr>
          <w:rFonts w:ascii="Times New Roman" w:hAnsi="Times New Roman" w:cs="Times New Roman"/>
        </w:rPr>
        <w:t xml:space="preserve"> $</w:t>
      </w:r>
      <w:r w:rsidR="0023517F">
        <w:rPr>
          <w:rFonts w:ascii="Times New Roman" w:hAnsi="Times New Roman" w:cs="Times New Roman"/>
        </w:rPr>
        <w:t>74,272</w:t>
      </w:r>
      <w:r>
        <w:rPr>
          <w:rFonts w:ascii="Times New Roman" w:hAnsi="Times New Roman" w:cs="Times New Roman"/>
        </w:rPr>
        <w:t>.</w:t>
      </w:r>
    </w:p>
    <w:p w14:paraId="1FFCF58B" w14:textId="062C5EF4" w:rsidR="00671D6D"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This alternative breakdown informs some of the more contentious debates </w:t>
      </w:r>
      <w:r w:rsidR="005E73A4">
        <w:rPr>
          <w:rFonts w:ascii="Times New Roman" w:hAnsi="Times New Roman" w:cs="Times New Roman"/>
        </w:rPr>
        <w:t>surrounding</w:t>
      </w:r>
      <w:r w:rsidRPr="008D5139">
        <w:rPr>
          <w:rFonts w:ascii="Times New Roman" w:hAnsi="Times New Roman" w:cs="Times New Roman"/>
        </w:rPr>
        <w:t xml:space="preserve"> border management.  On the benefits side, the largest benefit category </w:t>
      </w:r>
      <w:r w:rsidR="00671D6D">
        <w:rPr>
          <w:rFonts w:ascii="Times New Roman" w:hAnsi="Times New Roman" w:cs="Times New Roman"/>
        </w:rPr>
        <w:t>is avoided</w:t>
      </w:r>
      <w:r w:rsidRPr="008D5139">
        <w:rPr>
          <w:rFonts w:ascii="Times New Roman" w:hAnsi="Times New Roman" w:cs="Times New Roman"/>
        </w:rPr>
        <w:t xml:space="preserve"> Federal, State and Local fiscal costs as shown in Table </w:t>
      </w:r>
      <w:r w:rsidR="00671D6D">
        <w:rPr>
          <w:rFonts w:ascii="Times New Roman" w:hAnsi="Times New Roman" w:cs="Times New Roman"/>
        </w:rPr>
        <w:t>8</w:t>
      </w:r>
      <w:r w:rsidRPr="008D5139">
        <w:rPr>
          <w:rFonts w:ascii="Times New Roman" w:hAnsi="Times New Roman" w:cs="Times New Roman"/>
        </w:rPr>
        <w:t>.  The next largest benefit accrues to successful asylees based on their income and improved security.  The indirect effect on native born unskilled labor resulting from removing potential immigrant labor is also a significant benefit while drug and human trafficking benefits are relatively small in expected value.  Distant deterrence is a mid-sized benefit.  Total expected benefits per person are about $11</w:t>
      </w:r>
      <w:r w:rsidR="0023517F">
        <w:rPr>
          <w:rFonts w:ascii="Times New Roman" w:hAnsi="Times New Roman" w:cs="Times New Roman"/>
        </w:rPr>
        <w:t>3</w:t>
      </w:r>
      <w:r w:rsidRPr="008D5139">
        <w:rPr>
          <w:rFonts w:ascii="Times New Roman" w:hAnsi="Times New Roman" w:cs="Times New Roman"/>
        </w:rPr>
        <w:t>,000.</w:t>
      </w:r>
    </w:p>
    <w:p w14:paraId="75E82EC0" w14:textId="66356D60" w:rsidR="0023517F" w:rsidRDefault="008D5139" w:rsidP="0023517F">
      <w:pPr>
        <w:spacing w:after="160" w:line="360" w:lineRule="auto"/>
        <w:jc w:val="center"/>
        <w:rPr>
          <w:rFonts w:ascii="Times New Roman" w:hAnsi="Times New Roman" w:cs="Times New Roman"/>
        </w:rPr>
      </w:pPr>
      <w:r w:rsidRPr="008D5139">
        <w:rPr>
          <w:rFonts w:ascii="Times New Roman" w:hAnsi="Times New Roman" w:cs="Times New Roman"/>
        </w:rPr>
        <w:t xml:space="preserve">Table </w:t>
      </w:r>
      <w:r w:rsidR="005E73A4">
        <w:rPr>
          <w:rFonts w:ascii="Times New Roman" w:hAnsi="Times New Roman" w:cs="Times New Roman"/>
        </w:rPr>
        <w:t>8</w:t>
      </w:r>
      <w:r w:rsidRPr="008D5139">
        <w:rPr>
          <w:rFonts w:ascii="Times New Roman" w:hAnsi="Times New Roman" w:cs="Times New Roman"/>
        </w:rPr>
        <w:t xml:space="preserve">:  BCA </w:t>
      </w:r>
      <w:r w:rsidR="00D74F2E">
        <w:rPr>
          <w:rFonts w:ascii="Times New Roman" w:hAnsi="Times New Roman" w:cs="Times New Roman"/>
        </w:rPr>
        <w:t>format</w:t>
      </w:r>
      <w:r w:rsidRPr="008D5139">
        <w:rPr>
          <w:rFonts w:ascii="Times New Roman" w:hAnsi="Times New Roman" w:cs="Times New Roman"/>
        </w:rPr>
        <w:t xml:space="preserve"> of results by impact category, per person expected </w:t>
      </w:r>
      <w:r w:rsidR="00D74F2E">
        <w:rPr>
          <w:rFonts w:ascii="Times New Roman" w:hAnsi="Times New Roman" w:cs="Times New Roman"/>
        </w:rPr>
        <w:t>PV</w:t>
      </w:r>
    </w:p>
    <w:p w14:paraId="7A7F7817" w14:textId="38426550" w:rsidR="0023517F" w:rsidRDefault="0023517F" w:rsidP="0026249F">
      <w:pPr>
        <w:spacing w:after="160" w:line="360" w:lineRule="auto"/>
        <w:jc w:val="center"/>
        <w:rPr>
          <w:rFonts w:ascii="Times New Roman" w:hAnsi="Times New Roman" w:cs="Times New Roman"/>
        </w:rPr>
      </w:pPr>
      <w:r w:rsidRPr="0023517F">
        <w:rPr>
          <w:noProof/>
        </w:rPr>
        <w:drawing>
          <wp:inline distT="0" distB="0" distL="0" distR="0" wp14:anchorId="1F2F62C9" wp14:editId="56DB5B17">
            <wp:extent cx="4511040" cy="3482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040" cy="3482340"/>
                    </a:xfrm>
                    <a:prstGeom prst="rect">
                      <a:avLst/>
                    </a:prstGeom>
                    <a:noFill/>
                    <a:ln>
                      <a:noFill/>
                    </a:ln>
                  </pic:spPr>
                </pic:pic>
              </a:graphicData>
            </a:graphic>
          </wp:inline>
        </w:drawing>
      </w:r>
    </w:p>
    <w:p w14:paraId="12BABC82" w14:textId="426E8CB1" w:rsidR="008D5139" w:rsidRPr="008D5139" w:rsidRDefault="00671D6D" w:rsidP="0085533D">
      <w:pPr>
        <w:spacing w:after="160" w:line="360" w:lineRule="auto"/>
        <w:rPr>
          <w:rFonts w:ascii="Times New Roman" w:hAnsi="Times New Roman" w:cs="Times New Roman"/>
        </w:rPr>
      </w:pPr>
      <w:r>
        <w:rPr>
          <w:rFonts w:ascii="Times New Roman" w:hAnsi="Times New Roman" w:cs="Times New Roman"/>
        </w:rPr>
        <w:lastRenderedPageBreak/>
        <w:t>Regarding costs, t</w:t>
      </w:r>
      <w:r w:rsidR="008D5139" w:rsidRPr="008D5139">
        <w:rPr>
          <w:rFonts w:ascii="Times New Roman" w:hAnsi="Times New Roman" w:cs="Times New Roman"/>
        </w:rPr>
        <w:t xml:space="preserve">he present value of taxes lost is the largest cost item, an offsetting item to the benefits from fiscal costs avoided.   The costs of border operations and processing are </w:t>
      </w:r>
      <w:r w:rsidR="005575B1">
        <w:rPr>
          <w:rFonts w:ascii="Times New Roman" w:hAnsi="Times New Roman" w:cs="Times New Roman"/>
        </w:rPr>
        <w:t>somewhat smaller</w:t>
      </w:r>
      <w:r w:rsidR="008D5139" w:rsidRPr="008D5139">
        <w:rPr>
          <w:rFonts w:ascii="Times New Roman" w:hAnsi="Times New Roman" w:cs="Times New Roman"/>
        </w:rPr>
        <w:t>.  Also, somewhat larger than the benefits to native born labor from managing the border, are the indirect costs to owners of capital and consumers whose costs are higher with less immigrant labor.  The equality of these two indirect effects is by assumption of relative supply and demand elasticities that define the incidence of price changes.  The expected mortality costs of those trying to cross the border is relatively small, in part due to the low probability</w:t>
      </w:r>
      <w:r>
        <w:rPr>
          <w:rFonts w:ascii="Times New Roman" w:hAnsi="Times New Roman" w:cs="Times New Roman"/>
        </w:rPr>
        <w:t xml:space="preserve"> but </w:t>
      </w:r>
      <w:r w:rsidR="008D5139" w:rsidRPr="008D5139">
        <w:rPr>
          <w:rFonts w:ascii="Times New Roman" w:hAnsi="Times New Roman" w:cs="Times New Roman"/>
        </w:rPr>
        <w:t>also the lower valuation placed on foreign rather than US lives.  Finally, environmental costs appear small, primarily due to the limited impact that is included, only that of trash along migrant trails in the US.  However, some technologies may have a larger environmental impact, such as building a wall, and so this category remains as a potentially important placeholder.  Total costs per person are about $3</w:t>
      </w:r>
      <w:r w:rsidR="005575B1">
        <w:rPr>
          <w:rFonts w:ascii="Times New Roman" w:hAnsi="Times New Roman" w:cs="Times New Roman"/>
        </w:rPr>
        <w:t>8</w:t>
      </w:r>
      <w:r w:rsidR="008D5139" w:rsidRPr="008D5139">
        <w:rPr>
          <w:rFonts w:ascii="Times New Roman" w:hAnsi="Times New Roman" w:cs="Times New Roman"/>
        </w:rPr>
        <w:t xml:space="preserve">,000 leading to net benefits of the current system of </w:t>
      </w:r>
      <w:r w:rsidR="00367A9D" w:rsidRPr="008D5139">
        <w:rPr>
          <w:rFonts w:ascii="Times New Roman" w:hAnsi="Times New Roman" w:cs="Times New Roman"/>
        </w:rPr>
        <w:t>$</w:t>
      </w:r>
      <w:r w:rsidR="00367A9D">
        <w:rPr>
          <w:rFonts w:ascii="Times New Roman" w:hAnsi="Times New Roman" w:cs="Times New Roman"/>
        </w:rPr>
        <w:t>7</w:t>
      </w:r>
      <w:r w:rsidR="005575B1">
        <w:rPr>
          <w:rFonts w:ascii="Times New Roman" w:hAnsi="Times New Roman" w:cs="Times New Roman"/>
        </w:rPr>
        <w:t>5,272</w:t>
      </w:r>
      <w:r w:rsidR="00367A9D">
        <w:rPr>
          <w:rFonts w:ascii="Times New Roman" w:hAnsi="Times New Roman" w:cs="Times New Roman"/>
        </w:rPr>
        <w:t>:</w:t>
      </w:r>
      <w:r w:rsidR="008D5139" w:rsidRPr="008D5139">
        <w:rPr>
          <w:rFonts w:ascii="Times New Roman" w:hAnsi="Times New Roman" w:cs="Times New Roman"/>
        </w:rPr>
        <w:t xml:space="preserve"> the same as the</w:t>
      </w:r>
      <w:r>
        <w:rPr>
          <w:rFonts w:ascii="Times New Roman" w:hAnsi="Times New Roman" w:cs="Times New Roman"/>
        </w:rPr>
        <w:t xml:space="preserve"> </w:t>
      </w:r>
      <w:r w:rsidR="005575B1">
        <w:rPr>
          <w:rFonts w:ascii="Times New Roman" w:hAnsi="Times New Roman" w:cs="Times New Roman"/>
        </w:rPr>
        <w:t xml:space="preserve">outcome based </w:t>
      </w:r>
      <w:r w:rsidR="00832364">
        <w:rPr>
          <w:rFonts w:ascii="Times New Roman" w:hAnsi="Times New Roman" w:cs="Times New Roman"/>
        </w:rPr>
        <w:t>DA</w:t>
      </w:r>
      <w:r w:rsidR="008D5139" w:rsidRPr="008D5139">
        <w:rPr>
          <w:rFonts w:ascii="Times New Roman" w:hAnsi="Times New Roman" w:cs="Times New Roman"/>
        </w:rPr>
        <w:t xml:space="preserve"> result</w:t>
      </w:r>
      <w:r>
        <w:rPr>
          <w:rFonts w:ascii="Times New Roman" w:hAnsi="Times New Roman" w:cs="Times New Roman"/>
        </w:rPr>
        <w:t>.</w:t>
      </w:r>
    </w:p>
    <w:p w14:paraId="20DE893E" w14:textId="11C79847" w:rsidR="008D5139" w:rsidRPr="008D5139" w:rsidRDefault="008D5139" w:rsidP="0085533D">
      <w:pPr>
        <w:pStyle w:val="Heading1"/>
        <w:spacing w:line="360" w:lineRule="auto"/>
      </w:pPr>
      <w:bookmarkStart w:id="12" w:name="_Toc80602210"/>
      <w:r w:rsidRPr="008D5139">
        <w:t>Sensitivity/ Uncertainty</w:t>
      </w:r>
      <w:bookmarkEnd w:id="12"/>
      <w:r w:rsidR="00671D6D">
        <w:t xml:space="preserve"> and Accuracy</w:t>
      </w:r>
    </w:p>
    <w:p w14:paraId="1443C3FA" w14:textId="482C00BF"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 previous results are subject to many types of uncertainty.  There are individually uncertain parameters, uncertain sets of the parameters, and the model may </w:t>
      </w:r>
      <w:r w:rsidR="00671D6D">
        <w:rPr>
          <w:rFonts w:ascii="Times New Roman" w:hAnsi="Times New Roman" w:cs="Times New Roman"/>
        </w:rPr>
        <w:t>incompletely</w:t>
      </w:r>
      <w:r w:rsidRPr="008D5139">
        <w:rPr>
          <w:rFonts w:ascii="Times New Roman" w:hAnsi="Times New Roman" w:cs="Times New Roman"/>
        </w:rPr>
        <w:t xml:space="preserve"> capture the </w:t>
      </w:r>
      <w:r w:rsidR="0072560E">
        <w:rPr>
          <w:rFonts w:ascii="Times New Roman" w:hAnsi="Times New Roman" w:cs="Times New Roman"/>
        </w:rPr>
        <w:t xml:space="preserve">full </w:t>
      </w:r>
      <w:r w:rsidRPr="008D5139">
        <w:rPr>
          <w:rFonts w:ascii="Times New Roman" w:hAnsi="Times New Roman" w:cs="Times New Roman"/>
        </w:rPr>
        <w:t>border management context.  This section investigates: 1) selected individual parameter uncertainty, 2) scenario uncertainty affecting multiple variables, and 3) simulation of aggregate uncertainty.  Consequently, the focus of the uncertainty analysis is on parameters affecting the value estimates.</w:t>
      </w:r>
      <w:r w:rsidR="00671D6D">
        <w:rPr>
          <w:rFonts w:ascii="Times New Roman" w:hAnsi="Times New Roman" w:cs="Times New Roman"/>
        </w:rPr>
        <w:t xml:space="preserve">  These exploration</w:t>
      </w:r>
      <w:r w:rsidR="002D7BD8">
        <w:rPr>
          <w:rFonts w:ascii="Times New Roman" w:hAnsi="Times New Roman" w:cs="Times New Roman"/>
        </w:rPr>
        <w:t>s</w:t>
      </w:r>
      <w:r w:rsidR="00671D6D">
        <w:rPr>
          <w:rFonts w:ascii="Times New Roman" w:hAnsi="Times New Roman" w:cs="Times New Roman"/>
        </w:rPr>
        <w:t xml:space="preserve"> suggest caution in the use of exact values, </w:t>
      </w:r>
      <w:r w:rsidR="005F487A">
        <w:rPr>
          <w:rFonts w:ascii="Times New Roman" w:hAnsi="Times New Roman" w:cs="Times New Roman"/>
        </w:rPr>
        <w:t>although the qualitative results are not changed.</w:t>
      </w:r>
    </w:p>
    <w:p w14:paraId="06C206FF" w14:textId="72F6DD96"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i/>
          <w:iCs/>
        </w:rPr>
        <w:t>Individual parameter sensitivity.</w:t>
      </w:r>
      <w:r w:rsidRPr="008D5139">
        <w:rPr>
          <w:rFonts w:ascii="Times New Roman" w:hAnsi="Times New Roman" w:cs="Times New Roman"/>
        </w:rPr>
        <w:t xml:space="preserve">  </w:t>
      </w:r>
      <w:r w:rsidR="0072560E">
        <w:rPr>
          <w:rFonts w:ascii="Times New Roman" w:hAnsi="Times New Roman" w:cs="Times New Roman"/>
        </w:rPr>
        <w:t>T</w:t>
      </w:r>
      <w:r w:rsidRPr="008D5139">
        <w:rPr>
          <w:rFonts w:ascii="Times New Roman" w:hAnsi="Times New Roman" w:cs="Times New Roman"/>
        </w:rPr>
        <w:t xml:space="preserve">he expected values </w:t>
      </w:r>
      <w:r w:rsidR="00883269">
        <w:rPr>
          <w:rFonts w:ascii="Times New Roman" w:hAnsi="Times New Roman" w:cs="Times New Roman"/>
        </w:rPr>
        <w:t xml:space="preserve">of </w:t>
      </w:r>
      <w:r w:rsidR="0072560E">
        <w:rPr>
          <w:rFonts w:ascii="Times New Roman" w:hAnsi="Times New Roman" w:cs="Times New Roman"/>
        </w:rPr>
        <w:t xml:space="preserve">outcomes </w:t>
      </w:r>
      <w:r w:rsidRPr="008D5139">
        <w:rPr>
          <w:rFonts w:ascii="Times New Roman" w:hAnsi="Times New Roman" w:cs="Times New Roman"/>
        </w:rPr>
        <w:t xml:space="preserve">in </w:t>
      </w:r>
      <w:r w:rsidR="00883269">
        <w:rPr>
          <w:rFonts w:ascii="Times New Roman" w:hAnsi="Times New Roman" w:cs="Times New Roman"/>
        </w:rPr>
        <w:t xml:space="preserve">Table 4 </w:t>
      </w:r>
      <w:r w:rsidRPr="008D5139">
        <w:rPr>
          <w:rFonts w:ascii="Times New Roman" w:hAnsi="Times New Roman" w:cs="Times New Roman"/>
        </w:rPr>
        <w:t xml:space="preserve">provide </w:t>
      </w:r>
      <w:r w:rsidR="0072560E">
        <w:rPr>
          <w:rFonts w:ascii="Times New Roman" w:hAnsi="Times New Roman" w:cs="Times New Roman"/>
        </w:rPr>
        <w:t>t</w:t>
      </w:r>
      <w:r w:rsidR="0072560E" w:rsidRPr="008D5139">
        <w:rPr>
          <w:rFonts w:ascii="Times New Roman" w:hAnsi="Times New Roman" w:cs="Times New Roman"/>
        </w:rPr>
        <w:t>he sensitivity of</w:t>
      </w:r>
      <w:r w:rsidR="0072560E">
        <w:rPr>
          <w:rFonts w:ascii="Times New Roman" w:hAnsi="Times New Roman" w:cs="Times New Roman"/>
        </w:rPr>
        <w:t xml:space="preserve"> the result from a</w:t>
      </w:r>
      <w:r w:rsidR="0072560E" w:rsidRPr="008D5139">
        <w:rPr>
          <w:rFonts w:ascii="Times New Roman" w:hAnsi="Times New Roman" w:cs="Times New Roman"/>
        </w:rPr>
        <w:t xml:space="preserve"> </w:t>
      </w:r>
      <w:r w:rsidRPr="008D5139">
        <w:rPr>
          <w:rFonts w:ascii="Times New Roman" w:hAnsi="Times New Roman" w:cs="Times New Roman"/>
        </w:rPr>
        <w:t>proportional change in each value</w:t>
      </w:r>
      <w:r w:rsidR="00883269">
        <w:rPr>
          <w:rFonts w:ascii="Times New Roman" w:hAnsi="Times New Roman" w:cs="Times New Roman"/>
        </w:rPr>
        <w:t xml:space="preserve"> (say due to </w:t>
      </w:r>
      <w:r w:rsidR="00442052">
        <w:rPr>
          <w:rFonts w:ascii="Times New Roman" w:hAnsi="Times New Roman" w:cs="Times New Roman"/>
        </w:rPr>
        <w:t>mismeasurement</w:t>
      </w:r>
      <w:r w:rsidR="00883269">
        <w:rPr>
          <w:rFonts w:ascii="Times New Roman" w:hAnsi="Times New Roman" w:cs="Times New Roman"/>
        </w:rPr>
        <w:t xml:space="preserve">) due homogeneity of degree one of the expected value </w:t>
      </w:r>
      <w:proofErr w:type="gramStart"/>
      <w:r w:rsidR="00883269">
        <w:rPr>
          <w:rFonts w:ascii="Times New Roman" w:hAnsi="Times New Roman" w:cs="Times New Roman"/>
        </w:rPr>
        <w:lastRenderedPageBreak/>
        <w:t>equation</w:t>
      </w:r>
      <w:proofErr w:type="gramEnd"/>
      <w:r w:rsidRPr="008D5139">
        <w:rPr>
          <w:rFonts w:ascii="Times New Roman" w:hAnsi="Times New Roman" w:cs="Times New Roman"/>
        </w:rPr>
        <w:t xml:space="preserve">.  An </w:t>
      </w:r>
      <w:proofErr w:type="spellStart"/>
      <w:r w:rsidRPr="008D5139">
        <w:rPr>
          <w:rFonts w:ascii="Times New Roman" w:hAnsi="Times New Roman" w:cs="Times New Roman"/>
        </w:rPr>
        <w:t>equi</w:t>
      </w:r>
      <w:proofErr w:type="spellEnd"/>
      <w:r w:rsidRPr="008D5139">
        <w:rPr>
          <w:rFonts w:ascii="Times New Roman" w:hAnsi="Times New Roman" w:cs="Times New Roman"/>
        </w:rPr>
        <w:t>-proportional change</w:t>
      </w:r>
      <w:r w:rsidR="00883269">
        <w:rPr>
          <w:rFonts w:ascii="Times New Roman" w:hAnsi="Times New Roman" w:cs="Times New Roman"/>
        </w:rPr>
        <w:t xml:space="preserve"> in all the values</w:t>
      </w:r>
      <w:r w:rsidRPr="008D5139">
        <w:rPr>
          <w:rFonts w:ascii="Times New Roman" w:hAnsi="Times New Roman" w:cs="Times New Roman"/>
        </w:rPr>
        <w:t xml:space="preserve"> would retain the same ranking as in </w:t>
      </w:r>
      <w:r w:rsidR="00883269">
        <w:rPr>
          <w:rFonts w:ascii="Times New Roman" w:hAnsi="Times New Roman" w:cs="Times New Roman"/>
        </w:rPr>
        <w:t>the table</w:t>
      </w:r>
      <w:r w:rsidRPr="008D5139">
        <w:rPr>
          <w:rFonts w:ascii="Times New Roman" w:hAnsi="Times New Roman" w:cs="Times New Roman"/>
        </w:rPr>
        <w:t xml:space="preserve"> but </w:t>
      </w:r>
      <w:r w:rsidR="0072560E">
        <w:rPr>
          <w:rFonts w:ascii="Times New Roman" w:hAnsi="Times New Roman" w:cs="Times New Roman"/>
        </w:rPr>
        <w:t>change</w:t>
      </w:r>
      <w:r w:rsidRPr="008D5139">
        <w:rPr>
          <w:rFonts w:ascii="Times New Roman" w:hAnsi="Times New Roman" w:cs="Times New Roman"/>
        </w:rPr>
        <w:t xml:space="preserve"> by the proportional amount.  </w:t>
      </w:r>
    </w:p>
    <w:p w14:paraId="5C930873" w14:textId="06C30620"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A more detailed sensitivity is based on</w:t>
      </w:r>
      <w:r w:rsidR="007F29E0">
        <w:rPr>
          <w:rFonts w:ascii="Times New Roman" w:hAnsi="Times New Roman" w:cs="Times New Roman"/>
        </w:rPr>
        <w:t xml:space="preserve"> five factors:</w:t>
      </w:r>
      <w:r w:rsidRPr="008D5139">
        <w:rPr>
          <w:rFonts w:ascii="Times New Roman" w:hAnsi="Times New Roman" w:cs="Times New Roman"/>
        </w:rPr>
        <w:t xml:space="preserve"> the top </w:t>
      </w:r>
      <w:r w:rsidR="002C0AA9">
        <w:rPr>
          <w:rFonts w:ascii="Times New Roman" w:hAnsi="Times New Roman" w:cs="Times New Roman"/>
        </w:rPr>
        <w:t xml:space="preserve">four </w:t>
      </w:r>
      <w:r w:rsidRPr="008D5139">
        <w:rPr>
          <w:rFonts w:ascii="Times New Roman" w:hAnsi="Times New Roman" w:cs="Times New Roman"/>
        </w:rPr>
        <w:t xml:space="preserve">conditional outcome values in Table </w:t>
      </w:r>
      <w:r w:rsidR="00B562E2">
        <w:rPr>
          <w:rFonts w:ascii="Times New Roman" w:hAnsi="Times New Roman" w:cs="Times New Roman"/>
        </w:rPr>
        <w:t>4</w:t>
      </w:r>
      <w:r w:rsidR="00AD7299">
        <w:rPr>
          <w:rFonts w:ascii="Times New Roman" w:hAnsi="Times New Roman" w:cs="Times New Roman"/>
        </w:rPr>
        <w:t>--</w:t>
      </w:r>
      <w:r w:rsidRPr="008D5139">
        <w:rPr>
          <w:rFonts w:ascii="Times New Roman" w:hAnsi="Times New Roman" w:cs="Times New Roman"/>
        </w:rPr>
        <w:t xml:space="preserve">mortality, crime, </w:t>
      </w:r>
      <w:r w:rsidR="007F29E0">
        <w:rPr>
          <w:rFonts w:ascii="Times New Roman" w:hAnsi="Times New Roman" w:cs="Times New Roman"/>
        </w:rPr>
        <w:t xml:space="preserve">asylee </w:t>
      </w:r>
      <w:r w:rsidRPr="008D5139">
        <w:rPr>
          <w:rFonts w:ascii="Times New Roman" w:hAnsi="Times New Roman" w:cs="Times New Roman"/>
        </w:rPr>
        <w:t>income and security</w:t>
      </w:r>
      <w:r w:rsidR="002C0AA9">
        <w:rPr>
          <w:rFonts w:ascii="Times New Roman" w:hAnsi="Times New Roman" w:cs="Times New Roman"/>
        </w:rPr>
        <w:t>,</w:t>
      </w:r>
      <w:r w:rsidRPr="008D5139">
        <w:rPr>
          <w:rFonts w:ascii="Times New Roman" w:hAnsi="Times New Roman" w:cs="Times New Roman"/>
        </w:rPr>
        <w:t xml:space="preserve"> </w:t>
      </w:r>
      <w:r w:rsidR="00AD7299">
        <w:rPr>
          <w:rFonts w:ascii="Times New Roman" w:hAnsi="Times New Roman" w:cs="Times New Roman"/>
        </w:rPr>
        <w:t>and fiscal cost, t</w:t>
      </w:r>
      <w:r w:rsidRPr="008D5139">
        <w:rPr>
          <w:rFonts w:ascii="Times New Roman" w:hAnsi="Times New Roman" w:cs="Times New Roman"/>
        </w:rPr>
        <w:t xml:space="preserve">he largest consequence in the BCA analysis of Table </w:t>
      </w:r>
      <w:r w:rsidR="007F29E0">
        <w:rPr>
          <w:rFonts w:ascii="Times New Roman" w:hAnsi="Times New Roman" w:cs="Times New Roman"/>
        </w:rPr>
        <w:t>8</w:t>
      </w:r>
      <w:r w:rsidRPr="008D5139">
        <w:rPr>
          <w:rFonts w:ascii="Times New Roman" w:hAnsi="Times New Roman" w:cs="Times New Roman"/>
        </w:rPr>
        <w:t xml:space="preserve">.  These </w:t>
      </w:r>
      <w:r w:rsidR="002C0AA9">
        <w:rPr>
          <w:rFonts w:ascii="Times New Roman" w:hAnsi="Times New Roman" w:cs="Times New Roman"/>
        </w:rPr>
        <w:t xml:space="preserve">five </w:t>
      </w:r>
      <w:r w:rsidRPr="008D5139">
        <w:rPr>
          <w:rFonts w:ascii="Times New Roman" w:hAnsi="Times New Roman" w:cs="Times New Roman"/>
        </w:rPr>
        <w:t xml:space="preserve">values are </w:t>
      </w:r>
      <w:r w:rsidR="002C0AA9">
        <w:rPr>
          <w:rFonts w:ascii="Times New Roman" w:hAnsi="Times New Roman" w:cs="Times New Roman"/>
        </w:rPr>
        <w:t xml:space="preserve">all </w:t>
      </w:r>
      <w:r w:rsidRPr="008D5139">
        <w:rPr>
          <w:rFonts w:ascii="Times New Roman" w:hAnsi="Times New Roman" w:cs="Times New Roman"/>
        </w:rPr>
        <w:t>uncertain</w:t>
      </w:r>
      <w:r w:rsidR="00AD7299">
        <w:rPr>
          <w:rFonts w:ascii="Times New Roman" w:hAnsi="Times New Roman" w:cs="Times New Roman"/>
        </w:rPr>
        <w:t xml:space="preserve"> and </w:t>
      </w:r>
      <w:r w:rsidR="007F29E0">
        <w:rPr>
          <w:rFonts w:ascii="Times New Roman" w:hAnsi="Times New Roman" w:cs="Times New Roman"/>
        </w:rPr>
        <w:t>each is a function of a</w:t>
      </w:r>
      <w:r w:rsidR="00AD7299">
        <w:rPr>
          <w:rFonts w:ascii="Times New Roman" w:hAnsi="Times New Roman" w:cs="Times New Roman"/>
        </w:rPr>
        <w:t xml:space="preserve"> key parameter</w:t>
      </w:r>
      <w:r w:rsidR="007F29E0">
        <w:rPr>
          <w:rFonts w:ascii="Times New Roman" w:hAnsi="Times New Roman" w:cs="Times New Roman"/>
        </w:rPr>
        <w:t xml:space="preserve"> for that value</w:t>
      </w:r>
      <w:r w:rsidRPr="008D5139">
        <w:rPr>
          <w:rFonts w:ascii="Times New Roman" w:hAnsi="Times New Roman" w:cs="Times New Roman"/>
        </w:rPr>
        <w:t>.</w:t>
      </w:r>
    </w:p>
    <w:p w14:paraId="0FB81D3D" w14:textId="0BADA600"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 incremental </w:t>
      </w:r>
      <w:r w:rsidR="007F29E0">
        <w:rPr>
          <w:rFonts w:ascii="Times New Roman" w:hAnsi="Times New Roman" w:cs="Times New Roman"/>
        </w:rPr>
        <w:t xml:space="preserve">uncertain </w:t>
      </w:r>
      <w:r w:rsidRPr="008D5139">
        <w:rPr>
          <w:rFonts w:ascii="Times New Roman" w:hAnsi="Times New Roman" w:cs="Times New Roman"/>
        </w:rPr>
        <w:t xml:space="preserve">effect </w:t>
      </w:r>
      <w:r w:rsidR="007F29E0">
        <w:rPr>
          <w:rFonts w:ascii="Times New Roman" w:hAnsi="Times New Roman" w:cs="Times New Roman"/>
        </w:rPr>
        <w:t xml:space="preserve">for each variable </w:t>
      </w:r>
      <w:r w:rsidRPr="008D5139">
        <w:rPr>
          <w:rFonts w:ascii="Times New Roman" w:hAnsi="Times New Roman" w:cs="Times New Roman"/>
        </w:rPr>
        <w:t>is investigated by computing the slope</w:t>
      </w:r>
      <w:r w:rsidR="007F29E0">
        <w:rPr>
          <w:rFonts w:ascii="Times New Roman" w:hAnsi="Times New Roman" w:cs="Times New Roman"/>
        </w:rPr>
        <w:t xml:space="preserve"> and the elasticity</w:t>
      </w:r>
      <w:r w:rsidRPr="008D5139">
        <w:rPr>
          <w:rFonts w:ascii="Times New Roman" w:hAnsi="Times New Roman" w:cs="Times New Roman"/>
        </w:rPr>
        <w:t xml:space="preserve"> of the aggregate EPV </w:t>
      </w:r>
      <w:proofErr w:type="gramStart"/>
      <w:r w:rsidRPr="008D5139">
        <w:rPr>
          <w:rFonts w:ascii="Times New Roman" w:hAnsi="Times New Roman" w:cs="Times New Roman"/>
        </w:rPr>
        <w:t xml:space="preserve">in </w:t>
      </w:r>
      <w:r w:rsidR="002C0AA9">
        <w:rPr>
          <w:rFonts w:ascii="Times New Roman" w:hAnsi="Times New Roman" w:cs="Times New Roman"/>
        </w:rPr>
        <w:t xml:space="preserve">the </w:t>
      </w:r>
      <w:r w:rsidRPr="008D5139">
        <w:rPr>
          <w:rFonts w:ascii="Times New Roman" w:hAnsi="Times New Roman" w:cs="Times New Roman"/>
        </w:rPr>
        <w:t>neighborhood of</w:t>
      </w:r>
      <w:proofErr w:type="gramEnd"/>
      <w:r w:rsidRPr="008D5139">
        <w:rPr>
          <w:rFonts w:ascii="Times New Roman" w:hAnsi="Times New Roman" w:cs="Times New Roman"/>
        </w:rPr>
        <w:t xml:space="preserve"> the base case value</w:t>
      </w:r>
      <w:r w:rsidR="009E0859">
        <w:rPr>
          <w:rStyle w:val="FootnoteReference"/>
          <w:rFonts w:ascii="Times New Roman" w:hAnsi="Times New Roman" w:cs="Times New Roman"/>
        </w:rPr>
        <w:footnoteReference w:id="17"/>
      </w:r>
      <w:r w:rsidRPr="008D5139">
        <w:rPr>
          <w:rFonts w:ascii="Times New Roman" w:hAnsi="Times New Roman" w:cs="Times New Roman"/>
        </w:rPr>
        <w:t xml:space="preserve">. Table </w:t>
      </w:r>
      <w:r w:rsidR="007F29E0">
        <w:rPr>
          <w:rFonts w:ascii="Times New Roman" w:hAnsi="Times New Roman" w:cs="Times New Roman"/>
        </w:rPr>
        <w:t>9</w:t>
      </w:r>
      <w:r w:rsidRPr="008D5139">
        <w:rPr>
          <w:rFonts w:ascii="Times New Roman" w:hAnsi="Times New Roman" w:cs="Times New Roman"/>
        </w:rPr>
        <w:t xml:space="preserve"> presents these slopes and their units, each of which </w:t>
      </w:r>
      <w:r w:rsidR="002C0AA9">
        <w:rPr>
          <w:rFonts w:ascii="Times New Roman" w:hAnsi="Times New Roman" w:cs="Times New Roman"/>
        </w:rPr>
        <w:t xml:space="preserve">is </w:t>
      </w:r>
      <w:r w:rsidR="00AD7299">
        <w:rPr>
          <w:rFonts w:ascii="Times New Roman" w:hAnsi="Times New Roman" w:cs="Times New Roman"/>
        </w:rPr>
        <w:t>approximately</w:t>
      </w:r>
      <w:r w:rsidRPr="008D5139">
        <w:rPr>
          <w:rFonts w:ascii="Times New Roman" w:hAnsi="Times New Roman" w:cs="Times New Roman"/>
        </w:rPr>
        <w:t xml:space="preserve"> linear in the range studied</w:t>
      </w:r>
      <w:r w:rsidR="00AD7299">
        <w:rPr>
          <w:rFonts w:ascii="Times New Roman" w:hAnsi="Times New Roman" w:cs="Times New Roman"/>
        </w:rPr>
        <w:t>, and the (arc) elasticity.</w:t>
      </w:r>
    </w:p>
    <w:p w14:paraId="550EEB60" w14:textId="56D01263" w:rsidR="00E21252" w:rsidRDefault="008D5139" w:rsidP="005E73A4">
      <w:pPr>
        <w:spacing w:after="160" w:line="360" w:lineRule="auto"/>
        <w:rPr>
          <w:rFonts w:ascii="Times New Roman" w:hAnsi="Times New Roman" w:cs="Times New Roman"/>
        </w:rPr>
      </w:pPr>
      <w:r w:rsidRPr="008D5139">
        <w:rPr>
          <w:rFonts w:ascii="Times New Roman" w:hAnsi="Times New Roman" w:cs="Times New Roman"/>
        </w:rPr>
        <w:t xml:space="preserve">The EPV per person results are most sensitive to the fiscal costs avoided that can occur over a period of years.  If such </w:t>
      </w:r>
      <w:r w:rsidR="002C0AA9">
        <w:rPr>
          <w:rFonts w:ascii="Times New Roman" w:hAnsi="Times New Roman" w:cs="Times New Roman"/>
        </w:rPr>
        <w:t xml:space="preserve">annual </w:t>
      </w:r>
      <w:r w:rsidRPr="008D5139">
        <w:rPr>
          <w:rFonts w:ascii="Times New Roman" w:hAnsi="Times New Roman" w:cs="Times New Roman"/>
        </w:rPr>
        <w:t>costs increase by $1,000 (from a base of $6,800), then the EPV increases by $9,</w:t>
      </w:r>
      <w:r w:rsidR="00AD7299">
        <w:rPr>
          <w:rFonts w:ascii="Times New Roman" w:hAnsi="Times New Roman" w:cs="Times New Roman"/>
        </w:rPr>
        <w:t>509</w:t>
      </w:r>
      <w:r w:rsidRPr="008D5139">
        <w:rPr>
          <w:rFonts w:ascii="Times New Roman" w:hAnsi="Times New Roman" w:cs="Times New Roman"/>
        </w:rPr>
        <w:t xml:space="preserve"> and vice versa for reduced fiscal costs.   Asylee security, the second largest slope, </w:t>
      </w:r>
      <w:r w:rsidR="00B7764F">
        <w:rPr>
          <w:rFonts w:ascii="Times New Roman" w:hAnsi="Times New Roman" w:cs="Times New Roman"/>
        </w:rPr>
        <w:t>depend</w:t>
      </w:r>
      <w:r w:rsidR="007F29E0">
        <w:rPr>
          <w:rFonts w:ascii="Times New Roman" w:hAnsi="Times New Roman" w:cs="Times New Roman"/>
        </w:rPr>
        <w:t>s</w:t>
      </w:r>
      <w:r w:rsidR="00B7764F">
        <w:rPr>
          <w:rFonts w:ascii="Times New Roman" w:hAnsi="Times New Roman" w:cs="Times New Roman"/>
        </w:rPr>
        <w:t xml:space="preserve"> importantly</w:t>
      </w:r>
      <w:r w:rsidRPr="008D5139">
        <w:rPr>
          <w:rFonts w:ascii="Times New Roman" w:hAnsi="Times New Roman" w:cs="Times New Roman"/>
        </w:rPr>
        <w:t xml:space="preserve"> on the comparative intentional homicide rate between the home country and the US and a </w:t>
      </w:r>
      <w:r w:rsidR="00B7764F">
        <w:rPr>
          <w:rFonts w:ascii="Times New Roman" w:hAnsi="Times New Roman" w:cs="Times New Roman"/>
        </w:rPr>
        <w:t xml:space="preserve">resulting </w:t>
      </w:r>
      <w:r w:rsidRPr="008D5139">
        <w:rPr>
          <w:rFonts w:ascii="Times New Roman" w:hAnsi="Times New Roman" w:cs="Times New Roman"/>
        </w:rPr>
        <w:t>multiplier</w:t>
      </w:r>
      <w:r w:rsidRPr="008D5139">
        <w:rPr>
          <w:rFonts w:ascii="Times New Roman" w:hAnsi="Times New Roman" w:cs="Times New Roman"/>
          <w:vertAlign w:val="superscript"/>
        </w:rPr>
        <w:footnoteReference w:id="18"/>
      </w:r>
      <w:r w:rsidRPr="008D5139">
        <w:rPr>
          <w:rFonts w:ascii="Times New Roman" w:hAnsi="Times New Roman" w:cs="Times New Roman"/>
        </w:rPr>
        <w:t>.  If the multiplier increases by 1</w:t>
      </w:r>
      <w:r w:rsidR="00B7764F">
        <w:rPr>
          <w:rFonts w:ascii="Times New Roman" w:hAnsi="Times New Roman" w:cs="Times New Roman"/>
        </w:rPr>
        <w:t xml:space="preserve"> from a base of 3</w:t>
      </w:r>
      <w:r w:rsidRPr="008D5139">
        <w:rPr>
          <w:rFonts w:ascii="Times New Roman" w:hAnsi="Times New Roman" w:cs="Times New Roman"/>
        </w:rPr>
        <w:t xml:space="preserve">, then the EPV per person goes up by $3,590 primarily because security benefits accrue over time.  Asylee income is an important determinant of benefits because it also continues and grows slightly over the 20-year time horizon.  The base case income is about $20,000 per year.  The estimated slope </w:t>
      </w:r>
      <w:r w:rsidR="007F29E0">
        <w:rPr>
          <w:rFonts w:ascii="Times New Roman" w:hAnsi="Times New Roman" w:cs="Times New Roman"/>
        </w:rPr>
        <w:t>is</w:t>
      </w:r>
      <w:r w:rsidRPr="008D5139">
        <w:rPr>
          <w:rFonts w:ascii="Times New Roman" w:hAnsi="Times New Roman" w:cs="Times New Roman"/>
        </w:rPr>
        <w:t xml:space="preserve"> $8</w:t>
      </w:r>
      <w:r w:rsidR="00B7764F">
        <w:rPr>
          <w:rFonts w:ascii="Times New Roman" w:hAnsi="Times New Roman" w:cs="Times New Roman"/>
        </w:rPr>
        <w:t>41</w:t>
      </w:r>
      <w:r w:rsidRPr="008D5139">
        <w:rPr>
          <w:rFonts w:ascii="Times New Roman" w:hAnsi="Times New Roman" w:cs="Times New Roman"/>
        </w:rPr>
        <w:t xml:space="preserve"> per increase of $1,000 in asylee </w:t>
      </w:r>
      <w:r w:rsidR="00B7764F">
        <w:rPr>
          <w:rFonts w:ascii="Times New Roman" w:hAnsi="Times New Roman" w:cs="Times New Roman"/>
        </w:rPr>
        <w:t xml:space="preserve">annual </w:t>
      </w:r>
      <w:r w:rsidRPr="008D5139">
        <w:rPr>
          <w:rFonts w:ascii="Times New Roman" w:hAnsi="Times New Roman" w:cs="Times New Roman"/>
        </w:rPr>
        <w:t>income.  The slope for income implies an equivalency of about $4,000 in annual income to a unit change in the security multiplier.</w:t>
      </w:r>
      <w:r w:rsidR="00E21252">
        <w:rPr>
          <w:rFonts w:ascii="Times New Roman" w:hAnsi="Times New Roman" w:cs="Times New Roman"/>
        </w:rPr>
        <w:t xml:space="preserve">  The costs of a career criminal </w:t>
      </w:r>
      <w:proofErr w:type="gramStart"/>
      <w:r w:rsidR="00E21252">
        <w:rPr>
          <w:rFonts w:ascii="Times New Roman" w:hAnsi="Times New Roman" w:cs="Times New Roman"/>
        </w:rPr>
        <w:t>is</w:t>
      </w:r>
      <w:proofErr w:type="gramEnd"/>
      <w:r w:rsidR="00E21252">
        <w:rPr>
          <w:rFonts w:ascii="Times New Roman" w:hAnsi="Times New Roman" w:cs="Times New Roman"/>
        </w:rPr>
        <w:t xml:space="preserve"> large and uncertain.  The slope per $100,000 in cost of a criminal career is $362 with an elasticity of .02; relatively small given the </w:t>
      </w:r>
      <w:r w:rsidR="00E21252">
        <w:rPr>
          <w:rFonts w:ascii="Times New Roman" w:hAnsi="Times New Roman" w:cs="Times New Roman"/>
        </w:rPr>
        <w:lastRenderedPageBreak/>
        <w:t xml:space="preserve">small proportion of criminals.  </w:t>
      </w:r>
      <w:r w:rsidR="00E21252" w:rsidRPr="008D5139">
        <w:rPr>
          <w:rFonts w:ascii="Times New Roman" w:hAnsi="Times New Roman" w:cs="Times New Roman"/>
        </w:rPr>
        <w:t>The final sensitivity</w:t>
      </w:r>
      <w:r w:rsidR="00E21252">
        <w:rPr>
          <w:rFonts w:ascii="Times New Roman" w:hAnsi="Times New Roman" w:cs="Times New Roman"/>
        </w:rPr>
        <w:t xml:space="preserve"> is </w:t>
      </w:r>
      <w:r w:rsidR="00E21252" w:rsidRPr="008D5139">
        <w:rPr>
          <w:rFonts w:ascii="Times New Roman" w:hAnsi="Times New Roman" w:cs="Times New Roman"/>
        </w:rPr>
        <w:t xml:space="preserve">the US citizen and resident Value of a Statistical Life for an initially illegal foreign national (see section 4.2).  The base case uses a value of about 7 percent of the value of a US citizen.  The estimated slope indicates that for each 10% increase in the proportion of a US VSL, </w:t>
      </w:r>
      <w:proofErr w:type="gramStart"/>
      <w:r w:rsidR="00E21252" w:rsidRPr="008D5139">
        <w:rPr>
          <w:rFonts w:ascii="Times New Roman" w:hAnsi="Times New Roman" w:cs="Times New Roman"/>
        </w:rPr>
        <w:t>e.g.</w:t>
      </w:r>
      <w:proofErr w:type="gramEnd"/>
      <w:r w:rsidR="00E21252" w:rsidRPr="008D5139">
        <w:rPr>
          <w:rFonts w:ascii="Times New Roman" w:hAnsi="Times New Roman" w:cs="Times New Roman"/>
        </w:rPr>
        <w:t xml:space="preserve"> from .07 to .17, then the aggregate EPV decreases by $817.  If the US VSL is used as a cost for mortality (changing from .07 to 1), then the aggregate EPV decreases by about 10 percent as the EPV per person would be about $6</w:t>
      </w:r>
      <w:r w:rsidR="00E21252">
        <w:rPr>
          <w:rFonts w:ascii="Times New Roman" w:hAnsi="Times New Roman" w:cs="Times New Roman"/>
        </w:rPr>
        <w:t>7</w:t>
      </w:r>
      <w:r w:rsidR="00E21252" w:rsidRPr="008D5139">
        <w:rPr>
          <w:rFonts w:ascii="Times New Roman" w:hAnsi="Times New Roman" w:cs="Times New Roman"/>
        </w:rPr>
        <w:t>,000.</w:t>
      </w:r>
    </w:p>
    <w:p w14:paraId="1A7CE1CA" w14:textId="7E48729A" w:rsidR="008D5139" w:rsidRDefault="008D5139" w:rsidP="0085533D">
      <w:pPr>
        <w:spacing w:after="160" w:line="360" w:lineRule="auto"/>
        <w:jc w:val="center"/>
        <w:rPr>
          <w:rFonts w:ascii="Times New Roman" w:hAnsi="Times New Roman" w:cs="Times New Roman"/>
        </w:rPr>
      </w:pPr>
      <w:r w:rsidRPr="008D5139">
        <w:rPr>
          <w:rFonts w:ascii="Times New Roman" w:hAnsi="Times New Roman" w:cs="Times New Roman"/>
        </w:rPr>
        <w:t xml:space="preserve">Table </w:t>
      </w:r>
      <w:r w:rsidR="007F29E0">
        <w:rPr>
          <w:rFonts w:ascii="Times New Roman" w:hAnsi="Times New Roman" w:cs="Times New Roman"/>
        </w:rPr>
        <w:t>9</w:t>
      </w:r>
      <w:r w:rsidRPr="008D5139">
        <w:rPr>
          <w:rFonts w:ascii="Times New Roman" w:hAnsi="Times New Roman" w:cs="Times New Roman"/>
        </w:rPr>
        <w:t xml:space="preserve">:  Sensitivity of EPV to </w:t>
      </w:r>
      <w:r w:rsidR="00AD7299">
        <w:rPr>
          <w:rFonts w:ascii="Times New Roman" w:hAnsi="Times New Roman" w:cs="Times New Roman"/>
        </w:rPr>
        <w:t>parameters of highest value metrics</w:t>
      </w:r>
      <w:r w:rsidR="00FD3ED1" w:rsidRPr="00AD7299">
        <w:rPr>
          <w:rFonts w:ascii="Times New Roman" w:hAnsi="Times New Roman" w:cs="Times New Roman"/>
        </w:rPr>
        <w:t xml:space="preserve"> </w:t>
      </w:r>
    </w:p>
    <w:p w14:paraId="43EED541" w14:textId="075E56BB" w:rsidR="008D5139" w:rsidRPr="008D5139" w:rsidRDefault="00E21252" w:rsidP="00E21252">
      <w:pPr>
        <w:spacing w:after="160" w:line="360" w:lineRule="auto"/>
        <w:jc w:val="center"/>
        <w:rPr>
          <w:rFonts w:ascii="Times New Roman" w:hAnsi="Times New Roman" w:cs="Times New Roman"/>
        </w:rPr>
      </w:pPr>
      <w:r w:rsidRPr="00E21252">
        <w:rPr>
          <w:noProof/>
        </w:rPr>
        <w:drawing>
          <wp:inline distT="0" distB="0" distL="0" distR="0" wp14:anchorId="790B9174" wp14:editId="5D335312">
            <wp:extent cx="4480560" cy="1470660"/>
            <wp:effectExtent l="0" t="0" r="0" b="0"/>
            <wp:docPr id="3" name="Picture 3" descr="Unedited on 9/5 due to stability from earlier changes.  Checked Crime: n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dited on 9/5 due to stability from earlier changes.  Checked Crime: no cha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0560" cy="1470660"/>
                    </a:xfrm>
                    <a:prstGeom prst="rect">
                      <a:avLst/>
                    </a:prstGeom>
                    <a:noFill/>
                    <a:ln>
                      <a:noFill/>
                    </a:ln>
                  </pic:spPr>
                </pic:pic>
              </a:graphicData>
            </a:graphic>
          </wp:inline>
        </w:drawing>
      </w:r>
    </w:p>
    <w:p w14:paraId="3AF979BE" w14:textId="0C1753AC" w:rsidR="00E94A14" w:rsidRPr="008D5139" w:rsidRDefault="00E94A14" w:rsidP="0085533D">
      <w:pPr>
        <w:spacing w:after="160" w:line="360" w:lineRule="auto"/>
        <w:rPr>
          <w:rFonts w:ascii="Times New Roman" w:hAnsi="Times New Roman" w:cs="Times New Roman"/>
        </w:rPr>
      </w:pPr>
      <w:r>
        <w:rPr>
          <w:rFonts w:ascii="Times New Roman" w:hAnsi="Times New Roman" w:cs="Times New Roman"/>
        </w:rPr>
        <w:t xml:space="preserve">All elasticities are less than unitary, meaning that the EPV changes by less than one percent for a one percent change in the variable.  However, there remains large variation among the parameters in part due to the probabilities affecting the expected value.  For instance, the fiscal costs avoided enter </w:t>
      </w:r>
      <w:r w:rsidR="006646C7">
        <w:rPr>
          <w:rFonts w:ascii="Times New Roman" w:hAnsi="Times New Roman" w:cs="Times New Roman"/>
        </w:rPr>
        <w:t>many</w:t>
      </w:r>
      <w:r>
        <w:rPr>
          <w:rFonts w:ascii="Times New Roman" w:hAnsi="Times New Roman" w:cs="Times New Roman"/>
        </w:rPr>
        <w:t xml:space="preserve"> outcomes while the cost of a career criminal affects a limited number of outcomes even though its conditional effect is large.</w:t>
      </w:r>
    </w:p>
    <w:p w14:paraId="4225EDDB" w14:textId="485780EC" w:rsidR="008D5139" w:rsidRDefault="008D5139" w:rsidP="0085533D">
      <w:pPr>
        <w:spacing w:after="160" w:line="360" w:lineRule="auto"/>
        <w:rPr>
          <w:rFonts w:ascii="Times New Roman" w:hAnsi="Times New Roman" w:cs="Times New Roman"/>
        </w:rPr>
      </w:pPr>
      <w:r w:rsidRPr="008D5139">
        <w:rPr>
          <w:rFonts w:ascii="Times New Roman" w:hAnsi="Times New Roman" w:cs="Times New Roman"/>
          <w:i/>
          <w:iCs/>
        </w:rPr>
        <w:t xml:space="preserve">Scenarios and Macro-Simulation:  </w:t>
      </w:r>
      <w:r w:rsidRPr="008D5139">
        <w:rPr>
          <w:rFonts w:ascii="Times New Roman" w:hAnsi="Times New Roman" w:cs="Times New Roman"/>
        </w:rPr>
        <w:t xml:space="preserve">Many variables can be simultaneously uncertain.  A common approach is to attach a statistical distribution to each uncertain variable and use simulation methods to obtain a distribution for the outcome.  This approach is not possible at this stage of </w:t>
      </w:r>
      <w:r w:rsidR="0082509B">
        <w:rPr>
          <w:rFonts w:ascii="Times New Roman" w:hAnsi="Times New Roman" w:cs="Times New Roman"/>
        </w:rPr>
        <w:t xml:space="preserve">data availability and </w:t>
      </w:r>
      <w:r w:rsidRPr="008D5139">
        <w:rPr>
          <w:rFonts w:ascii="Times New Roman" w:hAnsi="Times New Roman" w:cs="Times New Roman"/>
        </w:rPr>
        <w:t xml:space="preserve">model development.  Instead, two scenarios </w:t>
      </w:r>
      <w:r w:rsidR="00E42472">
        <w:rPr>
          <w:rFonts w:ascii="Times New Roman" w:hAnsi="Times New Roman" w:cs="Times New Roman"/>
        </w:rPr>
        <w:t xml:space="preserve">representing </w:t>
      </w:r>
      <w:r w:rsidRPr="008D5139">
        <w:rPr>
          <w:rFonts w:ascii="Times New Roman" w:hAnsi="Times New Roman" w:cs="Times New Roman"/>
        </w:rPr>
        <w:t xml:space="preserve">sets of parameter </w:t>
      </w:r>
      <w:r w:rsidRPr="008D5139">
        <w:rPr>
          <w:rFonts w:ascii="Times New Roman" w:hAnsi="Times New Roman" w:cs="Times New Roman"/>
        </w:rPr>
        <w:lastRenderedPageBreak/>
        <w:t>assumptions are defined as “Bad</w:t>
      </w:r>
      <w:r w:rsidR="0082509B">
        <w:rPr>
          <w:rFonts w:ascii="Times New Roman" w:hAnsi="Times New Roman" w:cs="Times New Roman"/>
        </w:rPr>
        <w:t xml:space="preserve"> for EPV</w:t>
      </w:r>
      <w:r w:rsidRPr="008D5139">
        <w:rPr>
          <w:rFonts w:ascii="Times New Roman" w:hAnsi="Times New Roman" w:cs="Times New Roman"/>
        </w:rPr>
        <w:t>” and “Good</w:t>
      </w:r>
      <w:r w:rsidR="0082509B">
        <w:rPr>
          <w:rFonts w:ascii="Times New Roman" w:hAnsi="Times New Roman" w:cs="Times New Roman"/>
        </w:rPr>
        <w:t xml:space="preserve"> for EPV</w:t>
      </w:r>
      <w:r w:rsidRPr="008D5139">
        <w:rPr>
          <w:rFonts w:ascii="Times New Roman" w:hAnsi="Times New Roman" w:cs="Times New Roman"/>
        </w:rPr>
        <w:t xml:space="preserve">” cases.  Not all variables are adjusted as shown in Table </w:t>
      </w:r>
      <w:r w:rsidR="00E42472">
        <w:rPr>
          <w:rFonts w:ascii="Times New Roman" w:hAnsi="Times New Roman" w:cs="Times New Roman"/>
        </w:rPr>
        <w:t>10</w:t>
      </w:r>
      <w:r w:rsidRPr="008D5139">
        <w:rPr>
          <w:rFonts w:ascii="Times New Roman" w:hAnsi="Times New Roman" w:cs="Times New Roman"/>
        </w:rPr>
        <w:t xml:space="preserve"> while focusing on </w:t>
      </w:r>
      <w:r w:rsidR="00E24B7A">
        <w:rPr>
          <w:rFonts w:ascii="Times New Roman" w:hAnsi="Times New Roman" w:cs="Times New Roman"/>
        </w:rPr>
        <w:t>parameters representing the largest impact categories</w:t>
      </w:r>
      <w:r w:rsidR="00485DCD">
        <w:rPr>
          <w:rFonts w:ascii="Times New Roman" w:hAnsi="Times New Roman" w:cs="Times New Roman"/>
        </w:rPr>
        <w:t xml:space="preserve"> (see also the technical appendix)</w:t>
      </w:r>
      <w:r w:rsidRPr="008D5139">
        <w:rPr>
          <w:rFonts w:ascii="Times New Roman" w:hAnsi="Times New Roman" w:cs="Times New Roman"/>
        </w:rPr>
        <w:t>.</w:t>
      </w:r>
    </w:p>
    <w:p w14:paraId="62A0923F" w14:textId="0DC493B2" w:rsidR="00573B34" w:rsidRPr="008D5139" w:rsidRDefault="00573B34" w:rsidP="0085533D">
      <w:pPr>
        <w:spacing w:after="160" w:line="360" w:lineRule="auto"/>
        <w:rPr>
          <w:rFonts w:ascii="Times New Roman" w:hAnsi="Times New Roman" w:cs="Times New Roman"/>
        </w:rPr>
      </w:pPr>
      <w:r w:rsidRPr="008D5139">
        <w:rPr>
          <w:rFonts w:ascii="Times New Roman" w:hAnsi="Times New Roman" w:cs="Times New Roman"/>
        </w:rPr>
        <w:t xml:space="preserve">The scenario results indicate that the Bad scenario reduces the per person EPV by about </w:t>
      </w:r>
      <w:r>
        <w:rPr>
          <w:rFonts w:ascii="Times New Roman" w:hAnsi="Times New Roman" w:cs="Times New Roman"/>
        </w:rPr>
        <w:t>8</w:t>
      </w:r>
      <w:r w:rsidR="006C2542">
        <w:rPr>
          <w:rFonts w:ascii="Times New Roman" w:hAnsi="Times New Roman" w:cs="Times New Roman"/>
        </w:rPr>
        <w:t>2</w:t>
      </w:r>
      <w:r w:rsidRPr="008D5139">
        <w:rPr>
          <w:rFonts w:ascii="Times New Roman" w:hAnsi="Times New Roman" w:cs="Times New Roman"/>
        </w:rPr>
        <w:t xml:space="preserve"> percent, although the metric remains positive.  The Good scenario more than doubles the already positive per person EPV.  These results indicate the robustness of the positive EPV finding while providing information about the range of the base case result from parameter uncertainty.</w:t>
      </w:r>
    </w:p>
    <w:p w14:paraId="78493481" w14:textId="444B0C96" w:rsidR="00350216" w:rsidRDefault="00350216" w:rsidP="0085533D">
      <w:pPr>
        <w:spacing w:after="160" w:line="360" w:lineRule="auto"/>
        <w:jc w:val="center"/>
        <w:rPr>
          <w:rFonts w:ascii="Times New Roman" w:hAnsi="Times New Roman" w:cs="Times New Roman"/>
        </w:rPr>
      </w:pPr>
      <w:r w:rsidRPr="008D5139">
        <w:rPr>
          <w:rFonts w:ascii="Times New Roman" w:hAnsi="Times New Roman" w:cs="Times New Roman"/>
        </w:rPr>
        <w:t xml:space="preserve">Table </w:t>
      </w:r>
      <w:r w:rsidR="00E42472">
        <w:rPr>
          <w:rFonts w:ascii="Times New Roman" w:hAnsi="Times New Roman" w:cs="Times New Roman"/>
        </w:rPr>
        <w:t>10</w:t>
      </w:r>
      <w:r w:rsidRPr="008D5139">
        <w:rPr>
          <w:rFonts w:ascii="Times New Roman" w:hAnsi="Times New Roman" w:cs="Times New Roman"/>
        </w:rPr>
        <w:t>:  Scenarios used to define extreme cases of EPV</w:t>
      </w:r>
    </w:p>
    <w:p w14:paraId="477FA1E0" w14:textId="0FE79A69" w:rsidR="00D74F2E" w:rsidRDefault="006C2542" w:rsidP="006C2542">
      <w:pPr>
        <w:spacing w:after="160" w:line="360" w:lineRule="auto"/>
        <w:jc w:val="center"/>
        <w:rPr>
          <w:rFonts w:ascii="Times New Roman" w:hAnsi="Times New Roman" w:cs="Times New Roman"/>
        </w:rPr>
      </w:pPr>
      <w:r w:rsidRPr="006C2542">
        <w:rPr>
          <w:noProof/>
        </w:rPr>
        <w:drawing>
          <wp:inline distT="0" distB="0" distL="0" distR="0" wp14:anchorId="0BB2374F" wp14:editId="008CE262">
            <wp:extent cx="4061460" cy="2240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1460" cy="2240280"/>
                    </a:xfrm>
                    <a:prstGeom prst="rect">
                      <a:avLst/>
                    </a:prstGeom>
                    <a:noFill/>
                    <a:ln>
                      <a:noFill/>
                    </a:ln>
                  </pic:spPr>
                </pic:pic>
              </a:graphicData>
            </a:graphic>
          </wp:inline>
        </w:drawing>
      </w:r>
    </w:p>
    <w:p w14:paraId="7F395E80" w14:textId="1CAE6321" w:rsidR="00565297" w:rsidRPr="008D5139" w:rsidRDefault="00E42472" w:rsidP="00AD13ED">
      <w:pPr>
        <w:spacing w:after="160" w:line="360" w:lineRule="auto"/>
        <w:rPr>
          <w:rFonts w:ascii="Times New Roman" w:hAnsi="Times New Roman" w:cs="Times New Roman"/>
        </w:rPr>
      </w:pPr>
      <w:r>
        <w:rPr>
          <w:rFonts w:ascii="Times New Roman" w:hAnsi="Times New Roman" w:cs="Times New Roman"/>
        </w:rPr>
        <w:t xml:space="preserve">An illustrative distribution for </w:t>
      </w:r>
      <w:r w:rsidR="00A56C38">
        <w:rPr>
          <w:rFonts w:ascii="Times New Roman" w:hAnsi="Times New Roman" w:cs="Times New Roman"/>
        </w:rPr>
        <w:t>EPV</w:t>
      </w:r>
      <w:r>
        <w:rPr>
          <w:rFonts w:ascii="Times New Roman" w:hAnsi="Times New Roman" w:cs="Times New Roman"/>
        </w:rPr>
        <w:t xml:space="preserve"> </w:t>
      </w:r>
      <w:r w:rsidR="00C30FE2">
        <w:rPr>
          <w:rFonts w:ascii="Times New Roman" w:hAnsi="Times New Roman" w:cs="Times New Roman"/>
        </w:rPr>
        <w:t xml:space="preserve">can be </w:t>
      </w:r>
      <w:r>
        <w:rPr>
          <w:rFonts w:ascii="Times New Roman" w:hAnsi="Times New Roman" w:cs="Times New Roman"/>
        </w:rPr>
        <w:t xml:space="preserve">derived </w:t>
      </w:r>
      <w:r w:rsidR="00A56C38">
        <w:rPr>
          <w:rFonts w:ascii="Times New Roman" w:hAnsi="Times New Roman" w:cs="Times New Roman"/>
        </w:rPr>
        <w:t>using a triangular distribution defined by</w:t>
      </w:r>
      <w:r w:rsidR="00CA1BD9">
        <w:rPr>
          <w:rFonts w:ascii="Times New Roman" w:hAnsi="Times New Roman" w:cs="Times New Roman"/>
        </w:rPr>
        <w:t xml:space="preserve"> the</w:t>
      </w:r>
      <w:r w:rsidR="00A56C38">
        <w:rPr>
          <w:rFonts w:ascii="Times New Roman" w:hAnsi="Times New Roman" w:cs="Times New Roman"/>
        </w:rPr>
        <w:t xml:space="preserve"> </w:t>
      </w:r>
      <w:r w:rsidR="00C30FE2">
        <w:rPr>
          <w:rFonts w:ascii="Times New Roman" w:hAnsi="Times New Roman" w:cs="Times New Roman"/>
        </w:rPr>
        <w:t xml:space="preserve">point estimate </w:t>
      </w:r>
      <w:r w:rsidR="00CA1BD9">
        <w:rPr>
          <w:rFonts w:ascii="Times New Roman" w:hAnsi="Times New Roman" w:cs="Times New Roman"/>
        </w:rPr>
        <w:t xml:space="preserve">as the most likely value </w:t>
      </w:r>
      <w:r w:rsidR="00C30FE2">
        <w:rPr>
          <w:rFonts w:ascii="Times New Roman" w:hAnsi="Times New Roman" w:cs="Times New Roman"/>
        </w:rPr>
        <w:t xml:space="preserve">and </w:t>
      </w:r>
      <w:r w:rsidR="00A56C38">
        <w:rPr>
          <w:rFonts w:ascii="Times New Roman" w:hAnsi="Times New Roman" w:cs="Times New Roman"/>
        </w:rPr>
        <w:t xml:space="preserve">increasing the two extreme </w:t>
      </w:r>
      <w:r w:rsidR="000C35FC">
        <w:rPr>
          <w:rFonts w:ascii="Times New Roman" w:hAnsi="Times New Roman" w:cs="Times New Roman"/>
        </w:rPr>
        <w:t xml:space="preserve">scenario </w:t>
      </w:r>
      <w:r w:rsidR="00CA1BD9">
        <w:rPr>
          <w:rFonts w:ascii="Times New Roman" w:hAnsi="Times New Roman" w:cs="Times New Roman"/>
        </w:rPr>
        <w:t>c</w:t>
      </w:r>
      <w:r w:rsidR="00A56C38">
        <w:rPr>
          <w:rFonts w:ascii="Times New Roman" w:hAnsi="Times New Roman" w:cs="Times New Roman"/>
        </w:rPr>
        <w:t xml:space="preserve">ases by five percent </w:t>
      </w:r>
      <w:r w:rsidR="008D5139" w:rsidRPr="008D5139">
        <w:rPr>
          <w:rFonts w:ascii="Times New Roman" w:hAnsi="Times New Roman" w:cs="Times New Roman"/>
        </w:rPr>
        <w:t>to offset behavioral biases and variables not included in the scenarios</w:t>
      </w:r>
      <w:r w:rsidR="00A56C38">
        <w:rPr>
          <w:rFonts w:ascii="Times New Roman" w:hAnsi="Times New Roman" w:cs="Times New Roman"/>
        </w:rPr>
        <w:t xml:space="preserve">.  </w:t>
      </w:r>
      <w:r w:rsidR="008D5139" w:rsidRPr="008D5139">
        <w:rPr>
          <w:rFonts w:ascii="Times New Roman" w:hAnsi="Times New Roman" w:cs="Times New Roman"/>
        </w:rPr>
        <w:t xml:space="preserve">The distribution </w:t>
      </w:r>
      <w:r w:rsidR="00A56C38">
        <w:rPr>
          <w:rFonts w:ascii="Times New Roman" w:hAnsi="Times New Roman" w:cs="Times New Roman"/>
        </w:rPr>
        <w:t xml:space="preserve">from 10,000 trials </w:t>
      </w:r>
      <w:r w:rsidR="005653BB">
        <w:rPr>
          <w:rFonts w:ascii="Times New Roman" w:hAnsi="Times New Roman" w:cs="Times New Roman"/>
        </w:rPr>
        <w:t xml:space="preserve">of the per person EPV </w:t>
      </w:r>
      <w:r w:rsidR="00546011">
        <w:rPr>
          <w:rFonts w:ascii="Times New Roman" w:hAnsi="Times New Roman" w:cs="Times New Roman"/>
        </w:rPr>
        <w:t xml:space="preserve">(not shown) </w:t>
      </w:r>
      <w:r w:rsidR="008D5139" w:rsidRPr="008D5139">
        <w:rPr>
          <w:rFonts w:ascii="Times New Roman" w:hAnsi="Times New Roman" w:cs="Times New Roman"/>
        </w:rPr>
        <w:t xml:space="preserve">is skewed to the right indicating that parameter values in the </w:t>
      </w:r>
      <w:proofErr w:type="gramStart"/>
      <w:r w:rsidR="008D5139" w:rsidRPr="008D5139">
        <w:rPr>
          <w:rFonts w:ascii="Times New Roman" w:hAnsi="Times New Roman" w:cs="Times New Roman"/>
        </w:rPr>
        <w:t>Good</w:t>
      </w:r>
      <w:proofErr w:type="gramEnd"/>
      <w:r w:rsidR="008D5139" w:rsidRPr="008D5139">
        <w:rPr>
          <w:rFonts w:ascii="Times New Roman" w:hAnsi="Times New Roman" w:cs="Times New Roman"/>
        </w:rPr>
        <w:t xml:space="preserve"> scenario increase the EPV by more than the Bad scenario decreases it.  </w:t>
      </w:r>
      <w:r w:rsidR="00C30FE2">
        <w:rPr>
          <w:rFonts w:ascii="Times New Roman" w:hAnsi="Times New Roman" w:cs="Times New Roman"/>
        </w:rPr>
        <w:t>Consequently, t</w:t>
      </w:r>
      <w:r w:rsidR="008D5139" w:rsidRPr="008D5139">
        <w:rPr>
          <w:rFonts w:ascii="Times New Roman" w:hAnsi="Times New Roman" w:cs="Times New Roman"/>
        </w:rPr>
        <w:t>he simulated mean (about $8</w:t>
      </w:r>
      <w:r w:rsidR="006C2542">
        <w:rPr>
          <w:rFonts w:ascii="Times New Roman" w:hAnsi="Times New Roman" w:cs="Times New Roman"/>
        </w:rPr>
        <w:t>8</w:t>
      </w:r>
      <w:r w:rsidR="008D5139" w:rsidRPr="008D5139">
        <w:rPr>
          <w:rFonts w:ascii="Times New Roman" w:hAnsi="Times New Roman" w:cs="Times New Roman"/>
        </w:rPr>
        <w:t>,000) and median (about $8</w:t>
      </w:r>
      <w:r w:rsidR="006C2542">
        <w:rPr>
          <w:rFonts w:ascii="Times New Roman" w:hAnsi="Times New Roman" w:cs="Times New Roman"/>
        </w:rPr>
        <w:t>5</w:t>
      </w:r>
      <w:r w:rsidR="008D5139" w:rsidRPr="008D5139">
        <w:rPr>
          <w:rFonts w:ascii="Times New Roman" w:hAnsi="Times New Roman" w:cs="Times New Roman"/>
        </w:rPr>
        <w:t xml:space="preserve">,000) are larger than the base case </w:t>
      </w:r>
      <w:r w:rsidR="00C30FE2">
        <w:rPr>
          <w:rFonts w:ascii="Times New Roman" w:hAnsi="Times New Roman" w:cs="Times New Roman"/>
        </w:rPr>
        <w:t xml:space="preserve">point </w:t>
      </w:r>
      <w:r w:rsidR="005653BB">
        <w:rPr>
          <w:rFonts w:ascii="Times New Roman" w:hAnsi="Times New Roman" w:cs="Times New Roman"/>
        </w:rPr>
        <w:t xml:space="preserve">value </w:t>
      </w:r>
      <w:r w:rsidR="008D5139" w:rsidRPr="008D5139">
        <w:rPr>
          <w:rFonts w:ascii="Times New Roman" w:hAnsi="Times New Roman" w:cs="Times New Roman"/>
        </w:rPr>
        <w:t>of $</w:t>
      </w:r>
      <w:r w:rsidR="005653BB">
        <w:rPr>
          <w:rFonts w:ascii="Times New Roman" w:hAnsi="Times New Roman" w:cs="Times New Roman"/>
        </w:rPr>
        <w:t>7</w:t>
      </w:r>
      <w:r w:rsidR="006C2542">
        <w:rPr>
          <w:rFonts w:ascii="Times New Roman" w:hAnsi="Times New Roman" w:cs="Times New Roman"/>
        </w:rPr>
        <w:t>5,272</w:t>
      </w:r>
      <w:r w:rsidR="00CA1BD9">
        <w:rPr>
          <w:rFonts w:ascii="Times New Roman" w:hAnsi="Times New Roman" w:cs="Times New Roman"/>
        </w:rPr>
        <w:t xml:space="preserve"> indicating that the uncertainty </w:t>
      </w:r>
      <w:r w:rsidR="00CA1BD9">
        <w:rPr>
          <w:rFonts w:ascii="Times New Roman" w:hAnsi="Times New Roman" w:cs="Times New Roman"/>
        </w:rPr>
        <w:lastRenderedPageBreak/>
        <w:t>captured in the scenario</w:t>
      </w:r>
      <w:r w:rsidR="006C2542">
        <w:rPr>
          <w:rFonts w:ascii="Times New Roman" w:hAnsi="Times New Roman" w:cs="Times New Roman"/>
        </w:rPr>
        <w:t>s</w:t>
      </w:r>
      <w:r w:rsidR="00CA1BD9">
        <w:rPr>
          <w:rFonts w:ascii="Times New Roman" w:hAnsi="Times New Roman" w:cs="Times New Roman"/>
        </w:rPr>
        <w:t xml:space="preserve"> tends to increase the </w:t>
      </w:r>
      <w:r w:rsidR="006C2542">
        <w:rPr>
          <w:rFonts w:ascii="Times New Roman" w:hAnsi="Times New Roman" w:cs="Times New Roman"/>
        </w:rPr>
        <w:t xml:space="preserve">central tendency of the </w:t>
      </w:r>
      <w:r w:rsidR="00CA1BD9">
        <w:rPr>
          <w:rFonts w:ascii="Times New Roman" w:hAnsi="Times New Roman" w:cs="Times New Roman"/>
        </w:rPr>
        <w:t>point estimate.</w:t>
      </w:r>
      <w:r w:rsidR="008D5139" w:rsidRPr="008D5139">
        <w:rPr>
          <w:rFonts w:ascii="Times New Roman" w:hAnsi="Times New Roman" w:cs="Times New Roman"/>
        </w:rPr>
        <w:t xml:space="preserve">  All simulated outcomes were positive. </w:t>
      </w:r>
      <w:r w:rsidR="00870708">
        <w:rPr>
          <w:rFonts w:ascii="Times New Roman" w:hAnsi="Times New Roman" w:cs="Times New Roman"/>
        </w:rPr>
        <w:t xml:space="preserve"> </w:t>
      </w:r>
    </w:p>
    <w:p w14:paraId="0FF52186" w14:textId="605D22D6" w:rsidR="00454BE7" w:rsidRDefault="008D5139" w:rsidP="00565297">
      <w:pPr>
        <w:pStyle w:val="Heading1"/>
        <w:spacing w:line="360" w:lineRule="auto"/>
      </w:pPr>
      <w:r w:rsidRPr="008D5139">
        <w:t xml:space="preserve"> </w:t>
      </w:r>
      <w:r w:rsidR="00454BE7">
        <w:t xml:space="preserve">Potential Benefits from Alternative </w:t>
      </w:r>
      <w:r w:rsidR="00565297">
        <w:t xml:space="preserve">Border Management </w:t>
      </w:r>
      <w:r w:rsidR="00454BE7">
        <w:t>Policies</w:t>
      </w:r>
    </w:p>
    <w:p w14:paraId="61DB01FA" w14:textId="610C78B7" w:rsidR="00454BE7" w:rsidRDefault="00565297" w:rsidP="00B03FCA">
      <w:pPr>
        <w:spacing w:after="160" w:line="360" w:lineRule="auto"/>
        <w:rPr>
          <w:rFonts w:ascii="Times New Roman" w:hAnsi="Times New Roman" w:cs="Times New Roman"/>
        </w:rPr>
      </w:pPr>
      <w:r>
        <w:rPr>
          <w:rFonts w:ascii="Times New Roman" w:hAnsi="Times New Roman" w:cs="Times New Roman"/>
        </w:rPr>
        <w:t xml:space="preserve">The net benefits of specific policy alternatives </w:t>
      </w:r>
      <w:r w:rsidR="00AC10D8">
        <w:rPr>
          <w:rFonts w:ascii="Times New Roman" w:hAnsi="Times New Roman" w:cs="Times New Roman"/>
        </w:rPr>
        <w:t xml:space="preserve">can </w:t>
      </w:r>
      <w:r>
        <w:rPr>
          <w:rFonts w:ascii="Times New Roman" w:hAnsi="Times New Roman" w:cs="Times New Roman"/>
        </w:rPr>
        <w:t>be evaluated by changing the number of people, the proportions, or the value</w:t>
      </w:r>
      <w:r w:rsidR="00AC10D8">
        <w:rPr>
          <w:rFonts w:ascii="Times New Roman" w:hAnsi="Times New Roman" w:cs="Times New Roman"/>
        </w:rPr>
        <w:t>s</w:t>
      </w:r>
      <w:r>
        <w:rPr>
          <w:rFonts w:ascii="Times New Roman" w:hAnsi="Times New Roman" w:cs="Times New Roman"/>
        </w:rPr>
        <w:t xml:space="preserve"> associated with different outcomes.  </w:t>
      </w:r>
      <w:r w:rsidR="003F76C7">
        <w:rPr>
          <w:rFonts w:ascii="Times New Roman" w:hAnsi="Times New Roman" w:cs="Times New Roman"/>
        </w:rPr>
        <w:t>T</w:t>
      </w:r>
      <w:r w:rsidR="00AC10D8">
        <w:rPr>
          <w:rFonts w:ascii="Times New Roman" w:hAnsi="Times New Roman" w:cs="Times New Roman"/>
        </w:rPr>
        <w:t xml:space="preserve">he impact from differing policies </w:t>
      </w:r>
      <w:r w:rsidR="003F76C7">
        <w:rPr>
          <w:rFonts w:ascii="Times New Roman" w:hAnsi="Times New Roman" w:cs="Times New Roman"/>
        </w:rPr>
        <w:t xml:space="preserve">can be illustrated </w:t>
      </w:r>
      <w:r w:rsidR="00AC10D8">
        <w:rPr>
          <w:rFonts w:ascii="Times New Roman" w:hAnsi="Times New Roman" w:cs="Times New Roman"/>
        </w:rPr>
        <w:t>e</w:t>
      </w:r>
      <w:r>
        <w:rPr>
          <w:rFonts w:ascii="Times New Roman" w:hAnsi="Times New Roman" w:cs="Times New Roman"/>
        </w:rPr>
        <w:t xml:space="preserve">ven in the absence of cost information.  Such </w:t>
      </w:r>
      <w:r w:rsidR="00AC10D8">
        <w:rPr>
          <w:rFonts w:ascii="Times New Roman" w:hAnsi="Times New Roman" w:cs="Times New Roman"/>
        </w:rPr>
        <w:t xml:space="preserve">analysis is </w:t>
      </w:r>
      <w:r w:rsidR="00CF38CD">
        <w:rPr>
          <w:rFonts w:ascii="Times New Roman" w:hAnsi="Times New Roman" w:cs="Times New Roman"/>
        </w:rPr>
        <w:t>incomplete,</w:t>
      </w:r>
      <w:r w:rsidR="00AC10D8">
        <w:rPr>
          <w:rFonts w:ascii="Times New Roman" w:hAnsi="Times New Roman" w:cs="Times New Roman"/>
        </w:rPr>
        <w:t xml:space="preserve"> but it provides a net benefit</w:t>
      </w:r>
      <w:r>
        <w:rPr>
          <w:rFonts w:ascii="Times New Roman" w:hAnsi="Times New Roman" w:cs="Times New Roman"/>
        </w:rPr>
        <w:t xml:space="preserve"> break-even value for the</w:t>
      </w:r>
      <w:r w:rsidR="00AC10D8">
        <w:rPr>
          <w:rFonts w:ascii="Times New Roman" w:hAnsi="Times New Roman" w:cs="Times New Roman"/>
        </w:rPr>
        <w:t xml:space="preserve"> implementation</w:t>
      </w:r>
      <w:r>
        <w:rPr>
          <w:rFonts w:ascii="Times New Roman" w:hAnsi="Times New Roman" w:cs="Times New Roman"/>
        </w:rPr>
        <w:t xml:space="preserve"> </w:t>
      </w:r>
      <w:r w:rsidR="00B03FCA">
        <w:rPr>
          <w:rFonts w:ascii="Times New Roman" w:hAnsi="Times New Roman" w:cs="Times New Roman"/>
        </w:rPr>
        <w:t>cost</w:t>
      </w:r>
      <w:r w:rsidR="003F76C7">
        <w:rPr>
          <w:rFonts w:ascii="Times New Roman" w:hAnsi="Times New Roman" w:cs="Times New Roman"/>
        </w:rPr>
        <w:t xml:space="preserve"> given a particular impact</w:t>
      </w:r>
      <w:r w:rsidR="00B03FCA">
        <w:rPr>
          <w:rFonts w:ascii="Times New Roman" w:hAnsi="Times New Roman" w:cs="Times New Roman"/>
        </w:rPr>
        <w:t xml:space="preserve">.  </w:t>
      </w:r>
    </w:p>
    <w:p w14:paraId="220F6AF9" w14:textId="5680B8E4" w:rsidR="00B03FCA" w:rsidRDefault="00B03FCA" w:rsidP="00B03FCA">
      <w:pPr>
        <w:spacing w:after="160" w:line="360" w:lineRule="auto"/>
        <w:rPr>
          <w:rFonts w:ascii="Times New Roman" w:hAnsi="Times New Roman" w:cs="Times New Roman"/>
        </w:rPr>
      </w:pPr>
      <w:r>
        <w:rPr>
          <w:rFonts w:ascii="Times New Roman" w:hAnsi="Times New Roman" w:cs="Times New Roman"/>
        </w:rPr>
        <w:t>Five potential policies are used to illustrate this effect</w:t>
      </w:r>
      <w:r w:rsidR="00AC10D8">
        <w:rPr>
          <w:rFonts w:ascii="Times New Roman" w:hAnsi="Times New Roman" w:cs="Times New Roman"/>
        </w:rPr>
        <w:t xml:space="preserve"> without exhausting the </w:t>
      </w:r>
      <w:r w:rsidR="003F76C7">
        <w:rPr>
          <w:rFonts w:ascii="Times New Roman" w:hAnsi="Times New Roman" w:cs="Times New Roman"/>
        </w:rPr>
        <w:t>many possibilities</w:t>
      </w:r>
      <w:r w:rsidR="00AC10D8">
        <w:rPr>
          <w:rFonts w:ascii="Times New Roman" w:hAnsi="Times New Roman" w:cs="Times New Roman"/>
        </w:rPr>
        <w:t xml:space="preserve">.  </w:t>
      </w:r>
      <w:r w:rsidR="003F76C7">
        <w:rPr>
          <w:rFonts w:ascii="Times New Roman" w:hAnsi="Times New Roman" w:cs="Times New Roman"/>
        </w:rPr>
        <w:t>Evaluations</w:t>
      </w:r>
      <w:r w:rsidR="00AC10D8">
        <w:rPr>
          <w:rFonts w:ascii="Times New Roman" w:hAnsi="Times New Roman" w:cs="Times New Roman"/>
        </w:rPr>
        <w:t xml:space="preserve"> based on new actions at the border are</w:t>
      </w:r>
      <w:r>
        <w:rPr>
          <w:rFonts w:ascii="Times New Roman" w:hAnsi="Times New Roman" w:cs="Times New Roman"/>
        </w:rPr>
        <w:t xml:space="preserve">:  1) increased apprehensions, 2) reduced deaths, and 3) reduced Remove in Absentia.  </w:t>
      </w:r>
      <w:r w:rsidR="003F76C7">
        <w:rPr>
          <w:rFonts w:ascii="Times New Roman" w:hAnsi="Times New Roman" w:cs="Times New Roman"/>
        </w:rPr>
        <w:t>Evaluations</w:t>
      </w:r>
      <w:r w:rsidR="00AC10D8">
        <w:rPr>
          <w:rFonts w:ascii="Times New Roman" w:hAnsi="Times New Roman" w:cs="Times New Roman"/>
        </w:rPr>
        <w:t xml:space="preserve"> based on</w:t>
      </w:r>
      <w:r w:rsidR="004F1163">
        <w:rPr>
          <w:rFonts w:ascii="Times New Roman" w:hAnsi="Times New Roman" w:cs="Times New Roman"/>
        </w:rPr>
        <w:t xml:space="preserve"> interior </w:t>
      </w:r>
      <w:r w:rsidR="003F76C7">
        <w:rPr>
          <w:rFonts w:ascii="Times New Roman" w:hAnsi="Times New Roman" w:cs="Times New Roman"/>
        </w:rPr>
        <w:t xml:space="preserve">actions </w:t>
      </w:r>
      <w:r w:rsidR="00AC10D8">
        <w:rPr>
          <w:rFonts w:ascii="Times New Roman" w:hAnsi="Times New Roman" w:cs="Times New Roman"/>
        </w:rPr>
        <w:t>are</w:t>
      </w:r>
      <w:r w:rsidR="004F1163">
        <w:rPr>
          <w:rFonts w:ascii="Times New Roman" w:hAnsi="Times New Roman" w:cs="Times New Roman"/>
        </w:rPr>
        <w:t>: 1) interior removals</w:t>
      </w:r>
      <w:r>
        <w:rPr>
          <w:rFonts w:ascii="Times New Roman" w:hAnsi="Times New Roman" w:cs="Times New Roman"/>
        </w:rPr>
        <w:t xml:space="preserve"> </w:t>
      </w:r>
      <w:r w:rsidR="004F1163">
        <w:rPr>
          <w:rFonts w:ascii="Times New Roman" w:hAnsi="Times New Roman" w:cs="Times New Roman"/>
        </w:rPr>
        <w:t>and 2) amnesty.</w:t>
      </w:r>
    </w:p>
    <w:p w14:paraId="7839A1D1" w14:textId="222023E7" w:rsidR="004F1163" w:rsidRDefault="004F1163" w:rsidP="00B03FCA">
      <w:pPr>
        <w:spacing w:after="160" w:line="360" w:lineRule="auto"/>
        <w:rPr>
          <w:rFonts w:ascii="Times New Roman" w:hAnsi="Times New Roman" w:cs="Times New Roman"/>
        </w:rPr>
      </w:pPr>
      <w:r>
        <w:rPr>
          <w:rFonts w:ascii="Times New Roman" w:hAnsi="Times New Roman" w:cs="Times New Roman"/>
          <w:i/>
          <w:iCs/>
        </w:rPr>
        <w:t>Increased apprehensions</w:t>
      </w:r>
      <w:r>
        <w:rPr>
          <w:rFonts w:ascii="Times New Roman" w:hAnsi="Times New Roman" w:cs="Times New Roman"/>
        </w:rPr>
        <w:t xml:space="preserve">:  The per person net benefit </w:t>
      </w:r>
      <w:r w:rsidR="00682BDA">
        <w:rPr>
          <w:rFonts w:ascii="Times New Roman" w:hAnsi="Times New Roman" w:cs="Times New Roman"/>
        </w:rPr>
        <w:t xml:space="preserve">from Table 6 </w:t>
      </w:r>
      <w:r>
        <w:rPr>
          <w:rFonts w:ascii="Times New Roman" w:hAnsi="Times New Roman" w:cs="Times New Roman"/>
        </w:rPr>
        <w:t xml:space="preserve">can be immediately applied to estimate the </w:t>
      </w:r>
      <w:r w:rsidR="00682BDA">
        <w:rPr>
          <w:rFonts w:ascii="Times New Roman" w:hAnsi="Times New Roman" w:cs="Times New Roman"/>
        </w:rPr>
        <w:t xml:space="preserve">potential </w:t>
      </w:r>
      <w:r>
        <w:rPr>
          <w:rFonts w:ascii="Times New Roman" w:hAnsi="Times New Roman" w:cs="Times New Roman"/>
        </w:rPr>
        <w:t xml:space="preserve">benefit.  If </w:t>
      </w:r>
      <w:r w:rsidR="00131F66">
        <w:rPr>
          <w:rFonts w:ascii="Times New Roman" w:hAnsi="Times New Roman" w:cs="Times New Roman"/>
        </w:rPr>
        <w:t xml:space="preserve">an average group of </w:t>
      </w:r>
      <w:r>
        <w:rPr>
          <w:rFonts w:ascii="Times New Roman" w:hAnsi="Times New Roman" w:cs="Times New Roman"/>
        </w:rPr>
        <w:t>25,000 more people</w:t>
      </w:r>
      <w:r w:rsidR="00131F66">
        <w:rPr>
          <w:rFonts w:ascii="Times New Roman" w:hAnsi="Times New Roman" w:cs="Times New Roman"/>
        </w:rPr>
        <w:t xml:space="preserve"> were apprehended</w:t>
      </w:r>
      <w:r w:rsidR="00CF10EA">
        <w:rPr>
          <w:rFonts w:ascii="Times New Roman" w:hAnsi="Times New Roman" w:cs="Times New Roman"/>
        </w:rPr>
        <w:t>, about 15 percent of those getting away in 2017,</w:t>
      </w:r>
      <w:r>
        <w:rPr>
          <w:rFonts w:ascii="Times New Roman" w:hAnsi="Times New Roman" w:cs="Times New Roman"/>
        </w:rPr>
        <w:t xml:space="preserve"> then the </w:t>
      </w:r>
      <w:r w:rsidR="00682BDA">
        <w:rPr>
          <w:rFonts w:ascii="Times New Roman" w:hAnsi="Times New Roman" w:cs="Times New Roman"/>
        </w:rPr>
        <w:t xml:space="preserve">one-year cohort </w:t>
      </w:r>
      <w:r>
        <w:rPr>
          <w:rFonts w:ascii="Times New Roman" w:hAnsi="Times New Roman" w:cs="Times New Roman"/>
        </w:rPr>
        <w:t xml:space="preserve">present value </w:t>
      </w:r>
      <w:r w:rsidR="00330A93">
        <w:rPr>
          <w:rFonts w:ascii="Times New Roman" w:hAnsi="Times New Roman" w:cs="Times New Roman"/>
        </w:rPr>
        <w:t xml:space="preserve">net benefit </w:t>
      </w:r>
      <w:r>
        <w:rPr>
          <w:rFonts w:ascii="Times New Roman" w:hAnsi="Times New Roman" w:cs="Times New Roman"/>
        </w:rPr>
        <w:t xml:space="preserve">is $1.9 billion.  If the </w:t>
      </w:r>
      <w:r w:rsidR="00131F66">
        <w:rPr>
          <w:rFonts w:ascii="Times New Roman" w:hAnsi="Times New Roman" w:cs="Times New Roman"/>
        </w:rPr>
        <w:t>life</w:t>
      </w:r>
      <w:r w:rsidR="00507A27">
        <w:rPr>
          <w:rFonts w:ascii="Times New Roman" w:hAnsi="Times New Roman" w:cs="Times New Roman"/>
        </w:rPr>
        <w:t>time</w:t>
      </w:r>
      <w:r>
        <w:rPr>
          <w:rFonts w:ascii="Times New Roman" w:hAnsi="Times New Roman" w:cs="Times New Roman"/>
        </w:rPr>
        <w:t xml:space="preserve"> of the technology used to increase the apprehensions is 20 years, then the present value is $2</w:t>
      </w:r>
      <w:r w:rsidR="0078577D">
        <w:rPr>
          <w:rFonts w:ascii="Times New Roman" w:hAnsi="Times New Roman" w:cs="Times New Roman"/>
        </w:rPr>
        <w:t>8.0</w:t>
      </w:r>
      <w:r>
        <w:rPr>
          <w:rFonts w:ascii="Times New Roman" w:hAnsi="Times New Roman" w:cs="Times New Roman"/>
        </w:rPr>
        <w:t xml:space="preserve"> billion</w:t>
      </w:r>
      <w:r w:rsidR="00CF10EA">
        <w:rPr>
          <w:rStyle w:val="FootnoteReference"/>
          <w:rFonts w:ascii="Times New Roman" w:hAnsi="Times New Roman" w:cs="Times New Roman"/>
        </w:rPr>
        <w:footnoteReference w:id="19"/>
      </w:r>
      <w:r w:rsidR="00CF10EA">
        <w:rPr>
          <w:rFonts w:ascii="Times New Roman" w:hAnsi="Times New Roman" w:cs="Times New Roman"/>
        </w:rPr>
        <w:t>.</w:t>
      </w:r>
      <w:r>
        <w:rPr>
          <w:rFonts w:ascii="Times New Roman" w:hAnsi="Times New Roman" w:cs="Times New Roman"/>
        </w:rPr>
        <w:t xml:space="preserve"> </w:t>
      </w:r>
      <w:r w:rsidR="00CF10EA">
        <w:rPr>
          <w:rFonts w:ascii="Times New Roman" w:hAnsi="Times New Roman" w:cs="Times New Roman"/>
        </w:rPr>
        <w:t xml:space="preserve"> Greater apprehensions would increase these values linearly.  This illustrates the </w:t>
      </w:r>
      <w:r w:rsidR="00682BDA">
        <w:rPr>
          <w:rFonts w:ascii="Times New Roman" w:hAnsi="Times New Roman" w:cs="Times New Roman"/>
        </w:rPr>
        <w:t xml:space="preserve">potential for further government investments but is not a net benefit measure as </w:t>
      </w:r>
      <w:r w:rsidR="00846054">
        <w:rPr>
          <w:rFonts w:ascii="Times New Roman" w:hAnsi="Times New Roman" w:cs="Times New Roman"/>
        </w:rPr>
        <w:t>new</w:t>
      </w:r>
      <w:r w:rsidR="00682BDA">
        <w:rPr>
          <w:rFonts w:ascii="Times New Roman" w:hAnsi="Times New Roman" w:cs="Times New Roman"/>
        </w:rPr>
        <w:t xml:space="preserve"> </w:t>
      </w:r>
      <w:r w:rsidR="00DC63A4">
        <w:rPr>
          <w:rFonts w:ascii="Times New Roman" w:hAnsi="Times New Roman" w:cs="Times New Roman"/>
        </w:rPr>
        <w:t xml:space="preserve">implementation </w:t>
      </w:r>
      <w:r w:rsidR="00682BDA">
        <w:rPr>
          <w:rFonts w:ascii="Times New Roman" w:hAnsi="Times New Roman" w:cs="Times New Roman"/>
        </w:rPr>
        <w:t>cost</w:t>
      </w:r>
      <w:r w:rsidR="00846054">
        <w:rPr>
          <w:rFonts w:ascii="Times New Roman" w:hAnsi="Times New Roman" w:cs="Times New Roman"/>
        </w:rPr>
        <w:t>s</w:t>
      </w:r>
      <w:r w:rsidR="00682BDA">
        <w:rPr>
          <w:rFonts w:ascii="Times New Roman" w:hAnsi="Times New Roman" w:cs="Times New Roman"/>
        </w:rPr>
        <w:t xml:space="preserve"> </w:t>
      </w:r>
      <w:r w:rsidR="00846054">
        <w:rPr>
          <w:rFonts w:ascii="Times New Roman" w:hAnsi="Times New Roman" w:cs="Times New Roman"/>
        </w:rPr>
        <w:t>are not included</w:t>
      </w:r>
      <w:r w:rsidR="00682BDA">
        <w:rPr>
          <w:rFonts w:ascii="Times New Roman" w:hAnsi="Times New Roman" w:cs="Times New Roman"/>
        </w:rPr>
        <w:t xml:space="preserve">.  </w:t>
      </w:r>
      <w:r w:rsidR="00DC63A4">
        <w:rPr>
          <w:rFonts w:ascii="Times New Roman" w:hAnsi="Times New Roman" w:cs="Times New Roman"/>
        </w:rPr>
        <w:t xml:space="preserve"> </w:t>
      </w:r>
    </w:p>
    <w:p w14:paraId="37AF57D6" w14:textId="460E077F" w:rsidR="00DD4724" w:rsidRPr="0078577D" w:rsidRDefault="00DD4724" w:rsidP="00B03FCA">
      <w:pPr>
        <w:spacing w:after="160" w:line="360" w:lineRule="auto"/>
        <w:rPr>
          <w:rFonts w:ascii="Times New Roman" w:hAnsi="Times New Roman" w:cs="Times New Roman"/>
          <w:color w:val="FF0000"/>
        </w:rPr>
      </w:pPr>
      <w:r>
        <w:rPr>
          <w:rFonts w:ascii="Times New Roman" w:hAnsi="Times New Roman" w:cs="Times New Roman"/>
          <w:i/>
          <w:iCs/>
        </w:rPr>
        <w:t>Reduced deaths</w:t>
      </w:r>
      <w:r>
        <w:rPr>
          <w:rFonts w:ascii="Times New Roman" w:hAnsi="Times New Roman" w:cs="Times New Roman"/>
        </w:rPr>
        <w:t xml:space="preserve">:  The per death avoided </w:t>
      </w:r>
      <w:r w:rsidR="002B4DB0">
        <w:rPr>
          <w:rFonts w:ascii="Times New Roman" w:hAnsi="Times New Roman" w:cs="Times New Roman"/>
        </w:rPr>
        <w:t xml:space="preserve">conditional value from Table 4 of $686,083 can used directly as a benefit per death avoided.  That value includes some deterrence effect and existing costs to DHS.  A new technology or policy that reduces deaths by 20 percent (about 100 deaths) </w:t>
      </w:r>
      <w:r w:rsidR="00E903E3">
        <w:rPr>
          <w:rFonts w:ascii="Times New Roman" w:hAnsi="Times New Roman" w:cs="Times New Roman"/>
        </w:rPr>
        <w:t>yields</w:t>
      </w:r>
      <w:r w:rsidR="002B4DB0">
        <w:rPr>
          <w:rFonts w:ascii="Times New Roman" w:hAnsi="Times New Roman" w:cs="Times New Roman"/>
        </w:rPr>
        <w:t xml:space="preserve"> a single year benefit </w:t>
      </w:r>
      <w:r w:rsidR="002B4DB0">
        <w:rPr>
          <w:rFonts w:ascii="Times New Roman" w:hAnsi="Times New Roman" w:cs="Times New Roman"/>
        </w:rPr>
        <w:lastRenderedPageBreak/>
        <w:t xml:space="preserve">of $69 million and a </w:t>
      </w:r>
      <w:r w:rsidR="00E903E3">
        <w:rPr>
          <w:rFonts w:ascii="Times New Roman" w:hAnsi="Times New Roman" w:cs="Times New Roman"/>
        </w:rPr>
        <w:t>20-year</w:t>
      </w:r>
      <w:r w:rsidR="002B4DB0">
        <w:rPr>
          <w:rFonts w:ascii="Times New Roman" w:hAnsi="Times New Roman" w:cs="Times New Roman"/>
        </w:rPr>
        <w:t xml:space="preserve"> lifetime benefit of $1.0 billion</w:t>
      </w:r>
      <w:r w:rsidR="00DC63A4">
        <w:rPr>
          <w:rFonts w:ascii="Times New Roman" w:hAnsi="Times New Roman" w:cs="Times New Roman"/>
        </w:rPr>
        <w:t xml:space="preserve"> before inclusion of the cost of the policy</w:t>
      </w:r>
      <w:r w:rsidR="002B4DB0">
        <w:rPr>
          <w:rFonts w:ascii="Times New Roman" w:hAnsi="Times New Roman" w:cs="Times New Roman"/>
        </w:rPr>
        <w:t>.</w:t>
      </w:r>
      <w:r w:rsidR="00B22402">
        <w:rPr>
          <w:rFonts w:ascii="Times New Roman" w:hAnsi="Times New Roman" w:cs="Times New Roman"/>
        </w:rPr>
        <w:t xml:space="preserve"> These benefits do not include the cost of any new policy.</w:t>
      </w:r>
    </w:p>
    <w:p w14:paraId="43B58E1F" w14:textId="0D5F90B7" w:rsidR="00B03FCA" w:rsidRPr="00B22402" w:rsidRDefault="00CF38CD" w:rsidP="00B03FCA">
      <w:pPr>
        <w:spacing w:after="160" w:line="360" w:lineRule="auto"/>
        <w:rPr>
          <w:rFonts w:ascii="Times New Roman" w:hAnsi="Times New Roman" w:cs="Times New Roman"/>
          <w:color w:val="FF0000"/>
        </w:rPr>
      </w:pPr>
      <w:r>
        <w:rPr>
          <w:rFonts w:ascii="Times New Roman" w:hAnsi="Times New Roman" w:cs="Times New Roman"/>
          <w:i/>
          <w:iCs/>
        </w:rPr>
        <w:t>Reduced Remove in Absentia</w:t>
      </w:r>
      <w:r>
        <w:rPr>
          <w:rFonts w:ascii="Times New Roman" w:hAnsi="Times New Roman" w:cs="Times New Roman"/>
        </w:rPr>
        <w:t>:</w:t>
      </w:r>
      <w:r w:rsidR="00D222CD">
        <w:rPr>
          <w:rFonts w:ascii="Times New Roman" w:hAnsi="Times New Roman" w:cs="Times New Roman"/>
        </w:rPr>
        <w:t xml:space="preserve">  If a policy </w:t>
      </w:r>
      <w:r w:rsidR="00330A93">
        <w:rPr>
          <w:rFonts w:ascii="Times New Roman" w:hAnsi="Times New Roman" w:cs="Times New Roman"/>
        </w:rPr>
        <w:t xml:space="preserve">manages people at the border in a way that reduces the Remove in Absentia portion of asylum seekers, then additional benefits would result.  Consistent with the </w:t>
      </w:r>
      <w:r w:rsidR="00507A27">
        <w:rPr>
          <w:rFonts w:ascii="Times New Roman" w:hAnsi="Times New Roman" w:cs="Times New Roman"/>
        </w:rPr>
        <w:t>baseline analysis</w:t>
      </w:r>
      <w:r w:rsidR="00330A93">
        <w:rPr>
          <w:rFonts w:ascii="Times New Roman" w:hAnsi="Times New Roman" w:cs="Times New Roman"/>
        </w:rPr>
        <w:t xml:space="preserve"> that 14 percent of asylum seekers achieve asylum, then eighty-six percent would be </w:t>
      </w:r>
      <w:r w:rsidR="00DF3BC4">
        <w:rPr>
          <w:rFonts w:ascii="Times New Roman" w:hAnsi="Times New Roman" w:cs="Times New Roman"/>
        </w:rPr>
        <w:t xml:space="preserve">potential </w:t>
      </w:r>
      <w:r w:rsidR="00507A27">
        <w:rPr>
          <w:rFonts w:ascii="Times New Roman" w:hAnsi="Times New Roman" w:cs="Times New Roman"/>
        </w:rPr>
        <w:t xml:space="preserve">non-criminal removals. Weighting the conditional </w:t>
      </w:r>
      <w:r w:rsidR="00DF3BC4">
        <w:rPr>
          <w:rFonts w:ascii="Times New Roman" w:hAnsi="Times New Roman" w:cs="Times New Roman"/>
        </w:rPr>
        <w:t xml:space="preserve">outcome </w:t>
      </w:r>
      <w:r w:rsidR="00507A27">
        <w:rPr>
          <w:rFonts w:ascii="Times New Roman" w:hAnsi="Times New Roman" w:cs="Times New Roman"/>
        </w:rPr>
        <w:t xml:space="preserve">values of Table 4 by these success </w:t>
      </w:r>
      <w:r w:rsidR="00330A93">
        <w:rPr>
          <w:rFonts w:ascii="Times New Roman" w:hAnsi="Times New Roman" w:cs="Times New Roman"/>
        </w:rPr>
        <w:t>proportions</w:t>
      </w:r>
      <w:r w:rsidR="00507A27">
        <w:rPr>
          <w:rFonts w:ascii="Times New Roman" w:hAnsi="Times New Roman" w:cs="Times New Roman"/>
        </w:rPr>
        <w:t xml:space="preserve"> and proportions of asylee groups</w:t>
      </w:r>
      <w:r w:rsidR="00D60548">
        <w:rPr>
          <w:rFonts w:ascii="Times New Roman" w:hAnsi="Times New Roman" w:cs="Times New Roman"/>
        </w:rPr>
        <w:t xml:space="preserve"> yields an expected value for what would have been an RIA. </w:t>
      </w:r>
      <w:r w:rsidR="00330A93">
        <w:rPr>
          <w:rFonts w:ascii="Times New Roman" w:hAnsi="Times New Roman" w:cs="Times New Roman"/>
        </w:rPr>
        <w:t xml:space="preserve"> </w:t>
      </w:r>
      <w:r w:rsidR="00D60548">
        <w:rPr>
          <w:rFonts w:ascii="Times New Roman" w:hAnsi="Times New Roman" w:cs="Times New Roman"/>
        </w:rPr>
        <w:t>I</w:t>
      </w:r>
      <w:r w:rsidR="00330A93">
        <w:rPr>
          <w:rFonts w:ascii="Times New Roman" w:hAnsi="Times New Roman" w:cs="Times New Roman"/>
        </w:rPr>
        <w:t>f a new policy such as faster asylee evaluation at the border reduced RIAs by 20 percent, then the net benefits in a single year are $1.6 billion and $</w:t>
      </w:r>
      <w:r w:rsidR="0078577D">
        <w:rPr>
          <w:rFonts w:ascii="Times New Roman" w:hAnsi="Times New Roman" w:cs="Times New Roman"/>
        </w:rPr>
        <w:t>23.9</w:t>
      </w:r>
      <w:r w:rsidR="00330A93">
        <w:rPr>
          <w:rFonts w:ascii="Times New Roman" w:hAnsi="Times New Roman" w:cs="Times New Roman"/>
        </w:rPr>
        <w:t xml:space="preserve"> billion over the lifetime of a technology</w:t>
      </w:r>
      <w:r w:rsidR="00D60548">
        <w:rPr>
          <w:rFonts w:ascii="Times New Roman" w:hAnsi="Times New Roman" w:cs="Times New Roman"/>
        </w:rPr>
        <w:t xml:space="preserve"> prior to consideration of costs of implementation.</w:t>
      </w:r>
      <w:r w:rsidR="0075618A">
        <w:rPr>
          <w:rFonts w:ascii="Times New Roman" w:hAnsi="Times New Roman" w:cs="Times New Roman"/>
        </w:rPr>
        <w:t xml:space="preserve">  Net benefits increase proportionally with reduction in RIAs.</w:t>
      </w:r>
      <w:r w:rsidR="00B22402">
        <w:rPr>
          <w:rFonts w:ascii="Times New Roman" w:hAnsi="Times New Roman" w:cs="Times New Roman"/>
        </w:rPr>
        <w:t xml:space="preserve"> These benefits do not include the cost of any new policy.</w:t>
      </w:r>
    </w:p>
    <w:p w14:paraId="4A973F0C" w14:textId="1B7A87F7" w:rsidR="000E663E" w:rsidRDefault="000E663E" w:rsidP="00B03FCA">
      <w:pPr>
        <w:spacing w:after="160" w:line="360" w:lineRule="auto"/>
        <w:rPr>
          <w:rFonts w:ascii="Times New Roman" w:hAnsi="Times New Roman" w:cs="Times New Roman"/>
          <w:color w:val="FF0000"/>
        </w:rPr>
      </w:pPr>
      <w:r w:rsidRPr="000E663E">
        <w:rPr>
          <w:rFonts w:ascii="Times New Roman" w:hAnsi="Times New Roman" w:cs="Times New Roman"/>
          <w:i/>
          <w:iCs/>
        </w:rPr>
        <w:t xml:space="preserve">Interior Removals:  </w:t>
      </w:r>
      <w:r>
        <w:rPr>
          <w:rFonts w:ascii="Times New Roman" w:hAnsi="Times New Roman" w:cs="Times New Roman"/>
        </w:rPr>
        <w:t xml:space="preserve">A policy of apprehending and removing Get-Aways or RIAs would be evaluated using the residual conditional values of Table 5.  Recall that these </w:t>
      </w:r>
      <w:r w:rsidR="00C30F9A">
        <w:rPr>
          <w:rFonts w:ascii="Times New Roman" w:hAnsi="Times New Roman" w:cs="Times New Roman"/>
        </w:rPr>
        <w:t>estimates</w:t>
      </w:r>
      <w:r>
        <w:rPr>
          <w:rFonts w:ascii="Times New Roman" w:hAnsi="Times New Roman" w:cs="Times New Roman"/>
        </w:rPr>
        <w:t xml:space="preserve"> do not include any value to the individual themselves as they </w:t>
      </w:r>
      <w:r w:rsidR="0075618A">
        <w:rPr>
          <w:rFonts w:ascii="Times New Roman" w:hAnsi="Times New Roman" w:cs="Times New Roman"/>
        </w:rPr>
        <w:t>lack</w:t>
      </w:r>
      <w:r>
        <w:rPr>
          <w:rFonts w:ascii="Times New Roman" w:hAnsi="Times New Roman" w:cs="Times New Roman"/>
        </w:rPr>
        <w:t xml:space="preserve"> standing. </w:t>
      </w:r>
      <w:r w:rsidR="001D0C19">
        <w:rPr>
          <w:rFonts w:ascii="Times New Roman" w:hAnsi="Times New Roman" w:cs="Times New Roman"/>
        </w:rPr>
        <w:t xml:space="preserve"> The benefit</w:t>
      </w:r>
      <w:r w:rsidR="0075618A">
        <w:rPr>
          <w:rFonts w:ascii="Times New Roman" w:hAnsi="Times New Roman" w:cs="Times New Roman"/>
        </w:rPr>
        <w:t xml:space="preserve"> of an interior removal</w:t>
      </w:r>
      <w:r w:rsidR="001D0C19">
        <w:rPr>
          <w:rFonts w:ascii="Times New Roman" w:hAnsi="Times New Roman" w:cs="Times New Roman"/>
        </w:rPr>
        <w:t xml:space="preserve"> would be the proportion of present value cost that is avoided.  For instance, </w:t>
      </w:r>
      <w:r w:rsidR="00442F16">
        <w:rPr>
          <w:rFonts w:ascii="Times New Roman" w:hAnsi="Times New Roman" w:cs="Times New Roman"/>
        </w:rPr>
        <w:t xml:space="preserve">if a criminal is caught in the interior after </w:t>
      </w:r>
      <w:r w:rsidR="00606418">
        <w:rPr>
          <w:rFonts w:ascii="Times New Roman" w:hAnsi="Times New Roman" w:cs="Times New Roman"/>
        </w:rPr>
        <w:t>3</w:t>
      </w:r>
      <w:r w:rsidR="00442F16">
        <w:rPr>
          <w:rFonts w:ascii="Times New Roman" w:hAnsi="Times New Roman" w:cs="Times New Roman"/>
        </w:rPr>
        <w:t xml:space="preserve"> year</w:t>
      </w:r>
      <w:r w:rsidR="00606418">
        <w:rPr>
          <w:rFonts w:ascii="Times New Roman" w:hAnsi="Times New Roman" w:cs="Times New Roman"/>
        </w:rPr>
        <w:t>s</w:t>
      </w:r>
      <w:r w:rsidR="00442F16">
        <w:rPr>
          <w:rFonts w:ascii="Times New Roman" w:hAnsi="Times New Roman" w:cs="Times New Roman"/>
        </w:rPr>
        <w:t xml:space="preserve"> (out of 10), the </w:t>
      </w:r>
      <w:r w:rsidR="000B54DD">
        <w:rPr>
          <w:rFonts w:ascii="Times New Roman" w:hAnsi="Times New Roman" w:cs="Times New Roman"/>
        </w:rPr>
        <w:t xml:space="preserve">approximate </w:t>
      </w:r>
      <w:r w:rsidR="00442F16">
        <w:rPr>
          <w:rFonts w:ascii="Times New Roman" w:hAnsi="Times New Roman" w:cs="Times New Roman"/>
        </w:rPr>
        <w:t xml:space="preserve">benefit is the PV difference </w:t>
      </w:r>
      <w:r w:rsidR="000B54DD">
        <w:rPr>
          <w:rFonts w:ascii="Times New Roman" w:hAnsi="Times New Roman" w:cs="Times New Roman"/>
        </w:rPr>
        <w:t xml:space="preserve">between the previous full cost and the now truncated cost </w:t>
      </w:r>
      <w:r w:rsidR="00606418">
        <w:rPr>
          <w:rFonts w:ascii="Times New Roman" w:hAnsi="Times New Roman" w:cs="Times New Roman"/>
        </w:rPr>
        <w:t xml:space="preserve">already </w:t>
      </w:r>
      <w:r w:rsidR="000B54DD">
        <w:rPr>
          <w:rFonts w:ascii="Times New Roman" w:hAnsi="Times New Roman" w:cs="Times New Roman"/>
        </w:rPr>
        <w:t>occurred</w:t>
      </w:r>
      <w:r w:rsidR="000B54DD">
        <w:rPr>
          <w:rStyle w:val="FootnoteReference"/>
          <w:rFonts w:ascii="Times New Roman" w:hAnsi="Times New Roman" w:cs="Times New Roman"/>
        </w:rPr>
        <w:footnoteReference w:id="20"/>
      </w:r>
      <w:r w:rsidR="00606418">
        <w:rPr>
          <w:rFonts w:ascii="Times New Roman" w:hAnsi="Times New Roman" w:cs="Times New Roman"/>
        </w:rPr>
        <w:t>.  If removed in year 3, the benefit is about $3</w:t>
      </w:r>
      <w:r w:rsidR="007C0B3F">
        <w:rPr>
          <w:rFonts w:ascii="Times New Roman" w:hAnsi="Times New Roman" w:cs="Times New Roman"/>
        </w:rPr>
        <w:t xml:space="preserve">67 thousand </w:t>
      </w:r>
      <w:r w:rsidR="00606418">
        <w:rPr>
          <w:rFonts w:ascii="Times New Roman" w:hAnsi="Times New Roman" w:cs="Times New Roman"/>
        </w:rPr>
        <w:t>and increases by $6</w:t>
      </w:r>
      <w:r w:rsidR="00B0590A">
        <w:rPr>
          <w:rFonts w:ascii="Times New Roman" w:hAnsi="Times New Roman" w:cs="Times New Roman"/>
        </w:rPr>
        <w:t>6</w:t>
      </w:r>
      <w:r w:rsidR="007C0B3F">
        <w:rPr>
          <w:rFonts w:ascii="Times New Roman" w:hAnsi="Times New Roman" w:cs="Times New Roman"/>
        </w:rPr>
        <w:t xml:space="preserve"> thousand</w:t>
      </w:r>
      <w:r w:rsidR="00606418">
        <w:rPr>
          <w:rFonts w:ascii="Times New Roman" w:hAnsi="Times New Roman" w:cs="Times New Roman"/>
        </w:rPr>
        <w:t xml:space="preserve"> for each year removed sooner or decreases by that amount for each year later.  </w:t>
      </w:r>
      <w:r w:rsidR="00C30F9A">
        <w:rPr>
          <w:rFonts w:ascii="Times New Roman" w:hAnsi="Times New Roman" w:cs="Times New Roman"/>
        </w:rPr>
        <w:t>These benefits do not include the cost of any new policy.</w:t>
      </w:r>
    </w:p>
    <w:p w14:paraId="5100D90B" w14:textId="1ADD4426" w:rsidR="00565297" w:rsidRPr="00565297" w:rsidRDefault="00F03D0D" w:rsidP="00B03FCA">
      <w:pPr>
        <w:spacing w:after="160" w:line="360" w:lineRule="auto"/>
        <w:rPr>
          <w:rFonts w:ascii="Times New Roman" w:hAnsi="Times New Roman" w:cs="Times New Roman"/>
        </w:rPr>
      </w:pPr>
      <w:r w:rsidRPr="00F03D0D">
        <w:rPr>
          <w:rFonts w:ascii="Times New Roman" w:hAnsi="Times New Roman" w:cs="Times New Roman"/>
          <w:i/>
          <w:iCs/>
        </w:rPr>
        <w:lastRenderedPageBreak/>
        <w:t xml:space="preserve">Amnesty for those in the interior except criminals:  </w:t>
      </w:r>
      <w:r w:rsidR="00C30F9A">
        <w:rPr>
          <w:rFonts w:ascii="Times New Roman" w:hAnsi="Times New Roman" w:cs="Times New Roman"/>
        </w:rPr>
        <w:t>In contrast to removing someone from the interior as above, granting amnesty changes the person’s standing.  Costs when illegal, such as fiscal costs, are now transfers.  Income earned is now a legal benefit given amnesty such that the person is essentially a successful asylee.  However, it is unclear if the significant security benefit received by asylees would also be appropriate</w:t>
      </w:r>
      <w:r w:rsidR="000642E0">
        <w:rPr>
          <w:rFonts w:ascii="Times New Roman" w:hAnsi="Times New Roman" w:cs="Times New Roman"/>
        </w:rPr>
        <w:t xml:space="preserve"> if amnesty is granted.  While assumptions could be changed, a straight-forward valuation would be to use the conditional expected value for a successful asylum seeker from Table 4, weighted by the </w:t>
      </w:r>
      <w:r w:rsidR="003D0649">
        <w:rPr>
          <w:rFonts w:ascii="Times New Roman" w:hAnsi="Times New Roman" w:cs="Times New Roman"/>
        </w:rPr>
        <w:t xml:space="preserve">annual </w:t>
      </w:r>
      <w:r w:rsidR="000642E0">
        <w:rPr>
          <w:rFonts w:ascii="Times New Roman" w:hAnsi="Times New Roman" w:cs="Times New Roman"/>
        </w:rPr>
        <w:t xml:space="preserve">number of people </w:t>
      </w:r>
      <w:r w:rsidR="00DB09FA">
        <w:rPr>
          <w:rFonts w:ascii="Times New Roman" w:hAnsi="Times New Roman" w:cs="Times New Roman"/>
        </w:rPr>
        <w:t xml:space="preserve">in </w:t>
      </w:r>
      <w:r w:rsidR="000642E0">
        <w:rPr>
          <w:rFonts w:ascii="Times New Roman" w:hAnsi="Times New Roman" w:cs="Times New Roman"/>
        </w:rPr>
        <w:t>the get-away/non-criminal and RIA categories.  The result is</w:t>
      </w:r>
      <w:r w:rsidR="003D0649">
        <w:rPr>
          <w:rFonts w:ascii="Times New Roman" w:hAnsi="Times New Roman" w:cs="Times New Roman"/>
        </w:rPr>
        <w:t xml:space="preserve"> $111.3 billion</w:t>
      </w:r>
      <w:r w:rsidR="00895330">
        <w:rPr>
          <w:rFonts w:ascii="Times New Roman" w:hAnsi="Times New Roman" w:cs="Times New Roman"/>
        </w:rPr>
        <w:t xml:space="preserve"> present value</w:t>
      </w:r>
      <w:r w:rsidR="003D0649">
        <w:rPr>
          <w:rFonts w:ascii="Times New Roman" w:hAnsi="Times New Roman" w:cs="Times New Roman"/>
        </w:rPr>
        <w:t xml:space="preserve"> net benefits </w:t>
      </w:r>
      <w:r w:rsidR="00895330">
        <w:rPr>
          <w:rFonts w:ascii="Times New Roman" w:hAnsi="Times New Roman" w:cs="Times New Roman"/>
        </w:rPr>
        <w:t>per annual cohort</w:t>
      </w:r>
      <w:r w:rsidR="000642E0">
        <w:rPr>
          <w:rFonts w:ascii="Times New Roman" w:hAnsi="Times New Roman" w:cs="Times New Roman"/>
        </w:rPr>
        <w:t xml:space="preserve">.  </w:t>
      </w:r>
      <w:r w:rsidR="003D0649">
        <w:rPr>
          <w:rFonts w:ascii="Times New Roman" w:hAnsi="Times New Roman" w:cs="Times New Roman"/>
        </w:rPr>
        <w:t>If amnesty were granted to the</w:t>
      </w:r>
      <w:r w:rsidR="00895330">
        <w:rPr>
          <w:rFonts w:ascii="Times New Roman" w:hAnsi="Times New Roman" w:cs="Times New Roman"/>
        </w:rPr>
        <w:t xml:space="preserve"> </w:t>
      </w:r>
      <w:r w:rsidR="003D0649">
        <w:rPr>
          <w:rFonts w:ascii="Times New Roman" w:hAnsi="Times New Roman" w:cs="Times New Roman"/>
        </w:rPr>
        <w:t xml:space="preserve">12 million undocumented </w:t>
      </w:r>
      <w:r w:rsidR="00895330">
        <w:rPr>
          <w:rFonts w:ascii="Times New Roman" w:hAnsi="Times New Roman" w:cs="Times New Roman"/>
        </w:rPr>
        <w:t>im</w:t>
      </w:r>
      <w:r w:rsidR="003D0649">
        <w:rPr>
          <w:rFonts w:ascii="Times New Roman" w:hAnsi="Times New Roman" w:cs="Times New Roman"/>
        </w:rPr>
        <w:t xml:space="preserve">migrants estimated to be resident in the US in 2017, then the </w:t>
      </w:r>
      <w:r w:rsidR="00895330">
        <w:rPr>
          <w:rFonts w:ascii="Times New Roman" w:hAnsi="Times New Roman" w:cs="Times New Roman"/>
        </w:rPr>
        <w:t>benefit</w:t>
      </w:r>
      <w:r w:rsidR="003D0649">
        <w:rPr>
          <w:rFonts w:ascii="Times New Roman" w:hAnsi="Times New Roman" w:cs="Times New Roman"/>
        </w:rPr>
        <w:t xml:space="preserve"> (using the adult asylum value) would be </w:t>
      </w:r>
      <w:r w:rsidR="00895330">
        <w:rPr>
          <w:rFonts w:ascii="Times New Roman" w:hAnsi="Times New Roman" w:cs="Times New Roman"/>
        </w:rPr>
        <w:t>$ 6.2 trillion dollars in present value</w:t>
      </w:r>
      <w:r w:rsidR="003D0649">
        <w:rPr>
          <w:rFonts w:ascii="Times New Roman" w:hAnsi="Times New Roman" w:cs="Times New Roman"/>
        </w:rPr>
        <w:t xml:space="preserve">.  </w:t>
      </w:r>
      <w:r w:rsidR="00895330">
        <w:rPr>
          <w:rFonts w:ascii="Times New Roman" w:hAnsi="Times New Roman" w:cs="Times New Roman"/>
        </w:rPr>
        <w:t xml:space="preserve">This </w:t>
      </w:r>
      <w:r w:rsidR="00B0590A">
        <w:rPr>
          <w:rFonts w:ascii="Times New Roman" w:hAnsi="Times New Roman" w:cs="Times New Roman"/>
        </w:rPr>
        <w:t xml:space="preserve">latter </w:t>
      </w:r>
      <w:r w:rsidR="00895330">
        <w:rPr>
          <w:rFonts w:ascii="Times New Roman" w:hAnsi="Times New Roman" w:cs="Times New Roman"/>
        </w:rPr>
        <w:t xml:space="preserve">value would not repeat.  </w:t>
      </w:r>
      <w:r w:rsidR="003D0649">
        <w:rPr>
          <w:rFonts w:ascii="Times New Roman" w:hAnsi="Times New Roman" w:cs="Times New Roman"/>
        </w:rPr>
        <w:t xml:space="preserve">Either policy would be </w:t>
      </w:r>
      <w:r w:rsidR="000642E0">
        <w:rPr>
          <w:rFonts w:ascii="Times New Roman" w:hAnsi="Times New Roman" w:cs="Times New Roman"/>
        </w:rPr>
        <w:t xml:space="preserve">a large policy change </w:t>
      </w:r>
      <w:r w:rsidR="00895330">
        <w:rPr>
          <w:rFonts w:ascii="Times New Roman" w:hAnsi="Times New Roman" w:cs="Times New Roman"/>
        </w:rPr>
        <w:t xml:space="preserve">that </w:t>
      </w:r>
      <w:r w:rsidR="000642E0">
        <w:rPr>
          <w:rFonts w:ascii="Times New Roman" w:hAnsi="Times New Roman" w:cs="Times New Roman"/>
        </w:rPr>
        <w:t xml:space="preserve">may well induce </w:t>
      </w:r>
      <w:r w:rsidR="00F31429">
        <w:rPr>
          <w:rFonts w:ascii="Times New Roman" w:hAnsi="Times New Roman" w:cs="Times New Roman"/>
        </w:rPr>
        <w:t xml:space="preserve">dynamic </w:t>
      </w:r>
      <w:r w:rsidR="000642E0">
        <w:rPr>
          <w:rFonts w:ascii="Times New Roman" w:hAnsi="Times New Roman" w:cs="Times New Roman"/>
        </w:rPr>
        <w:t xml:space="preserve">changes in </w:t>
      </w:r>
      <w:r w:rsidR="00F31429">
        <w:rPr>
          <w:rFonts w:ascii="Times New Roman" w:hAnsi="Times New Roman" w:cs="Times New Roman"/>
        </w:rPr>
        <w:t>behavior at the border that are not analyzed here, nor are any costs of implementing an amnesty policy</w:t>
      </w:r>
      <w:r w:rsidR="00895330">
        <w:rPr>
          <w:rFonts w:ascii="Times New Roman" w:hAnsi="Times New Roman" w:cs="Times New Roman"/>
        </w:rPr>
        <w:t xml:space="preserve"> included</w:t>
      </w:r>
      <w:r w:rsidR="00F31429">
        <w:rPr>
          <w:rFonts w:ascii="Times New Roman" w:hAnsi="Times New Roman" w:cs="Times New Roman"/>
        </w:rPr>
        <w:t>.</w:t>
      </w:r>
    </w:p>
    <w:p w14:paraId="2DA16574" w14:textId="03AC755E" w:rsidR="00454BE7" w:rsidRPr="008D5139" w:rsidRDefault="00454BE7" w:rsidP="0085533D">
      <w:pPr>
        <w:pStyle w:val="Heading1"/>
        <w:spacing w:line="360" w:lineRule="auto"/>
      </w:pPr>
      <w:r>
        <w:t>Conclusion</w:t>
      </w:r>
    </w:p>
    <w:p w14:paraId="1BFC6007" w14:textId="0CBE5DE2"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 border management cup can be viewed as both half full and half empty.  The existing management system, the half full part, </w:t>
      </w:r>
      <w:r w:rsidR="002D7BD8">
        <w:rPr>
          <w:rFonts w:ascii="Times New Roman" w:hAnsi="Times New Roman" w:cs="Times New Roman"/>
        </w:rPr>
        <w:t>is estimated to</w:t>
      </w:r>
      <w:r w:rsidRPr="008D5139">
        <w:rPr>
          <w:rFonts w:ascii="Times New Roman" w:hAnsi="Times New Roman" w:cs="Times New Roman"/>
        </w:rPr>
        <w:t xml:space="preserve"> </w:t>
      </w:r>
      <w:r w:rsidR="002D7BD8">
        <w:rPr>
          <w:rFonts w:ascii="Times New Roman" w:hAnsi="Times New Roman" w:cs="Times New Roman"/>
        </w:rPr>
        <w:t>yield</w:t>
      </w:r>
      <w:r w:rsidRPr="008D5139">
        <w:rPr>
          <w:rFonts w:ascii="Times New Roman" w:hAnsi="Times New Roman" w:cs="Times New Roman"/>
        </w:rPr>
        <w:t xml:space="preserve"> large net benefits on a per person and total net benefit basis although uncertainty exists.  At the same time, there is significant potential to improve net benefits as there are large residual costs.    Whether or not an actual new technology can yield positive net benefits depends on its effect on the proportions of outcomes, total number of outcomes, </w:t>
      </w:r>
      <w:r w:rsidR="002D7BD8">
        <w:rPr>
          <w:rFonts w:ascii="Times New Roman" w:hAnsi="Times New Roman" w:cs="Times New Roman"/>
        </w:rPr>
        <w:t xml:space="preserve">and </w:t>
      </w:r>
      <w:r w:rsidRPr="008D5139">
        <w:rPr>
          <w:rFonts w:ascii="Times New Roman" w:hAnsi="Times New Roman" w:cs="Times New Roman"/>
        </w:rPr>
        <w:t xml:space="preserve">the cost of the technology or the value of consequences.  </w:t>
      </w:r>
    </w:p>
    <w:p w14:paraId="3BFCB0A7" w14:textId="6699BDB9"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Numerous intermediate results appear consistent with expectations.  Identifying outcomes, quantifying </w:t>
      </w:r>
      <w:proofErr w:type="gramStart"/>
      <w:r w:rsidRPr="008D5139">
        <w:rPr>
          <w:rFonts w:ascii="Times New Roman" w:hAnsi="Times New Roman" w:cs="Times New Roman"/>
        </w:rPr>
        <w:t>values</w:t>
      </w:r>
      <w:proofErr w:type="gramEnd"/>
      <w:r w:rsidRPr="008D5139">
        <w:rPr>
          <w:rFonts w:ascii="Times New Roman" w:hAnsi="Times New Roman" w:cs="Times New Roman"/>
        </w:rPr>
        <w:t xml:space="preserve"> and computing explicit expected values provides greater specificity than is believed to currently exist in discussion</w:t>
      </w:r>
      <w:r w:rsidR="00D96227">
        <w:rPr>
          <w:rFonts w:ascii="Times New Roman" w:hAnsi="Times New Roman" w:cs="Times New Roman"/>
        </w:rPr>
        <w:t>s</w:t>
      </w:r>
      <w:r w:rsidRPr="008D5139">
        <w:rPr>
          <w:rFonts w:ascii="Times New Roman" w:hAnsi="Times New Roman" w:cs="Times New Roman"/>
        </w:rPr>
        <w:t xml:space="preserve"> about border </w:t>
      </w:r>
      <w:r w:rsidRPr="008D5139">
        <w:rPr>
          <w:rFonts w:ascii="Times New Roman" w:hAnsi="Times New Roman" w:cs="Times New Roman"/>
        </w:rPr>
        <w:lastRenderedPageBreak/>
        <w:t xml:space="preserve">management.  For instance, public concern with criminals and asylees—whether minors or adults--and fiscal impacts are all shown to be central elements of the analysis.  At the same time, the highest expected value (outcome) </w:t>
      </w:r>
      <w:r w:rsidR="00D96227">
        <w:rPr>
          <w:rFonts w:ascii="Times New Roman" w:hAnsi="Times New Roman" w:cs="Times New Roman"/>
        </w:rPr>
        <w:t>benefit</w:t>
      </w:r>
      <w:r w:rsidRPr="008D5139">
        <w:rPr>
          <w:rFonts w:ascii="Times New Roman" w:hAnsi="Times New Roman" w:cs="Times New Roman"/>
        </w:rPr>
        <w:t xml:space="preserve"> is the </w:t>
      </w:r>
      <w:r w:rsidR="00D96227">
        <w:rPr>
          <w:rFonts w:ascii="Times New Roman" w:hAnsi="Times New Roman" w:cs="Times New Roman"/>
        </w:rPr>
        <w:t>“typical” non-criminal removal</w:t>
      </w:r>
      <w:r w:rsidRPr="008D5139">
        <w:rPr>
          <w:rFonts w:ascii="Times New Roman" w:hAnsi="Times New Roman" w:cs="Times New Roman"/>
        </w:rPr>
        <w:t xml:space="preserve"> even though one criminal is much more damaging than one non-criminal.  Note that this discussion merges two types of expected values, those associated with outcomes such as the criminal population; and those associated with impact categori</w:t>
      </w:r>
      <w:r w:rsidR="002D7BD8">
        <w:rPr>
          <w:rFonts w:ascii="Times New Roman" w:hAnsi="Times New Roman" w:cs="Times New Roman"/>
        </w:rPr>
        <w:t>es</w:t>
      </w:r>
      <w:r w:rsidRPr="008D5139">
        <w:rPr>
          <w:rFonts w:ascii="Times New Roman" w:hAnsi="Times New Roman" w:cs="Times New Roman"/>
        </w:rPr>
        <w:t xml:space="preserve">, such as fiscal impacts.  The decision analysis presentation monetizes the outcomes; the BCA presentation monetizes the impact categories.  Both are informative and have the same aggregate expected value.  </w:t>
      </w:r>
    </w:p>
    <w:p w14:paraId="6B2C10E3" w14:textId="25BED172" w:rsidR="006F3B00"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Structural assumptions regarding who has standing and time duration are central to the analysis.  </w:t>
      </w:r>
      <w:r w:rsidR="006F3B00">
        <w:rPr>
          <w:rFonts w:ascii="Times New Roman" w:hAnsi="Times New Roman" w:cs="Times New Roman"/>
        </w:rPr>
        <w:t>More clearly stated, laws that define legal immigration are the primary determinants of values.  For example, fiscal costs, the largest category, would become transfers with no net impact on the bottom line under a different set of immigration and residency laws.  However, traditional “crimes” would retain their costly impact.  Further examples of the importance of law in defining this analysis is that s</w:t>
      </w:r>
      <w:r w:rsidRPr="008D5139">
        <w:rPr>
          <w:rFonts w:ascii="Times New Roman" w:hAnsi="Times New Roman" w:cs="Times New Roman"/>
        </w:rPr>
        <w:t xml:space="preserve">uccessful asylees generate substantial benefits by earning income, while Get Away non-criminals create costs by using services over </w:t>
      </w:r>
      <w:r w:rsidR="002D7BD8" w:rsidRPr="008D5139">
        <w:rPr>
          <w:rFonts w:ascii="Times New Roman" w:hAnsi="Times New Roman" w:cs="Times New Roman"/>
        </w:rPr>
        <w:t>time,</w:t>
      </w:r>
      <w:r w:rsidRPr="008D5139">
        <w:rPr>
          <w:rFonts w:ascii="Times New Roman" w:hAnsi="Times New Roman" w:cs="Times New Roman"/>
        </w:rPr>
        <w:t xml:space="preserve"> </w:t>
      </w:r>
      <w:r w:rsidR="006F3B00">
        <w:rPr>
          <w:rFonts w:ascii="Times New Roman" w:hAnsi="Times New Roman" w:cs="Times New Roman"/>
        </w:rPr>
        <w:t>but</w:t>
      </w:r>
      <w:r w:rsidRPr="008D5139">
        <w:rPr>
          <w:rFonts w:ascii="Times New Roman" w:hAnsi="Times New Roman" w:cs="Times New Roman"/>
        </w:rPr>
        <w:t xml:space="preserve"> their income is excluded</w:t>
      </w:r>
      <w:r w:rsidR="006F3B00">
        <w:rPr>
          <w:rFonts w:ascii="Times New Roman" w:hAnsi="Times New Roman" w:cs="Times New Roman"/>
        </w:rPr>
        <w:t xml:space="preserve"> from benefits</w:t>
      </w:r>
      <w:r w:rsidRPr="008D5139">
        <w:rPr>
          <w:rFonts w:ascii="Times New Roman" w:hAnsi="Times New Roman" w:cs="Times New Roman"/>
        </w:rPr>
        <w:t xml:space="preserve">.  </w:t>
      </w:r>
    </w:p>
    <w:p w14:paraId="6811D4C7" w14:textId="6F9CBDD9"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Equal welfare weighting in the base case is revealed as an important assumption.  Welfare (equity) weighting substantially increases the expected present value although its sign does not change.</w:t>
      </w:r>
    </w:p>
    <w:p w14:paraId="0F1CB588" w14:textId="03444E50" w:rsidR="008D5139" w:rsidRPr="008D5139" w:rsidRDefault="008D5139" w:rsidP="0085533D">
      <w:pPr>
        <w:spacing w:after="160" w:line="360" w:lineRule="auto"/>
        <w:rPr>
          <w:rFonts w:ascii="Times New Roman" w:hAnsi="Times New Roman" w:cs="Times New Roman"/>
        </w:rPr>
      </w:pPr>
      <w:r w:rsidRPr="008D5139">
        <w:rPr>
          <w:rFonts w:ascii="Times New Roman" w:hAnsi="Times New Roman" w:cs="Times New Roman"/>
        </w:rPr>
        <w:t xml:space="preserve">There are many suggestions for improvement, which </w:t>
      </w:r>
      <w:r w:rsidR="00D96227">
        <w:rPr>
          <w:rFonts w:ascii="Times New Roman" w:hAnsi="Times New Roman" w:cs="Times New Roman"/>
        </w:rPr>
        <w:t>suggests</w:t>
      </w:r>
      <w:r w:rsidRPr="008D5139">
        <w:rPr>
          <w:rFonts w:ascii="Times New Roman" w:hAnsi="Times New Roman" w:cs="Times New Roman"/>
        </w:rPr>
        <w:t xml:space="preserve"> there are weaknesses.  The modeled outcomes, processes, and impacts may not be fully consistent with real world practice as known by subject matter experts within DHS or elsewhere.  The analysis investigates relatively new topics in areas such as: security benefits, deterrence, applying the career criminal concept, child maltreatment, valuing the lives of foreign nationals and welfare weighting. </w:t>
      </w:r>
      <w:r w:rsidRPr="008D5139">
        <w:rPr>
          <w:rFonts w:ascii="Times New Roman" w:hAnsi="Times New Roman" w:cs="Times New Roman"/>
        </w:rPr>
        <w:lastRenderedPageBreak/>
        <w:t>Further discussion and investigation on these topics could improve the analysis.  The current uncertainty analysis yields insight but could be expanded.</w:t>
      </w:r>
    </w:p>
    <w:p w14:paraId="241A5B06" w14:textId="67B3C14B" w:rsidR="008D5139" w:rsidRPr="004062A3" w:rsidRDefault="008D5139" w:rsidP="008D5139">
      <w:pPr>
        <w:spacing w:after="160" w:line="360" w:lineRule="auto"/>
        <w:rPr>
          <w:rFonts w:ascii="Times New Roman" w:hAnsi="Times New Roman" w:cs="Times New Roman"/>
        </w:rPr>
      </w:pPr>
      <w:r w:rsidRPr="008D5139">
        <w:rPr>
          <w:rFonts w:ascii="Times New Roman" w:hAnsi="Times New Roman" w:cs="Times New Roman"/>
        </w:rPr>
        <w:t xml:space="preserve">What uses might be made of this analysis?  The results quantify and </w:t>
      </w:r>
      <w:r w:rsidR="00915400">
        <w:rPr>
          <w:rFonts w:ascii="Times New Roman" w:hAnsi="Times New Roman" w:cs="Times New Roman"/>
        </w:rPr>
        <w:t>communicate</w:t>
      </w:r>
      <w:r w:rsidRPr="008D5139">
        <w:rPr>
          <w:rFonts w:ascii="Times New Roman" w:hAnsi="Times New Roman" w:cs="Times New Roman"/>
        </w:rPr>
        <w:t xml:space="preserve"> why some types of initially inadmissible individuals are either costly or beneficial.  The aggregate results indicate that border management is generating large net benefits for the country although there are also large residual costs that could be reduced with appropriately targeted investments.  The </w:t>
      </w:r>
      <w:r w:rsidR="00915400">
        <w:rPr>
          <w:rFonts w:ascii="Times New Roman" w:hAnsi="Times New Roman" w:cs="Times New Roman"/>
        </w:rPr>
        <w:t xml:space="preserve">individual outcome and impact </w:t>
      </w:r>
      <w:r w:rsidRPr="008D5139">
        <w:rPr>
          <w:rFonts w:ascii="Times New Roman" w:hAnsi="Times New Roman" w:cs="Times New Roman"/>
        </w:rPr>
        <w:t xml:space="preserve">information could also inform new policy choices regarding asylees and criminals by using </w:t>
      </w:r>
      <w:r w:rsidR="00915400">
        <w:rPr>
          <w:rFonts w:ascii="Times New Roman" w:hAnsi="Times New Roman" w:cs="Times New Roman"/>
        </w:rPr>
        <w:t xml:space="preserve">the </w:t>
      </w:r>
      <w:r w:rsidRPr="008D5139">
        <w:rPr>
          <w:rFonts w:ascii="Times New Roman" w:hAnsi="Times New Roman" w:cs="Times New Roman"/>
        </w:rPr>
        <w:t xml:space="preserve">shadow prices as provided here.  </w:t>
      </w:r>
    </w:p>
    <w:p w14:paraId="28D6CAC6" w14:textId="77777777" w:rsidR="00915400" w:rsidRDefault="00915400" w:rsidP="00915400">
      <w:pPr>
        <w:pStyle w:val="Heading1"/>
        <w:numPr>
          <w:ilvl w:val="0"/>
          <w:numId w:val="0"/>
        </w:numPr>
      </w:pPr>
      <w:bookmarkStart w:id="13" w:name="_Toc80602212"/>
    </w:p>
    <w:p w14:paraId="2222CDBF" w14:textId="760B4158" w:rsidR="008D5139" w:rsidRPr="008D5139" w:rsidRDefault="008D5139" w:rsidP="00915400">
      <w:pPr>
        <w:pStyle w:val="Heading1"/>
        <w:numPr>
          <w:ilvl w:val="0"/>
          <w:numId w:val="0"/>
        </w:numPr>
      </w:pPr>
      <w:r w:rsidRPr="008D5139">
        <w:t>References</w:t>
      </w:r>
      <w:bookmarkEnd w:id="13"/>
    </w:p>
    <w:p w14:paraId="2C3BE6B0" w14:textId="77777777" w:rsidR="008D5139" w:rsidRPr="008D5139" w:rsidRDefault="008D5139" w:rsidP="008D5139">
      <w:pPr>
        <w:rPr>
          <w:rFonts w:ascii="Times New Roman" w:hAnsi="Times New Roman" w:cs="Times New Roman"/>
          <w:color w:val="000000" w:themeColor="text1"/>
        </w:rPr>
      </w:pPr>
      <w:r w:rsidRPr="008D5139">
        <w:rPr>
          <w:rFonts w:ascii="Times New Roman" w:hAnsi="Times New Roman" w:cs="Times New Roman"/>
          <w:color w:val="000000" w:themeColor="text1"/>
        </w:rPr>
        <w:t xml:space="preserve">Boardman, A., D. Greenberg, A. Vining and D. Weimer, 2018. </w:t>
      </w:r>
      <w:r w:rsidRPr="008D5139">
        <w:rPr>
          <w:rFonts w:ascii="Times New Roman" w:hAnsi="Times New Roman" w:cs="Times New Roman"/>
          <w:i/>
          <w:iCs/>
          <w:color w:val="000000" w:themeColor="text1"/>
        </w:rPr>
        <w:t>Cost-Benefit Analysis in Theory and Practice.</w:t>
      </w:r>
      <w:r w:rsidRPr="008D5139">
        <w:rPr>
          <w:rFonts w:ascii="Times New Roman" w:hAnsi="Times New Roman" w:cs="Times New Roman"/>
          <w:color w:val="000000" w:themeColor="text1"/>
        </w:rPr>
        <w:t xml:space="preserve">  Cambridge University Press.</w:t>
      </w:r>
    </w:p>
    <w:p w14:paraId="110DC0A9" w14:textId="77777777" w:rsidR="008D5139" w:rsidRPr="008D5139" w:rsidRDefault="008D5139" w:rsidP="008D5139">
      <w:pPr>
        <w:rPr>
          <w:rFonts w:ascii="Times New Roman" w:hAnsi="Times New Roman" w:cs="Times New Roman"/>
          <w:color w:val="000000" w:themeColor="text1"/>
        </w:rPr>
      </w:pPr>
    </w:p>
    <w:p w14:paraId="57A4DB40" w14:textId="77777777" w:rsidR="008D5139" w:rsidRPr="008D5139" w:rsidRDefault="008D5139" w:rsidP="008D5139">
      <w:pPr>
        <w:rPr>
          <w:rFonts w:ascii="Times New Roman" w:hAnsi="Times New Roman" w:cs="Times New Roman"/>
          <w:color w:val="000000" w:themeColor="text1"/>
          <w:shd w:val="clear" w:color="auto" w:fill="FFFFFF"/>
        </w:rPr>
      </w:pPr>
      <w:proofErr w:type="spellStart"/>
      <w:r w:rsidRPr="008D5139">
        <w:rPr>
          <w:rFonts w:ascii="Times New Roman" w:hAnsi="Times New Roman" w:cs="Times New Roman"/>
          <w:color w:val="000000" w:themeColor="text1"/>
        </w:rPr>
        <w:t>Borjas</w:t>
      </w:r>
      <w:proofErr w:type="spellEnd"/>
      <w:r w:rsidRPr="008D5139">
        <w:rPr>
          <w:rFonts w:ascii="Times New Roman" w:hAnsi="Times New Roman" w:cs="Times New Roman"/>
          <w:color w:val="000000" w:themeColor="text1"/>
        </w:rPr>
        <w:t xml:space="preserve">, G. and L. Katz, 2007.  </w:t>
      </w:r>
      <w:hyperlink r:id="rId18" w:history="1">
        <w:r w:rsidRPr="008D5139">
          <w:rPr>
            <w:rFonts w:ascii="Times New Roman" w:hAnsi="Times New Roman" w:cs="Times New Roman"/>
            <w:color w:val="000000" w:themeColor="text1"/>
            <w:u w:val="single"/>
            <w:shd w:val="clear" w:color="auto" w:fill="FFFFFF"/>
          </w:rPr>
          <w:t>The Evolution of the Mexican-Born Workforce in the United States</w:t>
        </w:r>
        <w:r w:rsidRPr="008D5139">
          <w:rPr>
            <w:rFonts w:ascii="Times New Roman" w:hAnsi="Times New Roman" w:cs="Times New Roman"/>
            <w:b/>
            <w:bCs/>
            <w:color w:val="000000" w:themeColor="text1"/>
            <w:u w:val="single"/>
            <w:shd w:val="clear" w:color="auto" w:fill="FFFFFF"/>
          </w:rPr>
          <w:t> </w:t>
        </w:r>
      </w:hyperlink>
      <w:r w:rsidRPr="008D5139">
        <w:rPr>
          <w:rFonts w:ascii="Times New Roman" w:hAnsi="Times New Roman" w:cs="Times New Roman"/>
          <w:color w:val="000000" w:themeColor="text1"/>
          <w:shd w:val="clear" w:color="auto" w:fill="FFFFFF"/>
        </w:rPr>
        <w:t>,   in</w:t>
      </w:r>
      <w:r w:rsidRPr="008D5139">
        <w:rPr>
          <w:rFonts w:ascii="Times New Roman" w:hAnsi="Times New Roman" w:cs="Times New Roman"/>
          <w:i/>
          <w:iCs/>
          <w:color w:val="000000" w:themeColor="text1"/>
          <w:shd w:val="clear" w:color="auto" w:fill="FFFFFF"/>
        </w:rPr>
        <w:t> </w:t>
      </w:r>
      <w:hyperlink r:id="rId19" w:history="1">
        <w:r w:rsidRPr="008D5139">
          <w:rPr>
            <w:rFonts w:ascii="Times New Roman" w:hAnsi="Times New Roman" w:cs="Times New Roman"/>
            <w:i/>
            <w:iCs/>
            <w:color w:val="000000" w:themeColor="text1"/>
            <w:u w:val="single"/>
            <w:shd w:val="clear" w:color="auto" w:fill="FFFFFF"/>
          </w:rPr>
          <w:t>Mexican Immigration to the United States</w:t>
        </w:r>
      </w:hyperlink>
      <w:r w:rsidRPr="008D5139">
        <w:rPr>
          <w:rFonts w:ascii="Times New Roman" w:hAnsi="Times New Roman" w:cs="Times New Roman"/>
          <w:color w:val="000000" w:themeColor="text1"/>
          <w:shd w:val="clear" w:color="auto" w:fill="FFFFFF"/>
        </w:rPr>
        <w:t xml:space="preserve">, </w:t>
      </w:r>
      <w:proofErr w:type="spellStart"/>
      <w:r w:rsidRPr="008D5139">
        <w:rPr>
          <w:rFonts w:ascii="Times New Roman" w:hAnsi="Times New Roman" w:cs="Times New Roman"/>
          <w:color w:val="000000" w:themeColor="text1"/>
          <w:shd w:val="clear" w:color="auto" w:fill="FFFFFF"/>
        </w:rPr>
        <w:t>Borjas</w:t>
      </w:r>
      <w:proofErr w:type="spellEnd"/>
      <w:r w:rsidRPr="008D5139">
        <w:rPr>
          <w:rFonts w:ascii="Times New Roman" w:hAnsi="Times New Roman" w:cs="Times New Roman"/>
          <w:color w:val="000000" w:themeColor="text1"/>
          <w:shd w:val="clear" w:color="auto" w:fill="FFFFFF"/>
        </w:rPr>
        <w:t>. 2007.</w:t>
      </w:r>
    </w:p>
    <w:p w14:paraId="6A7C0781" w14:textId="77777777" w:rsidR="008D5139" w:rsidRPr="008D5139" w:rsidRDefault="008D5139" w:rsidP="008D5139">
      <w:pPr>
        <w:rPr>
          <w:rFonts w:ascii="Times New Roman" w:hAnsi="Times New Roman" w:cs="Times New Roman"/>
          <w:color w:val="000000" w:themeColor="text1"/>
          <w:shd w:val="clear" w:color="auto" w:fill="FFFFFF"/>
        </w:rPr>
      </w:pPr>
    </w:p>
    <w:p w14:paraId="3338D73A" w14:textId="77777777" w:rsidR="008D5139" w:rsidRPr="008D5139" w:rsidRDefault="008D5139" w:rsidP="008D5139">
      <w:pPr>
        <w:rPr>
          <w:rFonts w:ascii="Times New Roman" w:hAnsi="Times New Roman" w:cs="Times New Roman"/>
        </w:rPr>
      </w:pPr>
      <w:proofErr w:type="spellStart"/>
      <w:r w:rsidRPr="008D5139">
        <w:rPr>
          <w:rFonts w:ascii="Times New Roman" w:hAnsi="Times New Roman" w:cs="Times New Roman"/>
          <w:color w:val="000000" w:themeColor="text1"/>
          <w:shd w:val="clear" w:color="auto" w:fill="FFFFFF"/>
        </w:rPr>
        <w:t>Borjas</w:t>
      </w:r>
      <w:proofErr w:type="spellEnd"/>
      <w:r w:rsidRPr="008D5139">
        <w:rPr>
          <w:rFonts w:ascii="Times New Roman" w:hAnsi="Times New Roman" w:cs="Times New Roman"/>
          <w:color w:val="000000" w:themeColor="text1"/>
          <w:shd w:val="clear" w:color="auto" w:fill="FFFFFF"/>
        </w:rPr>
        <w:t xml:space="preserve">, G., 2014.  </w:t>
      </w:r>
      <w:r w:rsidRPr="008D5139">
        <w:rPr>
          <w:rFonts w:ascii="Times New Roman" w:hAnsi="Times New Roman" w:cs="Times New Roman"/>
          <w:i/>
          <w:iCs/>
        </w:rPr>
        <w:t>Immigration Economics</w:t>
      </w:r>
      <w:r w:rsidRPr="008D5139">
        <w:rPr>
          <w:rFonts w:ascii="Times New Roman" w:hAnsi="Times New Roman" w:cs="Times New Roman"/>
        </w:rPr>
        <w:t>, Harvard University Press.</w:t>
      </w:r>
    </w:p>
    <w:p w14:paraId="26A58D1C" w14:textId="77777777" w:rsidR="008D5139" w:rsidRPr="008D5139" w:rsidRDefault="008D5139" w:rsidP="008D5139">
      <w:pPr>
        <w:rPr>
          <w:rFonts w:ascii="Times New Roman" w:hAnsi="Times New Roman" w:cs="Times New Roman"/>
        </w:rPr>
      </w:pPr>
    </w:p>
    <w:p w14:paraId="38233820" w14:textId="77777777" w:rsidR="008D5139" w:rsidRPr="008D5139" w:rsidRDefault="008D5139" w:rsidP="008D5139">
      <w:pPr>
        <w:rPr>
          <w:rFonts w:ascii="Times New Roman" w:hAnsi="Times New Roman" w:cs="Times New Roman"/>
          <w:color w:val="000000" w:themeColor="text1"/>
          <w:shd w:val="clear" w:color="auto" w:fill="FFFFFF"/>
        </w:rPr>
      </w:pPr>
      <w:r w:rsidRPr="008D5139">
        <w:rPr>
          <w:rFonts w:ascii="Times New Roman" w:hAnsi="Times New Roman" w:cs="Times New Roman"/>
        </w:rPr>
        <w:t xml:space="preserve">Bouza, J., et al., 2018.  The Science is Clear: Separating Families has Long-term Damaging Psychological and Health Consequences for Children, Families, and Communities.  Society for Research in Child Development, Washington, D.C.  Accessed May 8, 2021 at </w:t>
      </w:r>
      <w:hyperlink r:id="rId20" w:history="1">
        <w:proofErr w:type="spellStart"/>
        <w:r w:rsidRPr="008D5139">
          <w:rPr>
            <w:rFonts w:ascii="Times New Roman" w:hAnsi="Times New Roman" w:cs="Times New Roman"/>
            <w:color w:val="0563C1" w:themeColor="hyperlink"/>
            <w:u w:val="single"/>
          </w:rPr>
          <w:t>FINAL_The</w:t>
        </w:r>
        <w:proofErr w:type="spellEnd"/>
        <w:r w:rsidRPr="008D5139">
          <w:rPr>
            <w:rFonts w:ascii="Times New Roman" w:hAnsi="Times New Roman" w:cs="Times New Roman"/>
            <w:color w:val="0563C1" w:themeColor="hyperlink"/>
            <w:u w:val="single"/>
          </w:rPr>
          <w:t xml:space="preserve"> Science is Clear_0.pdf (srcd.org)</w:t>
        </w:r>
      </w:hyperlink>
      <w:r w:rsidRPr="008D5139">
        <w:rPr>
          <w:rFonts w:ascii="Times New Roman" w:hAnsi="Times New Roman" w:cs="Times New Roman"/>
        </w:rPr>
        <w:t xml:space="preserve"> .</w:t>
      </w:r>
    </w:p>
    <w:p w14:paraId="3A2CEC02" w14:textId="77777777" w:rsidR="008D5139" w:rsidRPr="008D5139" w:rsidRDefault="008D5139" w:rsidP="008D5139">
      <w:pPr>
        <w:rPr>
          <w:rFonts w:ascii="Times New Roman" w:hAnsi="Times New Roman" w:cs="Times New Roman"/>
          <w:color w:val="000000" w:themeColor="text1"/>
          <w:shd w:val="clear" w:color="auto" w:fill="FFFFFF"/>
        </w:rPr>
      </w:pPr>
    </w:p>
    <w:p w14:paraId="6866CE08" w14:textId="77777777" w:rsidR="008D5139" w:rsidRPr="008D5139" w:rsidRDefault="008D5139" w:rsidP="008D5139">
      <w:pPr>
        <w:rPr>
          <w:rFonts w:ascii="Times New Roman" w:hAnsi="Times New Roman" w:cs="Times New Roman"/>
          <w:color w:val="000000" w:themeColor="text1"/>
          <w:shd w:val="clear" w:color="auto" w:fill="FFFFFF"/>
        </w:rPr>
      </w:pPr>
      <w:r w:rsidRPr="008D5139">
        <w:rPr>
          <w:rFonts w:ascii="Times New Roman" w:hAnsi="Times New Roman" w:cs="Times New Roman"/>
          <w:color w:val="000000" w:themeColor="text1"/>
          <w:shd w:val="clear" w:color="auto" w:fill="FFFFFF"/>
        </w:rPr>
        <w:t xml:space="preserve">Cohen, </w:t>
      </w:r>
      <w:proofErr w:type="gramStart"/>
      <w:r w:rsidRPr="008D5139">
        <w:rPr>
          <w:rFonts w:ascii="Times New Roman" w:hAnsi="Times New Roman" w:cs="Times New Roman"/>
          <w:color w:val="000000" w:themeColor="text1"/>
          <w:shd w:val="clear" w:color="auto" w:fill="FFFFFF"/>
        </w:rPr>
        <w:t>M.</w:t>
      </w:r>
      <w:proofErr w:type="gramEnd"/>
      <w:r w:rsidRPr="008D5139">
        <w:rPr>
          <w:rFonts w:ascii="Times New Roman" w:hAnsi="Times New Roman" w:cs="Times New Roman"/>
          <w:color w:val="000000" w:themeColor="text1"/>
          <w:shd w:val="clear" w:color="auto" w:fill="FFFFFF"/>
        </w:rPr>
        <w:t xml:space="preserve"> and A. Piquero, 2009.  </w:t>
      </w:r>
      <w:r w:rsidRPr="008D5139">
        <w:rPr>
          <w:rFonts w:ascii="Times New Roman" w:hAnsi="Times New Roman" w:cs="Times New Roman"/>
        </w:rPr>
        <w:t xml:space="preserve">New Evidence on the Monetary Value of Saving a </w:t>
      </w:r>
      <w:proofErr w:type="gramStart"/>
      <w:r w:rsidRPr="008D5139">
        <w:rPr>
          <w:rFonts w:ascii="Times New Roman" w:hAnsi="Times New Roman" w:cs="Times New Roman"/>
        </w:rPr>
        <w:t>High Risk</w:t>
      </w:r>
      <w:proofErr w:type="gramEnd"/>
      <w:r w:rsidRPr="008D5139">
        <w:rPr>
          <w:rFonts w:ascii="Times New Roman" w:hAnsi="Times New Roman" w:cs="Times New Roman"/>
        </w:rPr>
        <w:t xml:space="preserve"> Youth</w:t>
      </w:r>
      <w:r w:rsidRPr="008D5139">
        <w:rPr>
          <w:rFonts w:ascii="Times New Roman" w:hAnsi="Times New Roman" w:cs="Times New Roman"/>
          <w:i/>
          <w:iCs/>
        </w:rPr>
        <w:t>.  J Quant Criminology</w:t>
      </w:r>
      <w:r w:rsidRPr="008D5139">
        <w:rPr>
          <w:rFonts w:ascii="Times New Roman" w:hAnsi="Times New Roman" w:cs="Times New Roman"/>
        </w:rPr>
        <w:t xml:space="preserve">   25:25–49 DOI 10.1007/s10940-008-9057-3</w:t>
      </w:r>
    </w:p>
    <w:p w14:paraId="4AFB09C8" w14:textId="77777777" w:rsidR="008D5139" w:rsidRPr="008D5139" w:rsidRDefault="008D5139" w:rsidP="008D5139">
      <w:pPr>
        <w:rPr>
          <w:rFonts w:ascii="Times New Roman" w:hAnsi="Times New Roman" w:cs="Times New Roman"/>
          <w:color w:val="000000" w:themeColor="text1"/>
          <w:shd w:val="clear" w:color="auto" w:fill="FFFFFF"/>
        </w:rPr>
      </w:pPr>
    </w:p>
    <w:p w14:paraId="1BB327AF" w14:textId="77777777" w:rsidR="008D5139" w:rsidRPr="008D5139" w:rsidRDefault="008D5139" w:rsidP="008D5139">
      <w:pPr>
        <w:rPr>
          <w:rFonts w:ascii="Times New Roman" w:hAnsi="Times New Roman" w:cs="Times New Roman"/>
        </w:rPr>
      </w:pPr>
      <w:r w:rsidRPr="008D5139">
        <w:rPr>
          <w:rFonts w:ascii="Times New Roman" w:hAnsi="Times New Roman" w:cs="Times New Roman"/>
          <w:color w:val="000000" w:themeColor="text1"/>
          <w:shd w:val="clear" w:color="auto" w:fill="FFFFFF"/>
        </w:rPr>
        <w:t xml:space="preserve">Congressional Budget Office (CBO), 2020.  </w:t>
      </w:r>
      <w:r w:rsidRPr="008D5139">
        <w:rPr>
          <w:rFonts w:ascii="Times New Roman" w:hAnsi="Times New Roman" w:cs="Times New Roman"/>
        </w:rPr>
        <w:t xml:space="preserve">The Distribution of Household Income, 2017.  Downloaded detailed tables, available at </w:t>
      </w:r>
      <w:hyperlink r:id="rId21" w:history="1">
        <w:r w:rsidRPr="008D5139">
          <w:rPr>
            <w:rFonts w:ascii="Times New Roman" w:hAnsi="Times New Roman" w:cs="Times New Roman"/>
            <w:color w:val="0563C1" w:themeColor="hyperlink"/>
            <w:u w:val="single"/>
          </w:rPr>
          <w:t>https://www.cbo.gov/publication/56575</w:t>
        </w:r>
      </w:hyperlink>
      <w:r w:rsidRPr="008D5139">
        <w:rPr>
          <w:rFonts w:ascii="Times New Roman" w:hAnsi="Times New Roman" w:cs="Times New Roman"/>
        </w:rPr>
        <w:t xml:space="preserve"> .</w:t>
      </w:r>
    </w:p>
    <w:p w14:paraId="430618E0" w14:textId="3410B451" w:rsidR="008D5139" w:rsidRDefault="002F5016" w:rsidP="008D5139">
      <w:pPr>
        <w:rPr>
          <w:rFonts w:ascii="Times New Roman" w:hAnsi="Times New Roman" w:cs="Times New Roman"/>
        </w:rPr>
      </w:pPr>
      <w:r>
        <w:rPr>
          <w:rFonts w:ascii="Times New Roman" w:hAnsi="Times New Roman" w:cs="Times New Roman"/>
        </w:rPr>
        <w:t xml:space="preserve">_______, 2007. </w:t>
      </w:r>
      <w:r w:rsidRPr="002F5016">
        <w:rPr>
          <w:rFonts w:ascii="Times New Roman" w:hAnsi="Times New Roman" w:cs="Times New Roman"/>
        </w:rPr>
        <w:t xml:space="preserve"> The Impact of Unauthorized Immigrants on the Budgets of State and Local Governments, Washington, D.C., 2007. </w:t>
      </w:r>
      <w:r>
        <w:rPr>
          <w:rFonts w:ascii="Times New Roman" w:hAnsi="Times New Roman" w:cs="Times New Roman"/>
        </w:rPr>
        <w:t xml:space="preserve"> </w:t>
      </w:r>
    </w:p>
    <w:p w14:paraId="7FE25220" w14:textId="77777777" w:rsidR="002F5016" w:rsidRPr="002F5016" w:rsidRDefault="002F5016" w:rsidP="008D5139">
      <w:pPr>
        <w:rPr>
          <w:rFonts w:ascii="Times New Roman" w:hAnsi="Times New Roman" w:cs="Times New Roman"/>
        </w:rPr>
      </w:pPr>
    </w:p>
    <w:p w14:paraId="5BF51AF8" w14:textId="77777777" w:rsidR="008D5139" w:rsidRPr="008D5139" w:rsidRDefault="008D5139" w:rsidP="008D5139">
      <w:pPr>
        <w:rPr>
          <w:rFonts w:ascii="Times New Roman" w:hAnsi="Times New Roman" w:cs="Times New Roman"/>
          <w:i/>
          <w:iCs/>
        </w:rPr>
      </w:pPr>
      <w:r w:rsidRPr="008D5139">
        <w:rPr>
          <w:rFonts w:ascii="Times New Roman" w:hAnsi="Times New Roman" w:cs="Times New Roman"/>
        </w:rPr>
        <w:lastRenderedPageBreak/>
        <w:t xml:space="preserve">Dana, D., Valuing Foreign Lives and Settlements, </w:t>
      </w:r>
      <w:r w:rsidRPr="008D5139">
        <w:rPr>
          <w:rFonts w:ascii="Times New Roman" w:hAnsi="Times New Roman" w:cs="Times New Roman"/>
          <w:i/>
          <w:iCs/>
        </w:rPr>
        <w:t>Journal of Benefit-Cost Analysis, 2009.</w:t>
      </w:r>
    </w:p>
    <w:p w14:paraId="651894E0" w14:textId="77777777" w:rsidR="008D5139" w:rsidRPr="008D5139" w:rsidRDefault="008D5139" w:rsidP="008D5139">
      <w:pPr>
        <w:rPr>
          <w:rFonts w:ascii="Times New Roman" w:hAnsi="Times New Roman" w:cs="Times New Roman"/>
        </w:rPr>
      </w:pPr>
    </w:p>
    <w:p w14:paraId="7B144E15" w14:textId="691DACF2"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DHS (Department of Homeland Security), 2018.  Population Estimates of the Illegal Population Residing in the US in 2015.  (Note:  not apparently updated since 2018).  </w:t>
      </w:r>
    </w:p>
    <w:p w14:paraId="55046D5E" w14:textId="77777777" w:rsidR="008D5139" w:rsidRPr="008D5139" w:rsidRDefault="008D5139" w:rsidP="008D5139">
      <w:pPr>
        <w:rPr>
          <w:rFonts w:ascii="Times New Roman" w:hAnsi="Times New Roman" w:cs="Times New Roman"/>
        </w:rPr>
      </w:pPr>
    </w:p>
    <w:p w14:paraId="25E4A52A"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DHS, 2019.  Border Security Metrics Report, FY 2018 (NDAA report).  </w:t>
      </w:r>
    </w:p>
    <w:p w14:paraId="4FA0F2F4" w14:textId="77777777" w:rsidR="008D5139" w:rsidRPr="008D5139" w:rsidRDefault="008D5139" w:rsidP="008D5139">
      <w:pPr>
        <w:rPr>
          <w:rFonts w:ascii="Times New Roman" w:hAnsi="Times New Roman" w:cs="Times New Roman"/>
        </w:rPr>
      </w:pPr>
    </w:p>
    <w:p w14:paraId="6C956B68"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DHS/CBP, 2021.  Border Enforcement Statistics.  Accessed May 16, </w:t>
      </w:r>
      <w:proofErr w:type="gramStart"/>
      <w:r w:rsidRPr="008D5139">
        <w:rPr>
          <w:rFonts w:ascii="Times New Roman" w:hAnsi="Times New Roman" w:cs="Times New Roman"/>
        </w:rPr>
        <w:t>2021</w:t>
      </w:r>
      <w:proofErr w:type="gramEnd"/>
      <w:r w:rsidRPr="008D5139">
        <w:rPr>
          <w:rFonts w:ascii="Times New Roman" w:hAnsi="Times New Roman" w:cs="Times New Roman"/>
        </w:rPr>
        <w:t xml:space="preserve"> at </w:t>
      </w:r>
      <w:hyperlink r:id="rId22" w:history="1">
        <w:r w:rsidRPr="008D5139">
          <w:rPr>
            <w:color w:val="0563C1" w:themeColor="hyperlink"/>
            <w:sz w:val="22"/>
            <w:szCs w:val="22"/>
            <w:u w:val="single"/>
          </w:rPr>
          <w:t>CBP Enforcement Statistics FY2018 | U.S. Customs and Border Protection</w:t>
        </w:r>
      </w:hyperlink>
      <w:r w:rsidRPr="008D5139">
        <w:rPr>
          <w:sz w:val="22"/>
          <w:szCs w:val="22"/>
        </w:rPr>
        <w:t xml:space="preserve"> .</w:t>
      </w:r>
    </w:p>
    <w:p w14:paraId="3B465CC8" w14:textId="77777777" w:rsidR="008D5139" w:rsidRPr="008D5139" w:rsidRDefault="008D5139" w:rsidP="008D5139">
      <w:pPr>
        <w:rPr>
          <w:rFonts w:ascii="Times New Roman" w:hAnsi="Times New Roman" w:cs="Times New Roman"/>
        </w:rPr>
      </w:pPr>
    </w:p>
    <w:p w14:paraId="156242FE"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DHS/CPB, 2016-current. Criminal non-citizen statistics.  Accessed May 5 at cbp.gov/newsroom/stats/cbp-enforcement-statistics/criminal-noncitizen-statistics</w:t>
      </w:r>
    </w:p>
    <w:p w14:paraId="75B0D80C" w14:textId="77777777" w:rsidR="008D5139" w:rsidRPr="008D5139" w:rsidRDefault="008D5139" w:rsidP="008D5139">
      <w:pPr>
        <w:rPr>
          <w:rFonts w:ascii="Times New Roman" w:hAnsi="Times New Roman" w:cs="Times New Roman"/>
        </w:rPr>
      </w:pPr>
    </w:p>
    <w:p w14:paraId="1C5D3308"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DHS/BP, 2016.  Search and Rescue Efforts for FY 2016.  Accessed May 17, 2021 at </w:t>
      </w:r>
      <w:hyperlink r:id="rId23" w:history="1">
        <w:r w:rsidRPr="008D5139">
          <w:rPr>
            <w:color w:val="0563C1" w:themeColor="hyperlink"/>
            <w:sz w:val="22"/>
            <w:szCs w:val="22"/>
            <w:u w:val="single"/>
          </w:rPr>
          <w:t>Search and Rescue Efforts for 2016 (dhs.gov)</w:t>
        </w:r>
      </w:hyperlink>
      <w:r w:rsidRPr="008D5139">
        <w:rPr>
          <w:sz w:val="22"/>
          <w:szCs w:val="22"/>
        </w:rPr>
        <w:t xml:space="preserve"> .</w:t>
      </w:r>
    </w:p>
    <w:p w14:paraId="3E7B7852" w14:textId="77777777" w:rsidR="008D5139" w:rsidRPr="008D5139" w:rsidRDefault="008D5139" w:rsidP="008D5139">
      <w:pPr>
        <w:rPr>
          <w:rFonts w:ascii="Times New Roman" w:hAnsi="Times New Roman" w:cs="Times New Roman"/>
        </w:rPr>
      </w:pPr>
    </w:p>
    <w:p w14:paraId="21C3C765"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DHS, 2020.  Refugee and Asylees: 2019.  Department of Homeland Security (Ryan Baugh), September.</w:t>
      </w:r>
    </w:p>
    <w:p w14:paraId="6EC52CDA" w14:textId="77777777" w:rsidR="008D5139" w:rsidRPr="008D5139" w:rsidRDefault="008D5139" w:rsidP="008D5139">
      <w:pPr>
        <w:rPr>
          <w:rFonts w:ascii="Times New Roman" w:hAnsi="Times New Roman" w:cs="Times New Roman"/>
        </w:rPr>
      </w:pPr>
    </w:p>
    <w:p w14:paraId="1D56AC1F"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DHS, </w:t>
      </w:r>
      <w:proofErr w:type="gramStart"/>
      <w:r w:rsidRPr="008D5139">
        <w:rPr>
          <w:rFonts w:ascii="Times New Roman" w:hAnsi="Times New Roman" w:cs="Times New Roman"/>
        </w:rPr>
        <w:t>ICE  Detention</w:t>
      </w:r>
      <w:proofErr w:type="gramEnd"/>
      <w:r w:rsidRPr="008D5139">
        <w:rPr>
          <w:rFonts w:ascii="Times New Roman" w:hAnsi="Times New Roman" w:cs="Times New Roman"/>
        </w:rPr>
        <w:t xml:space="preserve"> Statistics fy2019  </w:t>
      </w:r>
      <w:hyperlink r:id="rId24" w:history="1">
        <w:r w:rsidRPr="008D5139">
          <w:rPr>
            <w:rFonts w:ascii="Times New Roman" w:hAnsi="Times New Roman" w:cs="Times New Roman"/>
            <w:color w:val="0563C1" w:themeColor="hyperlink"/>
            <w:u w:val="single"/>
          </w:rPr>
          <w:t>https://www.ice.gov/detain/detention-management</w:t>
        </w:r>
      </w:hyperlink>
      <w:r w:rsidRPr="008D5139">
        <w:rPr>
          <w:rFonts w:ascii="Times New Roman" w:hAnsi="Times New Roman" w:cs="Times New Roman"/>
        </w:rPr>
        <w:t xml:space="preserve">  see previous year-end reports.</w:t>
      </w:r>
    </w:p>
    <w:p w14:paraId="2115DDBB" w14:textId="77777777" w:rsidR="008D5139" w:rsidRPr="008D5139" w:rsidRDefault="008D5139" w:rsidP="008D5139">
      <w:pPr>
        <w:rPr>
          <w:rFonts w:ascii="Times New Roman" w:hAnsi="Times New Roman" w:cs="Times New Roman"/>
        </w:rPr>
      </w:pPr>
    </w:p>
    <w:p w14:paraId="5EE818D0"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DOJ, Office of Executive Immigration Review, 2019.  Credible Fear and Asylum FY 08- FY19.  Accessed May 4, </w:t>
      </w:r>
      <w:proofErr w:type="gramStart"/>
      <w:r w:rsidRPr="008D5139">
        <w:rPr>
          <w:rFonts w:ascii="Times New Roman" w:hAnsi="Times New Roman" w:cs="Times New Roman"/>
        </w:rPr>
        <w:t>2021</w:t>
      </w:r>
      <w:proofErr w:type="gramEnd"/>
      <w:r w:rsidRPr="008D5139">
        <w:rPr>
          <w:rFonts w:ascii="Times New Roman" w:hAnsi="Times New Roman" w:cs="Times New Roman"/>
        </w:rPr>
        <w:t xml:space="preserve"> at </w:t>
      </w:r>
      <w:hyperlink r:id="rId25" w:history="1">
        <w:r w:rsidRPr="008D5139">
          <w:rPr>
            <w:rFonts w:ascii="Times New Roman" w:hAnsi="Times New Roman" w:cs="Times New Roman"/>
            <w:color w:val="0563C1" w:themeColor="hyperlink"/>
            <w:u w:val="single"/>
          </w:rPr>
          <w:t>https://www.justice.gov/eoir/file/1216991/download</w:t>
        </w:r>
      </w:hyperlink>
      <w:r w:rsidRPr="008D5139">
        <w:rPr>
          <w:rFonts w:ascii="Times New Roman" w:hAnsi="Times New Roman" w:cs="Times New Roman"/>
        </w:rPr>
        <w:t xml:space="preserve"> .</w:t>
      </w:r>
    </w:p>
    <w:p w14:paraId="090CC127" w14:textId="77777777" w:rsidR="008D5139" w:rsidRPr="008D5139" w:rsidRDefault="008D5139" w:rsidP="008D5139">
      <w:pPr>
        <w:rPr>
          <w:rFonts w:ascii="Times New Roman" w:hAnsi="Times New Roman" w:cs="Times New Roman"/>
        </w:rPr>
      </w:pPr>
    </w:p>
    <w:p w14:paraId="495AA3A0" w14:textId="65A82E88"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Dixon, </w:t>
      </w:r>
      <w:proofErr w:type="gramStart"/>
      <w:r w:rsidRPr="008D5139">
        <w:rPr>
          <w:rFonts w:ascii="Times New Roman" w:hAnsi="Times New Roman" w:cs="Times New Roman"/>
        </w:rPr>
        <w:t>P.</w:t>
      </w:r>
      <w:proofErr w:type="gramEnd"/>
      <w:r w:rsidRPr="008D5139">
        <w:rPr>
          <w:rFonts w:ascii="Times New Roman" w:hAnsi="Times New Roman" w:cs="Times New Roman"/>
        </w:rPr>
        <w:t xml:space="preserve"> and M. </w:t>
      </w:r>
      <w:proofErr w:type="spellStart"/>
      <w:r w:rsidRPr="008D5139">
        <w:rPr>
          <w:rFonts w:ascii="Times New Roman" w:hAnsi="Times New Roman" w:cs="Times New Roman"/>
        </w:rPr>
        <w:t>Rimmer</w:t>
      </w:r>
      <w:proofErr w:type="spellEnd"/>
      <w:r w:rsidRPr="008D5139">
        <w:rPr>
          <w:rFonts w:ascii="Times New Roman" w:hAnsi="Times New Roman" w:cs="Times New Roman"/>
        </w:rPr>
        <w:t xml:space="preserve">, 2009.  Restriction or Legalization?  Measuring the Economic Benefits of </w:t>
      </w:r>
      <w:r w:rsidR="00652D3E" w:rsidRPr="008D5139">
        <w:rPr>
          <w:rFonts w:ascii="Times New Roman" w:hAnsi="Times New Roman" w:cs="Times New Roman"/>
        </w:rPr>
        <w:t>Immigration</w:t>
      </w:r>
      <w:r w:rsidRPr="008D5139">
        <w:rPr>
          <w:rFonts w:ascii="Times New Roman" w:hAnsi="Times New Roman" w:cs="Times New Roman"/>
        </w:rPr>
        <w:t xml:space="preserve"> Reform.  </w:t>
      </w:r>
      <w:r w:rsidRPr="008D5139">
        <w:rPr>
          <w:rFonts w:ascii="Times New Roman" w:hAnsi="Times New Roman" w:cs="Times New Roman"/>
          <w:i/>
          <w:iCs/>
        </w:rPr>
        <w:t>Cato Institute, Trade Policy Analysis</w:t>
      </w:r>
      <w:r w:rsidRPr="008D5139">
        <w:rPr>
          <w:rFonts w:ascii="Times New Roman" w:hAnsi="Times New Roman" w:cs="Times New Roman"/>
        </w:rPr>
        <w:t>.  August 13.</w:t>
      </w:r>
    </w:p>
    <w:p w14:paraId="3543FC47" w14:textId="77777777" w:rsidR="008D5139" w:rsidRPr="008D5139" w:rsidRDefault="008D5139" w:rsidP="008D5139">
      <w:pPr>
        <w:rPr>
          <w:rFonts w:ascii="Times New Roman" w:hAnsi="Times New Roman" w:cs="Times New Roman"/>
        </w:rPr>
      </w:pPr>
    </w:p>
    <w:p w14:paraId="0C3210C1"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Farley, R., 2018.  Is Illegal Immigration Linked to More or Less Crime?, FactCheck.Org. Accessed May 7, 2021 at </w:t>
      </w:r>
      <w:hyperlink r:id="rId26" w:history="1">
        <w:r w:rsidRPr="008D5139">
          <w:rPr>
            <w:rFonts w:ascii="Times New Roman" w:hAnsi="Times New Roman" w:cs="Times New Roman"/>
            <w:color w:val="0563C1" w:themeColor="hyperlink"/>
            <w:u w:val="single"/>
          </w:rPr>
          <w:t>Is Illegal Immigration Linked to More or Less Crime? - FactCheck.org</w:t>
        </w:r>
      </w:hyperlink>
      <w:r w:rsidRPr="008D5139">
        <w:rPr>
          <w:rFonts w:ascii="Times New Roman" w:hAnsi="Times New Roman" w:cs="Times New Roman"/>
        </w:rPr>
        <w:t>.</w:t>
      </w:r>
    </w:p>
    <w:p w14:paraId="77B9713C" w14:textId="77777777" w:rsidR="008D5139" w:rsidRPr="008D5139" w:rsidRDefault="008D5139" w:rsidP="008D5139">
      <w:pPr>
        <w:rPr>
          <w:rFonts w:ascii="Times New Roman" w:hAnsi="Times New Roman" w:cs="Times New Roman"/>
        </w:rPr>
      </w:pPr>
    </w:p>
    <w:p w14:paraId="499AF139" w14:textId="7032052D" w:rsidR="00AA3ADF" w:rsidRPr="00AA3ADF" w:rsidRDefault="00AA3ADF" w:rsidP="00AA3ADF">
      <w:pPr>
        <w:rPr>
          <w:rFonts w:ascii="Times New Roman" w:hAnsi="Times New Roman" w:cs="Times New Roman"/>
        </w:rPr>
      </w:pPr>
      <w:r w:rsidRPr="00AA3ADF">
        <w:rPr>
          <w:rFonts w:ascii="Times New Roman" w:hAnsi="Times New Roman" w:cs="Times New Roman"/>
        </w:rPr>
        <w:t>Farrow, S.,</w:t>
      </w:r>
      <w:r>
        <w:rPr>
          <w:rFonts w:ascii="Times New Roman" w:hAnsi="Times New Roman" w:cs="Times New Roman"/>
        </w:rPr>
        <w:t xml:space="preserve"> 2015. </w:t>
      </w:r>
      <w:r w:rsidRPr="00AA3ADF">
        <w:rPr>
          <w:rFonts w:ascii="Times New Roman" w:hAnsi="Times New Roman" w:cs="Times New Roman"/>
        </w:rPr>
        <w:t xml:space="preserve"> </w:t>
      </w:r>
      <w:r>
        <w:rPr>
          <w:rFonts w:ascii="Times New Roman" w:hAnsi="Times New Roman" w:cs="Times New Roman"/>
        </w:rPr>
        <w:t>R</w:t>
      </w:r>
      <w:r w:rsidRPr="00AA3ADF">
        <w:rPr>
          <w:rFonts w:ascii="Times New Roman" w:hAnsi="Times New Roman" w:cs="Times New Roman"/>
        </w:rPr>
        <w:t xml:space="preserve">esidual Risk Accounting: A Pilot Study, </w:t>
      </w:r>
      <w:r w:rsidRPr="00AA3ADF">
        <w:rPr>
          <w:rFonts w:ascii="Times New Roman" w:hAnsi="Times New Roman" w:cs="Times New Roman"/>
          <w:i/>
        </w:rPr>
        <w:t>Review of Income and Wealth</w:t>
      </w:r>
      <w:r w:rsidR="00683A1D">
        <w:rPr>
          <w:rFonts w:ascii="Times New Roman" w:hAnsi="Times New Roman" w:cs="Times New Roman"/>
          <w:i/>
        </w:rPr>
        <w:t>,</w:t>
      </w:r>
      <w:r>
        <w:rPr>
          <w:rFonts w:ascii="Times New Roman" w:hAnsi="Times New Roman" w:cs="Times New Roman"/>
        </w:rPr>
        <w:t xml:space="preserve"> 62(4):</w:t>
      </w:r>
      <w:r w:rsidR="00683A1D">
        <w:rPr>
          <w:rFonts w:ascii="Times New Roman" w:hAnsi="Times New Roman" w:cs="Times New Roman"/>
        </w:rPr>
        <w:t>775-784.</w:t>
      </w:r>
    </w:p>
    <w:p w14:paraId="30ED1C34" w14:textId="77777777" w:rsidR="00293FCE" w:rsidRDefault="00293FCE" w:rsidP="00293FCE">
      <w:pPr>
        <w:rPr>
          <w:rFonts w:ascii="Times New Roman" w:hAnsi="Times New Roman" w:cs="Times New Roman"/>
        </w:rPr>
      </w:pPr>
    </w:p>
    <w:p w14:paraId="61EC396D" w14:textId="092A257F" w:rsidR="00293FCE" w:rsidRPr="00293FCE" w:rsidRDefault="008D5139" w:rsidP="00293FCE">
      <w:pPr>
        <w:rPr>
          <w:rFonts w:ascii="Times New Roman" w:hAnsi="Times New Roman" w:cs="Times New Roman"/>
          <w:i/>
          <w:iCs/>
        </w:rPr>
      </w:pPr>
      <w:r w:rsidRPr="00293FCE">
        <w:rPr>
          <w:rFonts w:ascii="Times New Roman" w:hAnsi="Times New Roman" w:cs="Times New Roman"/>
        </w:rPr>
        <w:t>Farrow, S., 202</w:t>
      </w:r>
      <w:r w:rsidR="00293FCE">
        <w:rPr>
          <w:rFonts w:ascii="Times New Roman" w:hAnsi="Times New Roman" w:cs="Times New Roman"/>
        </w:rPr>
        <w:t>2</w:t>
      </w:r>
      <w:r w:rsidRPr="00293FCE">
        <w:rPr>
          <w:rFonts w:ascii="Times New Roman" w:hAnsi="Times New Roman" w:cs="Times New Roman"/>
        </w:rPr>
        <w:t xml:space="preserve">.  </w:t>
      </w:r>
      <w:r w:rsidR="00293FCE" w:rsidRPr="00293FCE">
        <w:rPr>
          <w:rFonts w:ascii="Times New Roman" w:hAnsi="Times New Roman" w:cs="Times New Roman"/>
        </w:rPr>
        <w:t>Distributional Weighting and Risk Management Metrics:  New Syntheses for Implementation</w:t>
      </w:r>
      <w:r w:rsidR="00293FCE">
        <w:rPr>
          <w:rFonts w:ascii="Times New Roman" w:hAnsi="Times New Roman" w:cs="Times New Roman"/>
        </w:rPr>
        <w:t xml:space="preserve">.  </w:t>
      </w:r>
      <w:r w:rsidR="00293FCE">
        <w:rPr>
          <w:rFonts w:ascii="Times New Roman" w:hAnsi="Times New Roman" w:cs="Times New Roman"/>
          <w:i/>
          <w:iCs/>
        </w:rPr>
        <w:t>Risk Analysis. (</w:t>
      </w:r>
      <w:proofErr w:type="gramStart"/>
      <w:r w:rsidR="00293FCE">
        <w:rPr>
          <w:rFonts w:ascii="Times New Roman" w:hAnsi="Times New Roman" w:cs="Times New Roman"/>
          <w:i/>
          <w:iCs/>
        </w:rPr>
        <w:t>revise</w:t>
      </w:r>
      <w:proofErr w:type="gramEnd"/>
      <w:r w:rsidR="00293FCE">
        <w:rPr>
          <w:rFonts w:ascii="Times New Roman" w:hAnsi="Times New Roman" w:cs="Times New Roman"/>
          <w:i/>
          <w:iCs/>
        </w:rPr>
        <w:t xml:space="preserve"> and resubmit).</w:t>
      </w:r>
    </w:p>
    <w:p w14:paraId="6C85BF06" w14:textId="77777777" w:rsidR="008D5139" w:rsidRPr="008D5139" w:rsidRDefault="008D5139" w:rsidP="008D5139">
      <w:pPr>
        <w:rPr>
          <w:rFonts w:ascii="Times New Roman" w:hAnsi="Times New Roman" w:cs="Times New Roman"/>
        </w:rPr>
      </w:pPr>
    </w:p>
    <w:p w14:paraId="61FE4602" w14:textId="414DF0D8" w:rsidR="008D5139" w:rsidRDefault="008D5139" w:rsidP="008D5139">
      <w:pPr>
        <w:rPr>
          <w:rFonts w:ascii="Times New Roman" w:hAnsi="Times New Roman" w:cs="Times New Roman"/>
          <w:color w:val="1A1714"/>
          <w:spacing w:val="2"/>
          <w:shd w:val="clear" w:color="auto" w:fill="FFFFFF"/>
        </w:rPr>
      </w:pPr>
      <w:r w:rsidRPr="008D5139">
        <w:rPr>
          <w:rFonts w:ascii="Times New Roman" w:hAnsi="Times New Roman" w:cs="Times New Roman"/>
        </w:rPr>
        <w:t xml:space="preserve">Federation for American Immigration Reform (FAIR), 2017.  The Fiscal Burden of Illegal Immigration.  </w:t>
      </w:r>
      <w:r w:rsidRPr="008D5139">
        <w:rPr>
          <w:rFonts w:ascii="Times New Roman" w:hAnsi="Times New Roman" w:cs="Times New Roman"/>
          <w:color w:val="1A1714"/>
          <w:spacing w:val="2"/>
          <w:shd w:val="clear" w:color="auto" w:fill="FFFFFF"/>
        </w:rPr>
        <w:t xml:space="preserve">M. O’Brien, S. </w:t>
      </w:r>
      <w:proofErr w:type="spellStart"/>
      <w:r w:rsidRPr="008D5139">
        <w:rPr>
          <w:rFonts w:ascii="Times New Roman" w:hAnsi="Times New Roman" w:cs="Times New Roman"/>
          <w:color w:val="1A1714"/>
          <w:spacing w:val="2"/>
          <w:shd w:val="clear" w:color="auto" w:fill="FFFFFF"/>
        </w:rPr>
        <w:t>Raley</w:t>
      </w:r>
      <w:proofErr w:type="spellEnd"/>
      <w:r w:rsidRPr="008D5139">
        <w:rPr>
          <w:rFonts w:ascii="Times New Roman" w:hAnsi="Times New Roman" w:cs="Times New Roman"/>
          <w:color w:val="1A1714"/>
          <w:spacing w:val="2"/>
          <w:shd w:val="clear" w:color="auto" w:fill="FFFFFF"/>
        </w:rPr>
        <w:t>, and J. Martin.</w:t>
      </w:r>
    </w:p>
    <w:p w14:paraId="661D68FB" w14:textId="11514F36" w:rsidR="00F80DC7" w:rsidRDefault="00F80DC7" w:rsidP="008D5139">
      <w:pPr>
        <w:rPr>
          <w:rFonts w:ascii="Times New Roman" w:hAnsi="Times New Roman" w:cs="Times New Roman"/>
          <w:color w:val="1A1714"/>
          <w:spacing w:val="2"/>
          <w:shd w:val="clear" w:color="auto" w:fill="FFFFFF"/>
        </w:rPr>
      </w:pPr>
    </w:p>
    <w:p w14:paraId="219DA313" w14:textId="3B575BBE" w:rsidR="00394F5B" w:rsidRDefault="00394F5B" w:rsidP="008D5139">
      <w:pPr>
        <w:rPr>
          <w:rFonts w:ascii="Times New Roman" w:hAnsi="Times New Roman" w:cs="Times New Roman"/>
          <w:color w:val="1A1714"/>
          <w:spacing w:val="2"/>
          <w:shd w:val="clear" w:color="auto" w:fill="FFFFFF"/>
        </w:rPr>
      </w:pPr>
      <w:r>
        <w:rPr>
          <w:rFonts w:ascii="Times New Roman" w:hAnsi="Times New Roman" w:cs="Times New Roman"/>
          <w:color w:val="1A1714"/>
          <w:spacing w:val="2"/>
          <w:shd w:val="clear" w:color="auto" w:fill="FFFFFF"/>
        </w:rPr>
        <w:t xml:space="preserve">GAO (US Government Accountability Office), 2020.   </w:t>
      </w:r>
      <w:r w:rsidR="00255333" w:rsidRPr="00255333">
        <w:rPr>
          <w:rFonts w:ascii="Times New Roman" w:hAnsi="Times New Roman" w:cs="Times New Roman"/>
        </w:rPr>
        <w:t>SOUTHWEST BORDER Actions Needed to Improve DHS Processing of Families and Coordination between DHS and HHS</w:t>
      </w:r>
      <w:r w:rsidR="00255333">
        <w:rPr>
          <w:rFonts w:ascii="Times New Roman" w:hAnsi="Times New Roman" w:cs="Times New Roman"/>
        </w:rPr>
        <w:t>.  GAO-20-245, Washington D.C.</w:t>
      </w:r>
    </w:p>
    <w:p w14:paraId="26007FBC" w14:textId="77777777" w:rsidR="00394F5B" w:rsidRDefault="00394F5B" w:rsidP="008D5139">
      <w:pPr>
        <w:rPr>
          <w:rFonts w:ascii="Times New Roman" w:hAnsi="Times New Roman" w:cs="Times New Roman"/>
          <w:color w:val="1A1714"/>
          <w:spacing w:val="2"/>
          <w:shd w:val="clear" w:color="auto" w:fill="FFFFFF"/>
        </w:rPr>
      </w:pPr>
    </w:p>
    <w:p w14:paraId="77587EEA" w14:textId="50BA74A3" w:rsidR="00F80DC7" w:rsidRPr="008D5139" w:rsidRDefault="00255333" w:rsidP="008D5139">
      <w:pPr>
        <w:rPr>
          <w:rFonts w:ascii="Times New Roman" w:hAnsi="Times New Roman" w:cs="Times New Roman"/>
          <w:color w:val="1A1714"/>
          <w:spacing w:val="2"/>
          <w:shd w:val="clear" w:color="auto" w:fill="FFFFFF"/>
        </w:rPr>
      </w:pPr>
      <w:r>
        <w:rPr>
          <w:rFonts w:ascii="Times New Roman" w:hAnsi="Times New Roman" w:cs="Times New Roman"/>
          <w:color w:val="1A1714"/>
          <w:spacing w:val="2"/>
          <w:shd w:val="clear" w:color="auto" w:fill="FFFFFF"/>
        </w:rPr>
        <w:t>__________</w:t>
      </w:r>
      <w:r w:rsidR="00F80DC7">
        <w:rPr>
          <w:rFonts w:ascii="Times New Roman" w:hAnsi="Times New Roman" w:cs="Times New Roman"/>
          <w:color w:val="1A1714"/>
          <w:spacing w:val="2"/>
          <w:shd w:val="clear" w:color="auto" w:fill="FFFFFF"/>
        </w:rPr>
        <w:t xml:space="preserve"> 2021.  </w:t>
      </w:r>
      <w:r w:rsidR="00F80DC7" w:rsidRPr="00F80DC7">
        <w:rPr>
          <w:rFonts w:ascii="Times New Roman" w:hAnsi="Times New Roman" w:cs="Times New Roman"/>
        </w:rPr>
        <w:t>SOUTHWEST BORDER CBP Should Improve Data Collection, Reporting, and Evaluation for the Missing Migrant Program</w:t>
      </w:r>
      <w:r w:rsidR="00F80DC7">
        <w:rPr>
          <w:rFonts w:ascii="Times New Roman" w:hAnsi="Times New Roman" w:cs="Times New Roman"/>
        </w:rPr>
        <w:t>.  GAO-22-105053, Washington, D.C.</w:t>
      </w:r>
    </w:p>
    <w:p w14:paraId="72D0AC3D" w14:textId="77777777" w:rsidR="008D5139" w:rsidRPr="008D5139" w:rsidRDefault="008D5139" w:rsidP="008D5139">
      <w:pPr>
        <w:rPr>
          <w:rFonts w:ascii="Times New Roman" w:hAnsi="Times New Roman" w:cs="Times New Roman"/>
          <w:color w:val="1A1714"/>
          <w:spacing w:val="2"/>
          <w:shd w:val="clear" w:color="auto" w:fill="FFFFFF"/>
        </w:rPr>
      </w:pPr>
    </w:p>
    <w:p w14:paraId="4A6CA77B" w14:textId="77777777" w:rsidR="008D5139" w:rsidRPr="008D5139" w:rsidRDefault="008D5139" w:rsidP="008D5139">
      <w:pPr>
        <w:rPr>
          <w:rFonts w:ascii="Times New Roman" w:hAnsi="Times New Roman" w:cs="Times New Roman"/>
          <w:color w:val="1A1714"/>
          <w:spacing w:val="2"/>
          <w:shd w:val="clear" w:color="auto" w:fill="FFFFFF"/>
        </w:rPr>
      </w:pPr>
      <w:r w:rsidRPr="008D5139">
        <w:rPr>
          <w:rFonts w:ascii="Times New Roman" w:hAnsi="Times New Roman" w:cs="Times New Roman"/>
          <w:color w:val="1A1714"/>
          <w:spacing w:val="2"/>
          <w:shd w:val="clear" w:color="auto" w:fill="FFFFFF"/>
        </w:rPr>
        <w:t xml:space="preserve">Hanley, N. J. </w:t>
      </w:r>
      <w:proofErr w:type="spellStart"/>
      <w:r w:rsidRPr="008D5139">
        <w:rPr>
          <w:rFonts w:ascii="Times New Roman" w:hAnsi="Times New Roman" w:cs="Times New Roman"/>
          <w:color w:val="1A1714"/>
          <w:spacing w:val="2"/>
          <w:shd w:val="clear" w:color="auto" w:fill="FFFFFF"/>
        </w:rPr>
        <w:t>Shogren</w:t>
      </w:r>
      <w:proofErr w:type="spellEnd"/>
      <w:r w:rsidRPr="008D5139">
        <w:rPr>
          <w:rFonts w:ascii="Times New Roman" w:hAnsi="Times New Roman" w:cs="Times New Roman"/>
          <w:color w:val="1A1714"/>
          <w:spacing w:val="2"/>
          <w:shd w:val="clear" w:color="auto" w:fill="FFFFFF"/>
        </w:rPr>
        <w:t xml:space="preserve"> and B. White, 2007.  </w:t>
      </w:r>
      <w:r w:rsidRPr="008D5139">
        <w:rPr>
          <w:rFonts w:ascii="Times New Roman" w:hAnsi="Times New Roman" w:cs="Times New Roman"/>
          <w:i/>
          <w:iCs/>
          <w:color w:val="1A1714"/>
          <w:spacing w:val="2"/>
          <w:shd w:val="clear" w:color="auto" w:fill="FFFFFF"/>
        </w:rPr>
        <w:t>Environmental Economics in Theory and Practice, 2</w:t>
      </w:r>
      <w:r w:rsidRPr="008D5139">
        <w:rPr>
          <w:rFonts w:ascii="Times New Roman" w:hAnsi="Times New Roman" w:cs="Times New Roman"/>
          <w:i/>
          <w:iCs/>
          <w:color w:val="1A1714"/>
          <w:spacing w:val="2"/>
          <w:shd w:val="clear" w:color="auto" w:fill="FFFFFF"/>
          <w:vertAlign w:val="superscript"/>
        </w:rPr>
        <w:t>nd</w:t>
      </w:r>
      <w:r w:rsidRPr="008D5139">
        <w:rPr>
          <w:rFonts w:ascii="Times New Roman" w:hAnsi="Times New Roman" w:cs="Times New Roman"/>
          <w:i/>
          <w:iCs/>
          <w:color w:val="1A1714"/>
          <w:spacing w:val="2"/>
          <w:shd w:val="clear" w:color="auto" w:fill="FFFFFF"/>
        </w:rPr>
        <w:t xml:space="preserve"> edition. </w:t>
      </w:r>
      <w:r w:rsidRPr="008D5139">
        <w:rPr>
          <w:rFonts w:ascii="Times New Roman" w:hAnsi="Times New Roman" w:cs="Times New Roman"/>
          <w:color w:val="1A1714"/>
          <w:spacing w:val="2"/>
          <w:shd w:val="clear" w:color="auto" w:fill="FFFFFF"/>
        </w:rPr>
        <w:t>Palgrave- Macmillan, Hampshire, England.</w:t>
      </w:r>
    </w:p>
    <w:p w14:paraId="7EB58D77" w14:textId="77777777" w:rsidR="007C40AC" w:rsidRDefault="007C40AC" w:rsidP="008D5139">
      <w:pPr>
        <w:rPr>
          <w:rFonts w:ascii="Times New Roman" w:hAnsi="Times New Roman" w:cs="Times New Roman"/>
          <w:color w:val="1A1714"/>
          <w:spacing w:val="2"/>
          <w:shd w:val="clear" w:color="auto" w:fill="FFFFFF"/>
        </w:rPr>
      </w:pPr>
    </w:p>
    <w:p w14:paraId="05F13216" w14:textId="5E9E6C82" w:rsidR="008D5139" w:rsidRDefault="008D5139" w:rsidP="008D5139">
      <w:pPr>
        <w:rPr>
          <w:rFonts w:ascii="Times New Roman" w:hAnsi="Times New Roman" w:cs="Times New Roman"/>
          <w:color w:val="1A1714"/>
          <w:spacing w:val="2"/>
          <w:shd w:val="clear" w:color="auto" w:fill="FFFFFF"/>
        </w:rPr>
      </w:pPr>
      <w:r w:rsidRPr="008D5139">
        <w:rPr>
          <w:rFonts w:ascii="Times New Roman" w:hAnsi="Times New Roman" w:cs="Times New Roman"/>
          <w:color w:val="1A1714"/>
          <w:spacing w:val="2"/>
          <w:shd w:val="clear" w:color="auto" w:fill="FFFFFF"/>
        </w:rPr>
        <w:t xml:space="preserve">Humane Borders, 2021.  Migrant Death Mapping.  Accessed May 4, </w:t>
      </w:r>
      <w:proofErr w:type="gramStart"/>
      <w:r w:rsidRPr="008D5139">
        <w:rPr>
          <w:rFonts w:ascii="Times New Roman" w:hAnsi="Times New Roman" w:cs="Times New Roman"/>
          <w:color w:val="1A1714"/>
          <w:spacing w:val="2"/>
          <w:shd w:val="clear" w:color="auto" w:fill="FFFFFF"/>
        </w:rPr>
        <w:t>2021</w:t>
      </w:r>
      <w:proofErr w:type="gramEnd"/>
      <w:r w:rsidRPr="008D5139">
        <w:rPr>
          <w:rFonts w:ascii="Times New Roman" w:hAnsi="Times New Roman" w:cs="Times New Roman"/>
          <w:color w:val="1A1714"/>
          <w:spacing w:val="2"/>
          <w:shd w:val="clear" w:color="auto" w:fill="FFFFFF"/>
        </w:rPr>
        <w:t xml:space="preserve"> at </w:t>
      </w:r>
      <w:hyperlink r:id="rId27" w:history="1">
        <w:r w:rsidRPr="008D5139">
          <w:rPr>
            <w:rFonts w:ascii="Times New Roman" w:hAnsi="Times New Roman" w:cs="Times New Roman"/>
            <w:color w:val="0563C1" w:themeColor="hyperlink"/>
            <w:spacing w:val="2"/>
            <w:u w:val="single"/>
            <w:shd w:val="clear" w:color="auto" w:fill="FFFFFF"/>
          </w:rPr>
          <w:t>https://humaneborders.org/migrant-death-mapping/</w:t>
        </w:r>
      </w:hyperlink>
      <w:r w:rsidRPr="008D5139">
        <w:rPr>
          <w:rFonts w:ascii="Times New Roman" w:hAnsi="Times New Roman" w:cs="Times New Roman"/>
          <w:color w:val="1A1714"/>
          <w:spacing w:val="2"/>
          <w:shd w:val="clear" w:color="auto" w:fill="FFFFFF"/>
        </w:rPr>
        <w:t xml:space="preserve"> .</w:t>
      </w:r>
    </w:p>
    <w:p w14:paraId="38D434DD" w14:textId="3FFCD156" w:rsidR="007C40AC" w:rsidRDefault="007C40AC" w:rsidP="008D5139">
      <w:pPr>
        <w:rPr>
          <w:rFonts w:ascii="Times New Roman" w:hAnsi="Times New Roman" w:cs="Times New Roman"/>
          <w:color w:val="1A1714"/>
          <w:spacing w:val="2"/>
          <w:shd w:val="clear" w:color="auto" w:fill="FFFFFF"/>
        </w:rPr>
      </w:pPr>
    </w:p>
    <w:p w14:paraId="60F79BEB" w14:textId="5DADB270" w:rsidR="007C40AC" w:rsidRPr="007C40AC" w:rsidRDefault="007C40AC" w:rsidP="008D5139">
      <w:pPr>
        <w:rPr>
          <w:rFonts w:ascii="Times New Roman" w:hAnsi="Times New Roman" w:cs="Times New Roman"/>
          <w:color w:val="1A1714"/>
          <w:spacing w:val="2"/>
          <w:shd w:val="clear" w:color="auto" w:fill="FFFFFF"/>
        </w:rPr>
      </w:pPr>
      <w:proofErr w:type="spellStart"/>
      <w:r>
        <w:rPr>
          <w:rFonts w:ascii="Times New Roman" w:hAnsi="Times New Roman" w:cs="Times New Roman"/>
        </w:rPr>
        <w:t>Karoly</w:t>
      </w:r>
      <w:proofErr w:type="spellEnd"/>
      <w:r>
        <w:rPr>
          <w:rFonts w:ascii="Times New Roman" w:hAnsi="Times New Roman" w:cs="Times New Roman"/>
        </w:rPr>
        <w:t xml:space="preserve">, </w:t>
      </w:r>
      <w:r w:rsidRPr="007C40AC">
        <w:rPr>
          <w:rFonts w:ascii="Times New Roman" w:hAnsi="Times New Roman" w:cs="Times New Roman"/>
        </w:rPr>
        <w:t>Ly</w:t>
      </w:r>
      <w:r>
        <w:rPr>
          <w:rFonts w:ascii="Times New Roman" w:hAnsi="Times New Roman" w:cs="Times New Roman"/>
        </w:rPr>
        <w:t xml:space="preserve">nn </w:t>
      </w:r>
      <w:r w:rsidRPr="007C40AC">
        <w:rPr>
          <w:rFonts w:ascii="Times New Roman" w:hAnsi="Times New Roman" w:cs="Times New Roman"/>
        </w:rPr>
        <w:t>and F</w:t>
      </w:r>
      <w:r>
        <w:rPr>
          <w:rFonts w:ascii="Times New Roman" w:hAnsi="Times New Roman" w:cs="Times New Roman"/>
        </w:rPr>
        <w:t>.</w:t>
      </w:r>
      <w:r w:rsidRPr="007C40AC">
        <w:rPr>
          <w:rFonts w:ascii="Times New Roman" w:hAnsi="Times New Roman" w:cs="Times New Roman"/>
        </w:rPr>
        <w:t xml:space="preserve"> Perez-Arce</w:t>
      </w:r>
      <w:r>
        <w:rPr>
          <w:rFonts w:ascii="Times New Roman" w:hAnsi="Times New Roman" w:cs="Times New Roman"/>
        </w:rPr>
        <w:t xml:space="preserve">, 2016. </w:t>
      </w:r>
      <w:r w:rsidRPr="007C40AC">
        <w:rPr>
          <w:rFonts w:ascii="Times New Roman" w:hAnsi="Times New Roman" w:cs="Times New Roman"/>
        </w:rPr>
        <w:t xml:space="preserve"> A Cost-Benefit Framework for Analyzing the Economic and Fiscal Impacts of StateLevel Immigration Policies. Santa Monica, CA. RAND Corporation.</w:t>
      </w:r>
    </w:p>
    <w:p w14:paraId="111B39F5" w14:textId="77777777" w:rsidR="008D5139" w:rsidRPr="008D5139" w:rsidRDefault="008D5139" w:rsidP="008D5139">
      <w:pPr>
        <w:rPr>
          <w:rFonts w:ascii="Times New Roman" w:hAnsi="Times New Roman" w:cs="Times New Roman"/>
          <w:color w:val="1A1714"/>
          <w:spacing w:val="2"/>
          <w:shd w:val="clear" w:color="auto" w:fill="FFFFFF"/>
        </w:rPr>
      </w:pPr>
    </w:p>
    <w:p w14:paraId="5C8B15D0" w14:textId="77777777" w:rsidR="008D5139" w:rsidRPr="008D5139" w:rsidRDefault="008D5139" w:rsidP="008D5139">
      <w:pPr>
        <w:rPr>
          <w:rFonts w:ascii="Times New Roman" w:hAnsi="Times New Roman" w:cs="Times New Roman"/>
        </w:rPr>
      </w:pPr>
      <w:proofErr w:type="spellStart"/>
      <w:r w:rsidRPr="008D5139">
        <w:rPr>
          <w:rFonts w:ascii="Times New Roman" w:hAnsi="Times New Roman" w:cs="Times New Roman"/>
        </w:rPr>
        <w:t>Kopczuk</w:t>
      </w:r>
      <w:proofErr w:type="spellEnd"/>
      <w:r w:rsidRPr="008D5139">
        <w:rPr>
          <w:rFonts w:ascii="Times New Roman" w:hAnsi="Times New Roman" w:cs="Times New Roman"/>
        </w:rPr>
        <w:t>, W.</w:t>
      </w:r>
      <w:proofErr w:type="gramStart"/>
      <w:r w:rsidRPr="008D5139">
        <w:rPr>
          <w:rFonts w:ascii="Times New Roman" w:hAnsi="Times New Roman" w:cs="Times New Roman"/>
        </w:rPr>
        <w:t>,  J.</w:t>
      </w:r>
      <w:proofErr w:type="gramEnd"/>
      <w:r w:rsidRPr="008D5139">
        <w:rPr>
          <w:rFonts w:ascii="Times New Roman" w:hAnsi="Times New Roman" w:cs="Times New Roman"/>
        </w:rPr>
        <w:t xml:space="preserve"> </w:t>
      </w:r>
      <w:proofErr w:type="spellStart"/>
      <w:r w:rsidRPr="008D5139">
        <w:rPr>
          <w:rFonts w:ascii="Times New Roman" w:hAnsi="Times New Roman" w:cs="Times New Roman"/>
        </w:rPr>
        <w:t>Slemrod</w:t>
      </w:r>
      <w:proofErr w:type="spellEnd"/>
      <w:r w:rsidRPr="008D5139">
        <w:rPr>
          <w:rFonts w:ascii="Times New Roman" w:hAnsi="Times New Roman" w:cs="Times New Roman"/>
        </w:rPr>
        <w:t xml:space="preserve"> and S </w:t>
      </w:r>
      <w:proofErr w:type="spellStart"/>
      <w:r w:rsidRPr="008D5139">
        <w:rPr>
          <w:rFonts w:ascii="Times New Roman" w:hAnsi="Times New Roman" w:cs="Times New Roman"/>
        </w:rPr>
        <w:t>Yitzhaki</w:t>
      </w:r>
      <w:proofErr w:type="spellEnd"/>
      <w:r w:rsidRPr="008D5139">
        <w:rPr>
          <w:rFonts w:ascii="Times New Roman" w:hAnsi="Times New Roman" w:cs="Times New Roman"/>
        </w:rPr>
        <w:t xml:space="preserve">, 2005.  The limitations of decentralized world redistribution: An optimal taxation approach, </w:t>
      </w:r>
      <w:r w:rsidRPr="008D5139">
        <w:rPr>
          <w:rFonts w:ascii="Times New Roman" w:hAnsi="Times New Roman" w:cs="Times New Roman"/>
          <w:i/>
          <w:iCs/>
        </w:rPr>
        <w:t>European Economic Review</w:t>
      </w:r>
      <w:r w:rsidRPr="008D5139">
        <w:rPr>
          <w:rFonts w:ascii="Times New Roman" w:hAnsi="Times New Roman" w:cs="Times New Roman"/>
        </w:rPr>
        <w:t>, 49(4):1051-1079.</w:t>
      </w:r>
    </w:p>
    <w:p w14:paraId="5ED0B409" w14:textId="77777777" w:rsidR="008D5139" w:rsidRPr="008D5139" w:rsidRDefault="008D5139" w:rsidP="008D5139">
      <w:pPr>
        <w:rPr>
          <w:rFonts w:ascii="Times New Roman" w:hAnsi="Times New Roman" w:cs="Times New Roman"/>
        </w:rPr>
      </w:pPr>
    </w:p>
    <w:p w14:paraId="0797B78E"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Miller, T, M. Cohen, D. </w:t>
      </w:r>
      <w:proofErr w:type="spellStart"/>
      <w:r w:rsidRPr="008D5139">
        <w:rPr>
          <w:rFonts w:ascii="Times New Roman" w:hAnsi="Times New Roman" w:cs="Times New Roman"/>
        </w:rPr>
        <w:t>Swedler</w:t>
      </w:r>
      <w:proofErr w:type="spellEnd"/>
      <w:r w:rsidRPr="008D5139">
        <w:rPr>
          <w:rFonts w:ascii="Times New Roman" w:hAnsi="Times New Roman" w:cs="Times New Roman"/>
        </w:rPr>
        <w:t xml:space="preserve">, B. Ali and D. Hendrie, 2021.  Incidence and Costs of Personal and Property Crimes in the USA, 2017.  </w:t>
      </w:r>
      <w:r w:rsidRPr="008D5139">
        <w:rPr>
          <w:rFonts w:ascii="Times New Roman" w:hAnsi="Times New Roman" w:cs="Times New Roman"/>
          <w:i/>
          <w:iCs/>
        </w:rPr>
        <w:t>Journal of Benefit-Cost Analysis</w:t>
      </w:r>
      <w:r w:rsidRPr="008D5139">
        <w:rPr>
          <w:rFonts w:ascii="Times New Roman" w:hAnsi="Times New Roman" w:cs="Times New Roman"/>
        </w:rPr>
        <w:t>, 1-31.</w:t>
      </w:r>
    </w:p>
    <w:p w14:paraId="626986D8" w14:textId="77777777" w:rsidR="008D5139" w:rsidRPr="008D5139" w:rsidRDefault="008D5139" w:rsidP="008D5139">
      <w:pPr>
        <w:rPr>
          <w:rFonts w:ascii="Times New Roman" w:hAnsi="Times New Roman" w:cs="Times New Roman"/>
        </w:rPr>
      </w:pPr>
    </w:p>
    <w:p w14:paraId="0566F885"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Morgan, G., 2017.  </w:t>
      </w:r>
      <w:r w:rsidRPr="008D5139">
        <w:rPr>
          <w:rFonts w:ascii="Times New Roman" w:hAnsi="Times New Roman" w:cs="Times New Roman"/>
          <w:i/>
          <w:iCs/>
        </w:rPr>
        <w:t>Theory and Practice in Policy Analysis</w:t>
      </w:r>
      <w:r w:rsidRPr="008D5139">
        <w:rPr>
          <w:rFonts w:ascii="Times New Roman" w:hAnsi="Times New Roman" w:cs="Times New Roman"/>
        </w:rPr>
        <w:t>.  Cambridge University Press, Cambridge.</w:t>
      </w:r>
    </w:p>
    <w:p w14:paraId="5A58B6F2" w14:textId="77777777" w:rsidR="008D5139" w:rsidRPr="008D5139" w:rsidRDefault="008D5139" w:rsidP="008D5139">
      <w:pPr>
        <w:rPr>
          <w:rFonts w:ascii="Times New Roman" w:hAnsi="Times New Roman" w:cs="Times New Roman"/>
        </w:rPr>
      </w:pPr>
    </w:p>
    <w:p w14:paraId="186F3756"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National Academy of Science, 2017.  The Economic and Fiscal Consequences of Immigration.  Washington, DC: The National Academies Press. https://doi.org/10.17226/23550</w:t>
      </w:r>
    </w:p>
    <w:p w14:paraId="7DAA9469" w14:textId="77777777" w:rsidR="008D5139" w:rsidRPr="008D5139" w:rsidRDefault="008D5139" w:rsidP="008D5139">
      <w:pPr>
        <w:rPr>
          <w:rFonts w:ascii="Times New Roman" w:hAnsi="Times New Roman" w:cs="Times New Roman"/>
        </w:rPr>
      </w:pPr>
    </w:p>
    <w:p w14:paraId="140C8CDD" w14:textId="628021D9"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Nowrasteh, Alex, 2017.  </w:t>
      </w:r>
      <w:r w:rsidRPr="008D5139">
        <w:rPr>
          <w:rFonts w:ascii="Times New Roman" w:hAnsi="Times New Roman" w:cs="Times New Roman"/>
          <w:spacing w:val="2"/>
        </w:rPr>
        <w:t xml:space="preserve">FAIR’s “Fiscal Burden of Illegal Immigration” Study Is Fatally Flawed”, CATO Institute Blog, September.  </w:t>
      </w:r>
    </w:p>
    <w:p w14:paraId="4084B28E" w14:textId="77777777" w:rsidR="008D5139" w:rsidRPr="008D5139" w:rsidRDefault="008D5139" w:rsidP="008D5139">
      <w:pPr>
        <w:rPr>
          <w:rFonts w:ascii="Times New Roman" w:hAnsi="Times New Roman" w:cs="Times New Roman"/>
        </w:rPr>
      </w:pPr>
    </w:p>
    <w:p w14:paraId="3DC2DB3C"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lastRenderedPageBreak/>
        <w:t>OMB (US Office of Management and Budget), 1993.  Guidelines for the Conduct of Benefit-Cost Analysis and Discount Rate, Circular A-94.  Washington, D.C.</w:t>
      </w:r>
    </w:p>
    <w:p w14:paraId="77616AFB" w14:textId="77777777" w:rsidR="008D5139" w:rsidRPr="008D5139" w:rsidRDefault="008D5139" w:rsidP="008D5139">
      <w:pPr>
        <w:rPr>
          <w:rFonts w:ascii="Times New Roman" w:hAnsi="Times New Roman" w:cs="Times New Roman"/>
        </w:rPr>
      </w:pPr>
    </w:p>
    <w:p w14:paraId="6F520562"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OMB (US Office of Management and Budget), 2003.  Guidelines for Benefit-Cost Analysis of Regulations, Circular A-4.  Washington, D.C.</w:t>
      </w:r>
    </w:p>
    <w:p w14:paraId="38A57783" w14:textId="77777777" w:rsidR="008D5139" w:rsidRPr="008D5139" w:rsidRDefault="008D5139" w:rsidP="008D5139">
      <w:pPr>
        <w:rPr>
          <w:rFonts w:ascii="Times New Roman" w:hAnsi="Times New Roman" w:cs="Times New Roman"/>
        </w:rPr>
      </w:pPr>
    </w:p>
    <w:p w14:paraId="3EE6C09F"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Roberts, B., 2017.  Illegal Immigration Outcomes on the Southern Border.  </w:t>
      </w:r>
      <w:r w:rsidRPr="008D5139">
        <w:rPr>
          <w:rFonts w:ascii="Times New Roman" w:hAnsi="Times New Roman" w:cs="Times New Roman"/>
          <w:i/>
          <w:iCs/>
        </w:rPr>
        <w:t>Cato Journal</w:t>
      </w:r>
      <w:r w:rsidRPr="008D5139">
        <w:rPr>
          <w:rFonts w:ascii="Times New Roman" w:hAnsi="Times New Roman" w:cs="Times New Roman"/>
        </w:rPr>
        <w:t>, 37(3): 555-572 (with presentation slides from 2016).</w:t>
      </w:r>
    </w:p>
    <w:p w14:paraId="35785A0C" w14:textId="77777777" w:rsidR="008D5139" w:rsidRPr="008D5139" w:rsidRDefault="008D5139" w:rsidP="008D5139">
      <w:pPr>
        <w:rPr>
          <w:rFonts w:ascii="Times New Roman" w:hAnsi="Times New Roman" w:cs="Times New Roman"/>
        </w:rPr>
      </w:pPr>
    </w:p>
    <w:p w14:paraId="6523405F"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Rowel, A. and L. Wexler, Valuing Foreign Lives, </w:t>
      </w:r>
      <w:r w:rsidRPr="008D5139">
        <w:rPr>
          <w:rFonts w:ascii="Times New Roman" w:hAnsi="Times New Roman" w:cs="Times New Roman"/>
          <w:i/>
          <w:iCs/>
        </w:rPr>
        <w:t>Georgia Law Review</w:t>
      </w:r>
      <w:r w:rsidRPr="008D5139">
        <w:rPr>
          <w:rFonts w:ascii="Times New Roman" w:hAnsi="Times New Roman" w:cs="Times New Roman"/>
        </w:rPr>
        <w:t>.  2014.</w:t>
      </w:r>
    </w:p>
    <w:p w14:paraId="14695754" w14:textId="77777777" w:rsidR="008D5139" w:rsidRPr="008D5139" w:rsidRDefault="008D5139" w:rsidP="008D5139">
      <w:pPr>
        <w:rPr>
          <w:rFonts w:ascii="Times New Roman" w:hAnsi="Times New Roman" w:cs="Times New Roman"/>
        </w:rPr>
      </w:pPr>
    </w:p>
    <w:p w14:paraId="2847EAB0" w14:textId="77777777" w:rsidR="008D5139" w:rsidRPr="008D5139" w:rsidRDefault="008D5139" w:rsidP="008D5139">
      <w:pPr>
        <w:rPr>
          <w:rFonts w:ascii="Times New Roman" w:hAnsi="Times New Roman" w:cs="Times New Roman"/>
        </w:rPr>
      </w:pPr>
      <w:proofErr w:type="spellStart"/>
      <w:r w:rsidRPr="008D5139">
        <w:rPr>
          <w:rFonts w:ascii="Times New Roman" w:hAnsi="Times New Roman" w:cs="Times New Roman"/>
          <w:color w:val="323233"/>
          <w:shd w:val="clear" w:color="auto" w:fill="FFFFFF"/>
        </w:rPr>
        <w:t>Somanathan</w:t>
      </w:r>
      <w:proofErr w:type="spellEnd"/>
      <w:r w:rsidRPr="008D5139">
        <w:rPr>
          <w:rFonts w:ascii="Times New Roman" w:hAnsi="Times New Roman" w:cs="Times New Roman"/>
          <w:color w:val="323233"/>
          <w:shd w:val="clear" w:color="auto" w:fill="FFFFFF"/>
        </w:rPr>
        <w:t>, E., 2006. Valuing Lives Equally:  Distributional Weights for Welfare Analysis. </w:t>
      </w:r>
      <w:r w:rsidRPr="008D5139">
        <w:rPr>
          <w:rFonts w:ascii="Times New Roman" w:hAnsi="Times New Roman" w:cs="Times New Roman"/>
          <w:i/>
          <w:iCs/>
          <w:color w:val="323233"/>
          <w:shd w:val="clear" w:color="auto" w:fill="FFFFFF"/>
        </w:rPr>
        <w:t>Economics Letters</w:t>
      </w:r>
      <w:r w:rsidRPr="008D5139">
        <w:rPr>
          <w:rFonts w:ascii="Times New Roman" w:hAnsi="Times New Roman" w:cs="Times New Roman"/>
          <w:color w:val="323233"/>
          <w:shd w:val="clear" w:color="auto" w:fill="FFFFFF"/>
        </w:rPr>
        <w:t>, 90, p. 122-125.</w:t>
      </w:r>
    </w:p>
    <w:p w14:paraId="6A032C1D" w14:textId="77777777" w:rsidR="008D5139" w:rsidRPr="008D5139" w:rsidRDefault="008D5139" w:rsidP="008D5139">
      <w:pPr>
        <w:rPr>
          <w:rFonts w:ascii="Times New Roman" w:hAnsi="Times New Roman" w:cs="Times New Roman"/>
        </w:rPr>
      </w:pPr>
    </w:p>
    <w:p w14:paraId="16C04DFF" w14:textId="3470B297" w:rsidR="008D5139" w:rsidRPr="008D5139" w:rsidRDefault="008D5139" w:rsidP="008D5139">
      <w:pPr>
        <w:rPr>
          <w:rFonts w:ascii="Times New Roman" w:hAnsi="Times New Roman" w:cs="Times New Roman"/>
        </w:rPr>
      </w:pPr>
      <w:proofErr w:type="spellStart"/>
      <w:r w:rsidRPr="008D5139">
        <w:rPr>
          <w:rFonts w:ascii="Times New Roman" w:hAnsi="Times New Roman" w:cs="Times New Roman"/>
        </w:rPr>
        <w:t>Soloveichik</w:t>
      </w:r>
      <w:proofErr w:type="spellEnd"/>
      <w:r w:rsidRPr="008D5139">
        <w:rPr>
          <w:rFonts w:ascii="Times New Roman" w:hAnsi="Times New Roman" w:cs="Times New Roman"/>
        </w:rPr>
        <w:t xml:space="preserve">, S., 2019.  Including Illegal Activity in the U.S. National Economic </w:t>
      </w:r>
      <w:proofErr w:type="gramStart"/>
      <w:r w:rsidRPr="008D5139">
        <w:rPr>
          <w:rFonts w:ascii="Times New Roman" w:hAnsi="Times New Roman" w:cs="Times New Roman"/>
        </w:rPr>
        <w:t>Accounts ,</w:t>
      </w:r>
      <w:proofErr w:type="gramEnd"/>
      <w:r w:rsidRPr="008D5139">
        <w:rPr>
          <w:rFonts w:ascii="Times New Roman" w:hAnsi="Times New Roman" w:cs="Times New Roman"/>
        </w:rPr>
        <w:t xml:space="preserve"> Bureau of Economic Analysis. </w:t>
      </w:r>
    </w:p>
    <w:p w14:paraId="6A7CF3F8" w14:textId="77777777" w:rsidR="008D5139" w:rsidRPr="008D5139" w:rsidRDefault="008D5139" w:rsidP="008D5139">
      <w:pPr>
        <w:rPr>
          <w:rFonts w:ascii="Times New Roman" w:hAnsi="Times New Roman" w:cs="Times New Roman"/>
        </w:rPr>
      </w:pPr>
    </w:p>
    <w:p w14:paraId="56A8641C" w14:textId="77777777" w:rsidR="008D5139" w:rsidRPr="008D5139" w:rsidRDefault="008D5139" w:rsidP="008D5139">
      <w:pPr>
        <w:rPr>
          <w:rFonts w:ascii="Times New Roman" w:hAnsi="Times New Roman" w:cs="Times New Roman"/>
        </w:rPr>
      </w:pPr>
      <w:proofErr w:type="spellStart"/>
      <w:r w:rsidRPr="008D5139">
        <w:rPr>
          <w:rFonts w:ascii="Times New Roman" w:hAnsi="Times New Roman" w:cs="Times New Roman"/>
        </w:rPr>
        <w:t>Tietenberg</w:t>
      </w:r>
      <w:proofErr w:type="spellEnd"/>
      <w:r w:rsidRPr="008D5139">
        <w:rPr>
          <w:rFonts w:ascii="Times New Roman" w:hAnsi="Times New Roman" w:cs="Times New Roman"/>
        </w:rPr>
        <w:t xml:space="preserve">, T., 2000.  </w:t>
      </w:r>
      <w:r w:rsidRPr="008D5139">
        <w:rPr>
          <w:rFonts w:ascii="Times New Roman" w:hAnsi="Times New Roman" w:cs="Times New Roman"/>
          <w:i/>
          <w:iCs/>
        </w:rPr>
        <w:t>Environmental and Natural Resource Economics</w:t>
      </w:r>
      <w:r w:rsidRPr="008D5139">
        <w:rPr>
          <w:rFonts w:ascii="Times New Roman" w:hAnsi="Times New Roman" w:cs="Times New Roman"/>
        </w:rPr>
        <w:t>, 5</w:t>
      </w:r>
      <w:r w:rsidRPr="008D5139">
        <w:rPr>
          <w:rFonts w:ascii="Times New Roman" w:hAnsi="Times New Roman" w:cs="Times New Roman"/>
          <w:vertAlign w:val="superscript"/>
        </w:rPr>
        <w:t>th</w:t>
      </w:r>
      <w:r w:rsidRPr="008D5139">
        <w:rPr>
          <w:rFonts w:ascii="Times New Roman" w:hAnsi="Times New Roman" w:cs="Times New Roman"/>
        </w:rPr>
        <w:t xml:space="preserve"> Edition.  Addison-Wesley, Reading, Massachusetts.</w:t>
      </w:r>
    </w:p>
    <w:p w14:paraId="1515590C" w14:textId="77777777" w:rsidR="008D5139" w:rsidRPr="008D5139" w:rsidRDefault="008D5139" w:rsidP="008D5139">
      <w:pPr>
        <w:rPr>
          <w:rFonts w:ascii="Times New Roman" w:hAnsi="Times New Roman" w:cs="Times New Roman"/>
        </w:rPr>
      </w:pPr>
    </w:p>
    <w:p w14:paraId="6F05D0C9" w14:textId="25BBFFAA" w:rsidR="008D5139" w:rsidRDefault="008D5139" w:rsidP="008D5139">
      <w:pPr>
        <w:rPr>
          <w:rFonts w:ascii="Times New Roman" w:hAnsi="Times New Roman" w:cs="Times New Roman"/>
        </w:rPr>
      </w:pPr>
      <w:r w:rsidRPr="008D5139">
        <w:rPr>
          <w:rFonts w:ascii="Times New Roman" w:hAnsi="Times New Roman" w:cs="Times New Roman"/>
        </w:rPr>
        <w:t xml:space="preserve">United National Office of Crime and Drugs, 2021.  Drug Prices by Country, available at </w:t>
      </w:r>
      <w:hyperlink r:id="rId28" w:history="1">
        <w:r w:rsidRPr="008D5139">
          <w:rPr>
            <w:rFonts w:ascii="Times New Roman" w:hAnsi="Times New Roman" w:cs="Times New Roman"/>
            <w:color w:val="0563C1" w:themeColor="hyperlink"/>
            <w:u w:val="single"/>
          </w:rPr>
          <w:t>https://www.unodc.org/unodc/en/data-and-analysis/statistics/drug-trafficking.html</w:t>
        </w:r>
      </w:hyperlink>
      <w:r w:rsidRPr="008D5139">
        <w:rPr>
          <w:rFonts w:ascii="Times New Roman" w:hAnsi="Times New Roman" w:cs="Times New Roman"/>
        </w:rPr>
        <w:t xml:space="preserve"> .</w:t>
      </w:r>
    </w:p>
    <w:p w14:paraId="384BF027" w14:textId="5448E860" w:rsidR="00562A6B" w:rsidRDefault="00562A6B" w:rsidP="008D5139">
      <w:pPr>
        <w:rPr>
          <w:rFonts w:ascii="Times New Roman" w:hAnsi="Times New Roman" w:cs="Times New Roman"/>
        </w:rPr>
      </w:pPr>
    </w:p>
    <w:p w14:paraId="7E0FD172" w14:textId="2B41A9F7" w:rsidR="004E402D" w:rsidRDefault="004E402D" w:rsidP="004E402D">
      <w:pPr>
        <w:rPr>
          <w:rFonts w:ascii="Times New Roman" w:hAnsi="Times New Roman" w:cs="Times New Roman"/>
        </w:rPr>
      </w:pPr>
      <w:proofErr w:type="spellStart"/>
      <w:r w:rsidRPr="00934DC9">
        <w:rPr>
          <w:rFonts w:ascii="Times New Roman" w:hAnsi="Times New Roman" w:cs="Times New Roman"/>
        </w:rPr>
        <w:t>Viscusi</w:t>
      </w:r>
      <w:proofErr w:type="spellEnd"/>
      <w:r w:rsidRPr="00934DC9">
        <w:rPr>
          <w:rFonts w:ascii="Times New Roman" w:hAnsi="Times New Roman" w:cs="Times New Roman"/>
        </w:rPr>
        <w:t xml:space="preserve">, W. </w:t>
      </w:r>
      <w:proofErr w:type="gramStart"/>
      <w:r w:rsidRPr="00934DC9">
        <w:rPr>
          <w:rFonts w:ascii="Times New Roman" w:hAnsi="Times New Roman" w:cs="Times New Roman"/>
        </w:rPr>
        <w:t>K.</w:t>
      </w:r>
      <w:proofErr w:type="gramEnd"/>
      <w:r w:rsidRPr="00934DC9">
        <w:rPr>
          <w:rFonts w:ascii="Times New Roman" w:hAnsi="Times New Roman" w:cs="Times New Roman"/>
        </w:rPr>
        <w:t xml:space="preserve"> and C. </w:t>
      </w:r>
      <w:proofErr w:type="spellStart"/>
      <w:r w:rsidRPr="00934DC9">
        <w:rPr>
          <w:rFonts w:ascii="Times New Roman" w:hAnsi="Times New Roman" w:cs="Times New Roman"/>
        </w:rPr>
        <w:t>Masterman</w:t>
      </w:r>
      <w:proofErr w:type="spellEnd"/>
      <w:r w:rsidRPr="00934DC9">
        <w:rPr>
          <w:rFonts w:ascii="Times New Roman" w:hAnsi="Times New Roman" w:cs="Times New Roman"/>
        </w:rPr>
        <w:t xml:space="preserve">, 2017.  Income Elasticities and Global Values of a Statistical Life.  </w:t>
      </w:r>
      <w:r w:rsidRPr="00934DC9">
        <w:rPr>
          <w:rFonts w:ascii="Times New Roman" w:hAnsi="Times New Roman" w:cs="Times New Roman"/>
          <w:i/>
          <w:iCs/>
        </w:rPr>
        <w:t>Journal of Benefit-Cost Analysis</w:t>
      </w:r>
      <w:r w:rsidRPr="00934DC9">
        <w:rPr>
          <w:rFonts w:ascii="Times New Roman" w:hAnsi="Times New Roman" w:cs="Times New Roman"/>
        </w:rPr>
        <w:t>, 8(2):226-250</w:t>
      </w:r>
      <w:r>
        <w:rPr>
          <w:rFonts w:ascii="Times New Roman" w:hAnsi="Times New Roman" w:cs="Times New Roman"/>
        </w:rPr>
        <w:t>.</w:t>
      </w:r>
    </w:p>
    <w:p w14:paraId="4D27AE66" w14:textId="77777777" w:rsidR="008D5139" w:rsidRPr="008D5139" w:rsidRDefault="008D5139" w:rsidP="008D5139">
      <w:pPr>
        <w:rPr>
          <w:rFonts w:ascii="Times New Roman" w:hAnsi="Times New Roman" w:cs="Times New Roman"/>
        </w:rPr>
      </w:pPr>
    </w:p>
    <w:p w14:paraId="065A50CE"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White House, 2021.  Modernizing Regulatory Review.  Accessed May 17, 2021 at </w:t>
      </w:r>
      <w:hyperlink r:id="rId29" w:history="1">
        <w:r w:rsidRPr="008D5139">
          <w:rPr>
            <w:color w:val="0563C1" w:themeColor="hyperlink"/>
            <w:sz w:val="22"/>
            <w:szCs w:val="22"/>
            <w:u w:val="single"/>
          </w:rPr>
          <w:t>Modernizing Regulatory Review | The White House</w:t>
        </w:r>
      </w:hyperlink>
      <w:r w:rsidRPr="008D5139">
        <w:rPr>
          <w:sz w:val="22"/>
          <w:szCs w:val="22"/>
        </w:rPr>
        <w:t xml:space="preserve"> .</w:t>
      </w:r>
    </w:p>
    <w:p w14:paraId="51DAA8D4" w14:textId="77777777" w:rsidR="008D5139" w:rsidRPr="008D5139" w:rsidRDefault="008D5139" w:rsidP="008D5139">
      <w:pPr>
        <w:rPr>
          <w:rFonts w:ascii="Times New Roman" w:hAnsi="Times New Roman" w:cs="Times New Roman"/>
        </w:rPr>
      </w:pPr>
    </w:p>
    <w:p w14:paraId="4C8BBD7C" w14:textId="77777777" w:rsidR="008D5139" w:rsidRPr="008D5139" w:rsidRDefault="008D5139" w:rsidP="008D5139">
      <w:pPr>
        <w:rPr>
          <w:rFonts w:ascii="Times New Roman" w:hAnsi="Times New Roman" w:cs="Times New Roman"/>
        </w:rPr>
      </w:pPr>
      <w:r w:rsidRPr="008D5139">
        <w:rPr>
          <w:rFonts w:ascii="Times New Roman" w:hAnsi="Times New Roman" w:cs="Times New Roman"/>
        </w:rPr>
        <w:t xml:space="preserve">Whittington, </w:t>
      </w:r>
      <w:proofErr w:type="gramStart"/>
      <w:r w:rsidRPr="008D5139">
        <w:rPr>
          <w:rFonts w:ascii="Times New Roman" w:hAnsi="Times New Roman" w:cs="Times New Roman"/>
        </w:rPr>
        <w:t>D.</w:t>
      </w:r>
      <w:proofErr w:type="gramEnd"/>
      <w:r w:rsidRPr="008D5139">
        <w:rPr>
          <w:rFonts w:ascii="Times New Roman" w:hAnsi="Times New Roman" w:cs="Times New Roman"/>
        </w:rPr>
        <w:t xml:space="preserve"> and D. </w:t>
      </w:r>
      <w:proofErr w:type="spellStart"/>
      <w:r w:rsidRPr="008D5139">
        <w:rPr>
          <w:rFonts w:ascii="Times New Roman" w:hAnsi="Times New Roman" w:cs="Times New Roman"/>
        </w:rPr>
        <w:t>MacRae</w:t>
      </w:r>
      <w:proofErr w:type="spellEnd"/>
      <w:r w:rsidRPr="008D5139">
        <w:rPr>
          <w:rFonts w:ascii="Times New Roman" w:hAnsi="Times New Roman" w:cs="Times New Roman"/>
        </w:rPr>
        <w:t xml:space="preserve">, Jr., 1990.  Judgments about Who Has Standing in Cost-Benefit Analysis, </w:t>
      </w:r>
      <w:r w:rsidRPr="008D5139">
        <w:rPr>
          <w:rFonts w:ascii="Times New Roman" w:hAnsi="Times New Roman" w:cs="Times New Roman"/>
          <w:i/>
          <w:iCs/>
        </w:rPr>
        <w:t xml:space="preserve">Journal of Policy Analysis and </w:t>
      </w:r>
      <w:proofErr w:type="gramStart"/>
      <w:r w:rsidRPr="008D5139">
        <w:rPr>
          <w:rFonts w:ascii="Times New Roman" w:hAnsi="Times New Roman" w:cs="Times New Roman"/>
          <w:i/>
          <w:iCs/>
        </w:rPr>
        <w:t>Management</w:t>
      </w:r>
      <w:r w:rsidRPr="008D5139">
        <w:rPr>
          <w:rFonts w:ascii="Times New Roman" w:hAnsi="Times New Roman" w:cs="Times New Roman"/>
        </w:rPr>
        <w:t xml:space="preserve"> ,</w:t>
      </w:r>
      <w:proofErr w:type="gramEnd"/>
      <w:r w:rsidRPr="008D5139">
        <w:rPr>
          <w:rFonts w:ascii="Times New Roman" w:hAnsi="Times New Roman" w:cs="Times New Roman"/>
        </w:rPr>
        <w:t xml:space="preserve"> 9(4):536-547.</w:t>
      </w:r>
    </w:p>
    <w:p w14:paraId="27F10A2D" w14:textId="77777777" w:rsidR="008D5139" w:rsidRPr="008D5139" w:rsidRDefault="008D5139" w:rsidP="008D5139">
      <w:pPr>
        <w:rPr>
          <w:rFonts w:ascii="Times New Roman" w:hAnsi="Times New Roman" w:cs="Times New Roman"/>
        </w:rPr>
      </w:pPr>
    </w:p>
    <w:p w14:paraId="652028CD" w14:textId="77777777" w:rsidR="008D5139" w:rsidRPr="008D5139" w:rsidRDefault="008D5139" w:rsidP="008D5139">
      <w:pPr>
        <w:rPr>
          <w:rFonts w:ascii="Times New Roman" w:hAnsi="Times New Roman" w:cs="Times New Roman"/>
          <w:color w:val="000000" w:themeColor="text1"/>
        </w:rPr>
      </w:pPr>
      <w:r w:rsidRPr="008D5139">
        <w:rPr>
          <w:rFonts w:ascii="Times New Roman" w:hAnsi="Times New Roman" w:cs="Times New Roman"/>
        </w:rPr>
        <w:t xml:space="preserve">Weimer, </w:t>
      </w:r>
      <w:proofErr w:type="gramStart"/>
      <w:r w:rsidRPr="008D5139">
        <w:rPr>
          <w:rFonts w:ascii="Times New Roman" w:hAnsi="Times New Roman" w:cs="Times New Roman"/>
        </w:rPr>
        <w:t>D.</w:t>
      </w:r>
      <w:proofErr w:type="gramEnd"/>
      <w:r w:rsidRPr="008D5139">
        <w:rPr>
          <w:rFonts w:ascii="Times New Roman" w:hAnsi="Times New Roman" w:cs="Times New Roman"/>
        </w:rPr>
        <w:t xml:space="preserve"> and A. Vining, 2017.  </w:t>
      </w:r>
      <w:r w:rsidRPr="008D5139">
        <w:rPr>
          <w:rFonts w:ascii="Times New Roman" w:hAnsi="Times New Roman" w:cs="Times New Roman"/>
          <w:i/>
          <w:iCs/>
        </w:rPr>
        <w:t>Policy Analysis:  Concepts and Practice</w:t>
      </w:r>
      <w:r w:rsidRPr="008D5139">
        <w:rPr>
          <w:rFonts w:ascii="Times New Roman" w:hAnsi="Times New Roman" w:cs="Times New Roman"/>
        </w:rPr>
        <w:t>, 6</w:t>
      </w:r>
      <w:r w:rsidRPr="008D5139">
        <w:rPr>
          <w:rFonts w:ascii="Times New Roman" w:hAnsi="Times New Roman" w:cs="Times New Roman"/>
          <w:vertAlign w:val="superscript"/>
        </w:rPr>
        <w:t>th</w:t>
      </w:r>
      <w:r w:rsidRPr="008D5139">
        <w:rPr>
          <w:rFonts w:ascii="Times New Roman" w:hAnsi="Times New Roman" w:cs="Times New Roman"/>
        </w:rPr>
        <w:t xml:space="preserve"> Ed., Routledge, New York.</w:t>
      </w:r>
    </w:p>
    <w:p w14:paraId="1DCA331E" w14:textId="2751A913" w:rsidR="008D5139" w:rsidRDefault="008D5139" w:rsidP="008D5139">
      <w:pPr>
        <w:rPr>
          <w:rFonts w:ascii="Times New Roman" w:hAnsi="Times New Roman" w:cs="Times New Roman"/>
          <w:color w:val="000000" w:themeColor="text1"/>
        </w:rPr>
      </w:pPr>
    </w:p>
    <w:p w14:paraId="02CFFC2C" w14:textId="4ADFBA8E" w:rsidR="00B95476" w:rsidRPr="00944F84" w:rsidRDefault="00B95476" w:rsidP="008D5139">
      <w:pPr>
        <w:rPr>
          <w:rFonts w:ascii="Times New Roman" w:hAnsi="Times New Roman" w:cs="Times New Roman"/>
          <w:color w:val="000000" w:themeColor="text1"/>
        </w:rPr>
      </w:pPr>
      <w:r>
        <w:rPr>
          <w:rFonts w:ascii="Times New Roman" w:hAnsi="Times New Roman" w:cs="Times New Roman"/>
          <w:color w:val="000000" w:themeColor="text1"/>
        </w:rPr>
        <w:t xml:space="preserve">West, D., 2011.  The Costs and Benefits of Immigration. </w:t>
      </w:r>
      <w:r w:rsidRPr="00944F84">
        <w:rPr>
          <w:rFonts w:ascii="Times New Roman" w:hAnsi="Times New Roman" w:cs="Times New Roman"/>
          <w:i/>
          <w:iCs/>
          <w:color w:val="000000" w:themeColor="text1"/>
        </w:rPr>
        <w:t>Po</w:t>
      </w:r>
      <w:r w:rsidRPr="00944F84">
        <w:rPr>
          <w:rFonts w:ascii="Times New Roman" w:hAnsi="Times New Roman" w:cs="Times New Roman"/>
          <w:i/>
          <w:iCs/>
        </w:rPr>
        <w:t>litical Science Quarterly</w:t>
      </w:r>
      <w:r w:rsidRPr="00944F84">
        <w:rPr>
          <w:rFonts w:ascii="Times New Roman" w:hAnsi="Times New Roman" w:cs="Times New Roman"/>
        </w:rPr>
        <w:t>,</w:t>
      </w:r>
      <w:r w:rsidR="00944F84">
        <w:rPr>
          <w:rFonts w:ascii="Times New Roman" w:hAnsi="Times New Roman" w:cs="Times New Roman"/>
        </w:rPr>
        <w:t xml:space="preserve"> </w:t>
      </w:r>
      <w:r w:rsidRPr="00944F84">
        <w:rPr>
          <w:rFonts w:ascii="Times New Roman" w:hAnsi="Times New Roman" w:cs="Times New Roman"/>
        </w:rPr>
        <w:t>126</w:t>
      </w:r>
      <w:r w:rsidR="00944F84">
        <w:rPr>
          <w:rFonts w:ascii="Times New Roman" w:hAnsi="Times New Roman" w:cs="Times New Roman"/>
        </w:rPr>
        <w:t>(</w:t>
      </w:r>
      <w:r w:rsidRPr="00944F84">
        <w:rPr>
          <w:rFonts w:ascii="Times New Roman" w:hAnsi="Times New Roman" w:cs="Times New Roman"/>
        </w:rPr>
        <w:t>3</w:t>
      </w:r>
      <w:r w:rsidR="00944F84">
        <w:rPr>
          <w:rFonts w:ascii="Times New Roman" w:hAnsi="Times New Roman" w:cs="Times New Roman"/>
        </w:rPr>
        <w:t>):</w:t>
      </w:r>
      <w:r w:rsidRPr="00944F84">
        <w:rPr>
          <w:rFonts w:ascii="Times New Roman" w:hAnsi="Times New Roman" w:cs="Times New Roman"/>
        </w:rPr>
        <w:t>427-44</w:t>
      </w:r>
      <w:r w:rsidR="00944F84">
        <w:rPr>
          <w:rFonts w:ascii="Times New Roman" w:hAnsi="Times New Roman" w:cs="Times New Roman"/>
          <w:color w:val="000000" w:themeColor="text1"/>
        </w:rPr>
        <w:t>4.</w:t>
      </w:r>
    </w:p>
    <w:p w14:paraId="6AC48A9F" w14:textId="4DB02E8C" w:rsidR="00733DB5" w:rsidRPr="001856E4" w:rsidRDefault="00733DB5" w:rsidP="001856E4">
      <w:pPr>
        <w:spacing w:after="160" w:line="259" w:lineRule="auto"/>
        <w:rPr>
          <w:rFonts w:ascii="Times New Roman" w:hAnsi="Times New Roman" w:cs="Times New Roman"/>
        </w:rPr>
      </w:pPr>
    </w:p>
    <w:sectPr w:rsidR="00733DB5" w:rsidRPr="001856E4" w:rsidSect="00C43CD6">
      <w:headerReference w:type="even" r:id="rId30"/>
      <w:headerReference w:type="default" r:id="rId31"/>
      <w:footerReference w:type="default" r:id="rId32"/>
      <w:headerReference w:type="first" r:id="rId33"/>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9E77" w14:textId="77777777" w:rsidR="009F6D95" w:rsidRDefault="009F6D95" w:rsidP="005111DB">
      <w:r>
        <w:separator/>
      </w:r>
    </w:p>
  </w:endnote>
  <w:endnote w:type="continuationSeparator" w:id="0">
    <w:p w14:paraId="66639F85" w14:textId="77777777" w:rsidR="009F6D95" w:rsidRDefault="009F6D95" w:rsidP="005111DB">
      <w:r>
        <w:continuationSeparator/>
      </w:r>
    </w:p>
  </w:endnote>
  <w:endnote w:type="continuationNotice" w:id="1">
    <w:p w14:paraId="66C77DDF" w14:textId="77777777" w:rsidR="009F6D95" w:rsidRDefault="009F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10186"/>
      <w:docPartObj>
        <w:docPartGallery w:val="Page Numbers (Bottom of Page)"/>
        <w:docPartUnique/>
      </w:docPartObj>
    </w:sdtPr>
    <w:sdtEndPr>
      <w:rPr>
        <w:noProof/>
      </w:rPr>
    </w:sdtEndPr>
    <w:sdtContent>
      <w:p w14:paraId="602CE156" w14:textId="77777777" w:rsidR="00396247" w:rsidRDefault="00DA6B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D7776" w14:textId="77777777" w:rsidR="00396247" w:rsidRDefault="009F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C473" w14:textId="77777777" w:rsidR="009F6D95" w:rsidRDefault="009F6D95" w:rsidP="005111DB">
      <w:r>
        <w:separator/>
      </w:r>
    </w:p>
  </w:footnote>
  <w:footnote w:type="continuationSeparator" w:id="0">
    <w:p w14:paraId="622C4454" w14:textId="77777777" w:rsidR="009F6D95" w:rsidRDefault="009F6D95" w:rsidP="005111DB">
      <w:r>
        <w:continuationSeparator/>
      </w:r>
    </w:p>
  </w:footnote>
  <w:footnote w:type="continuationNotice" w:id="1">
    <w:p w14:paraId="3A187B48" w14:textId="77777777" w:rsidR="009F6D95" w:rsidRDefault="009F6D95"/>
  </w:footnote>
  <w:footnote w:id="2">
    <w:p w14:paraId="34326F2A" w14:textId="7CA258A5" w:rsidR="008D5139" w:rsidRDefault="008D5139" w:rsidP="008D5139">
      <w:pPr>
        <w:pStyle w:val="FootnoteText"/>
      </w:pPr>
      <w:r>
        <w:rPr>
          <w:rStyle w:val="FootnoteReference"/>
        </w:rPr>
        <w:footnoteRef/>
      </w:r>
      <w:r>
        <w:t xml:space="preserve"> </w:t>
      </w:r>
      <w:r w:rsidRPr="007334DF">
        <w:rPr>
          <w:rFonts w:ascii="Times New Roman" w:hAnsi="Times New Roman" w:cs="Times New Roman"/>
        </w:rPr>
        <w:t>This can be equivalently modeled as minimizing total social cost.</w:t>
      </w:r>
      <w:r w:rsidR="009357B9">
        <w:rPr>
          <w:rFonts w:ascii="Times New Roman" w:hAnsi="Times New Roman" w:cs="Times New Roman"/>
        </w:rPr>
        <w:t xml:space="preserve">  In the pollution control context, see </w:t>
      </w:r>
      <w:r w:rsidR="009357B9" w:rsidRPr="008D5139">
        <w:rPr>
          <w:rFonts w:ascii="Times New Roman" w:hAnsi="Times New Roman" w:cs="Times New Roman"/>
        </w:rPr>
        <w:t>Hanley, Shogren and White, 2007, p. 83; Tietenberg, 2000, p. 338)</w:t>
      </w:r>
    </w:p>
  </w:footnote>
  <w:footnote w:id="3">
    <w:p w14:paraId="1802D809" w14:textId="6E2ED35B" w:rsidR="008D5139" w:rsidRDefault="008D5139" w:rsidP="008D5139">
      <w:pPr>
        <w:pStyle w:val="FootnoteText"/>
      </w:pPr>
      <w:r>
        <w:rPr>
          <w:rStyle w:val="FootnoteReference"/>
        </w:rPr>
        <w:footnoteRef/>
      </w:r>
      <w:r>
        <w:t xml:space="preserve"> </w:t>
      </w:r>
      <w:r w:rsidRPr="002E42AE">
        <w:rPr>
          <w:rFonts w:ascii="Times New Roman" w:hAnsi="Times New Roman" w:cs="Times New Roman"/>
        </w:rPr>
        <w:t>Unsuccessful asylum seekers cannot legally work and are not eligible for a variety of programs.</w:t>
      </w:r>
    </w:p>
  </w:footnote>
  <w:footnote w:id="4">
    <w:p w14:paraId="402696BA" w14:textId="77777777" w:rsidR="008D5139" w:rsidRDefault="008D5139" w:rsidP="008D5139">
      <w:pPr>
        <w:pStyle w:val="FootnoteText"/>
      </w:pPr>
      <w:r>
        <w:rPr>
          <w:rStyle w:val="FootnoteReference"/>
        </w:rPr>
        <w:footnoteRef/>
      </w:r>
      <w:r>
        <w:t xml:space="preserve"> </w:t>
      </w:r>
      <w:r w:rsidRPr="008C4DFA">
        <w:rPr>
          <w:rFonts w:ascii="Times New Roman" w:hAnsi="Times New Roman" w:cs="Times New Roman"/>
          <w:color w:val="202124"/>
          <w:shd w:val="clear" w:color="auto" w:fill="FFFFFF"/>
        </w:rPr>
        <w:t>The maximum multiplier is the value necessary to raise the average intentional homicide rate to 1 representing “certainty” of homicide, a value of about 2,500 in the countries studied.</w:t>
      </w:r>
    </w:p>
  </w:footnote>
  <w:footnote w:id="5">
    <w:p w14:paraId="55D297B5" w14:textId="55CC62FF" w:rsidR="00176739" w:rsidRPr="00176739" w:rsidRDefault="00176739">
      <w:pPr>
        <w:pStyle w:val="FootnoteText"/>
        <w:rPr>
          <w:rFonts w:ascii="Times New Roman" w:hAnsi="Times New Roman" w:cs="Times New Roman"/>
        </w:rPr>
      </w:pPr>
      <w:r>
        <w:rPr>
          <w:rStyle w:val="FootnoteReference"/>
        </w:rPr>
        <w:footnoteRef/>
      </w:r>
      <w:r>
        <w:t xml:space="preserve"> </w:t>
      </w:r>
      <w:r w:rsidR="005D0DAF">
        <w:rPr>
          <w:rFonts w:ascii="Times New Roman" w:hAnsi="Times New Roman" w:cs="Times New Roman"/>
        </w:rPr>
        <w:t>Acknowledging</w:t>
      </w:r>
      <w:r>
        <w:rPr>
          <w:rFonts w:ascii="Times New Roman" w:hAnsi="Times New Roman" w:cs="Times New Roman"/>
        </w:rPr>
        <w:t xml:space="preserve"> standing to US born children reduces FAIR costs of Public Education by three-quarters.  The remaining FAIR estimate is included</w:t>
      </w:r>
      <w:r w:rsidR="005D0DAF">
        <w:rPr>
          <w:rFonts w:ascii="Times New Roman" w:hAnsi="Times New Roman" w:cs="Times New Roman"/>
        </w:rPr>
        <w:t xml:space="preserve"> as the </w:t>
      </w:r>
      <w:r w:rsidR="00397B0F">
        <w:rPr>
          <w:rFonts w:ascii="Times New Roman" w:hAnsi="Times New Roman" w:cs="Times New Roman"/>
        </w:rPr>
        <w:t>foreign-born</w:t>
      </w:r>
      <w:r w:rsidR="00AB44D6">
        <w:rPr>
          <w:rFonts w:ascii="Times New Roman" w:hAnsi="Times New Roman" w:cs="Times New Roman"/>
        </w:rPr>
        <w:t xml:space="preserve"> undocumented </w:t>
      </w:r>
      <w:r w:rsidR="005D0DAF">
        <w:rPr>
          <w:rFonts w:ascii="Times New Roman" w:hAnsi="Times New Roman" w:cs="Times New Roman"/>
        </w:rPr>
        <w:t xml:space="preserve">children are </w:t>
      </w:r>
      <w:r w:rsidR="00AB44D6">
        <w:rPr>
          <w:rFonts w:ascii="Times New Roman" w:hAnsi="Times New Roman" w:cs="Times New Roman"/>
        </w:rPr>
        <w:t xml:space="preserve">neither </w:t>
      </w:r>
      <w:r w:rsidR="005D0DAF">
        <w:rPr>
          <w:rFonts w:ascii="Times New Roman" w:hAnsi="Times New Roman" w:cs="Times New Roman"/>
        </w:rPr>
        <w:t xml:space="preserve">citizens </w:t>
      </w:r>
      <w:r w:rsidR="00AB44D6">
        <w:rPr>
          <w:rFonts w:ascii="Times New Roman" w:hAnsi="Times New Roman" w:cs="Times New Roman"/>
        </w:rPr>
        <w:t>n</w:t>
      </w:r>
      <w:r w:rsidR="005D0DAF">
        <w:rPr>
          <w:rFonts w:ascii="Times New Roman" w:hAnsi="Times New Roman" w:cs="Times New Roman"/>
        </w:rPr>
        <w:t>or legal residents</w:t>
      </w:r>
      <w:r w:rsidR="00AB44D6">
        <w:rPr>
          <w:rFonts w:ascii="Times New Roman" w:hAnsi="Times New Roman" w:cs="Times New Roman"/>
        </w:rPr>
        <w:t xml:space="preserve"> although a court case has required state</w:t>
      </w:r>
      <w:r w:rsidR="00397B0F">
        <w:rPr>
          <w:rFonts w:ascii="Times New Roman" w:hAnsi="Times New Roman" w:cs="Times New Roman"/>
        </w:rPr>
        <w:t>s</w:t>
      </w:r>
      <w:r w:rsidR="00AB44D6">
        <w:rPr>
          <w:rFonts w:ascii="Times New Roman" w:hAnsi="Times New Roman" w:cs="Times New Roman"/>
        </w:rPr>
        <w:t xml:space="preserve"> to educat</w:t>
      </w:r>
      <w:r w:rsidR="00397B0F">
        <w:rPr>
          <w:rFonts w:ascii="Times New Roman" w:hAnsi="Times New Roman" w:cs="Times New Roman"/>
        </w:rPr>
        <w:t>e them</w:t>
      </w:r>
      <w:r w:rsidR="00C1163A">
        <w:rPr>
          <w:rFonts w:ascii="Times New Roman" w:hAnsi="Times New Roman" w:cs="Times New Roman"/>
        </w:rPr>
        <w:t>.</w:t>
      </w:r>
    </w:p>
  </w:footnote>
  <w:footnote w:id="6">
    <w:p w14:paraId="23714606" w14:textId="77777777" w:rsidR="008D5139" w:rsidRPr="00C9251D" w:rsidRDefault="008D5139" w:rsidP="008D5139">
      <w:pPr>
        <w:pStyle w:val="FootnoteText"/>
        <w:rPr>
          <w:rFonts w:ascii="Times New Roman" w:hAnsi="Times New Roman" w:cs="Times New Roman"/>
        </w:rPr>
      </w:pPr>
      <w:r w:rsidRPr="00C9251D">
        <w:rPr>
          <w:rStyle w:val="FootnoteReference"/>
          <w:rFonts w:ascii="Times New Roman" w:hAnsi="Times New Roman" w:cs="Times New Roman"/>
        </w:rPr>
        <w:footnoteRef/>
      </w:r>
      <w:r w:rsidRPr="00C9251D">
        <w:rPr>
          <w:rFonts w:ascii="Times New Roman" w:hAnsi="Times New Roman" w:cs="Times New Roman"/>
        </w:rPr>
        <w:t xml:space="preserve"> As above, costs for successful asylees are modeled as a tax transfer with zero impact.</w:t>
      </w:r>
    </w:p>
  </w:footnote>
  <w:footnote w:id="7">
    <w:p w14:paraId="4B980F99" w14:textId="018CAEA0" w:rsidR="008D5139" w:rsidRPr="00795F0E" w:rsidRDefault="008D5139" w:rsidP="008D5139">
      <w:pPr>
        <w:pStyle w:val="FootnoteText"/>
        <w:rPr>
          <w:rFonts w:ascii="Times New Roman" w:hAnsi="Times New Roman" w:cs="Times New Roman"/>
        </w:rPr>
      </w:pPr>
      <w:r w:rsidRPr="00795F0E">
        <w:rPr>
          <w:rStyle w:val="FootnoteReference"/>
          <w:rFonts w:ascii="Times New Roman" w:hAnsi="Times New Roman" w:cs="Times New Roman"/>
        </w:rPr>
        <w:footnoteRef/>
      </w:r>
      <w:r w:rsidRPr="00795F0E">
        <w:rPr>
          <w:rFonts w:ascii="Times New Roman" w:hAnsi="Times New Roman" w:cs="Times New Roman"/>
        </w:rPr>
        <w:t xml:space="preserve"> A separate and evolving literature investigates whether immigrant communities have higher</w:t>
      </w:r>
      <w:r>
        <w:rPr>
          <w:rFonts w:ascii="Times New Roman" w:hAnsi="Times New Roman" w:cs="Times New Roman"/>
        </w:rPr>
        <w:t xml:space="preserve"> or</w:t>
      </w:r>
      <w:r w:rsidRPr="00795F0E">
        <w:rPr>
          <w:rFonts w:ascii="Times New Roman" w:hAnsi="Times New Roman" w:cs="Times New Roman"/>
        </w:rPr>
        <w:t xml:space="preserve"> lower rates of criminal activity.  In general, they find that immigrants commit fewer crimes per capita than the native population (Farley, 2018) while numerous crimes are still committed by illegal immigrants.</w:t>
      </w:r>
    </w:p>
  </w:footnote>
  <w:footnote w:id="8">
    <w:p w14:paraId="239B3BFF" w14:textId="77777777" w:rsidR="008D5139" w:rsidRPr="00795F0E" w:rsidRDefault="008D5139" w:rsidP="008D5139">
      <w:pPr>
        <w:pStyle w:val="FootnoteText"/>
        <w:rPr>
          <w:rFonts w:ascii="Times New Roman" w:hAnsi="Times New Roman" w:cs="Times New Roman"/>
        </w:rPr>
      </w:pPr>
      <w:r w:rsidRPr="00795F0E">
        <w:rPr>
          <w:rStyle w:val="FootnoteReference"/>
          <w:rFonts w:ascii="Times New Roman" w:hAnsi="Times New Roman" w:cs="Times New Roman"/>
        </w:rPr>
        <w:footnoteRef/>
      </w:r>
      <w:r w:rsidRPr="00795F0E">
        <w:rPr>
          <w:rFonts w:ascii="Times New Roman" w:hAnsi="Times New Roman" w:cs="Times New Roman"/>
        </w:rPr>
        <w:t xml:space="preserve"> </w:t>
      </w:r>
      <w:r w:rsidRPr="00795F0E">
        <w:rPr>
          <w:rFonts w:ascii="Times New Roman" w:hAnsi="Times New Roman" w:cs="Times New Roman"/>
          <w:color w:val="202124"/>
          <w:shd w:val="clear" w:color="auto" w:fill="FFFFFF"/>
        </w:rPr>
        <w:t>A large source of uncertainty is the multiple for homicide which has a high cost.  No survey reported a multiple different than 1 for homicides, perhaps because there is no statute of limitations for homicide in the US inhibiting revelation of additional homicides in the data set</w:t>
      </w:r>
      <w:r>
        <w:rPr>
          <w:rFonts w:ascii="Times New Roman" w:hAnsi="Times New Roman" w:cs="Times New Roman"/>
          <w:color w:val="202124"/>
          <w:shd w:val="clear" w:color="auto" w:fill="FFFFFF"/>
        </w:rPr>
        <w:t xml:space="preserve"> based on prisoner responses</w:t>
      </w:r>
      <w:r w:rsidRPr="00795F0E">
        <w:rPr>
          <w:rFonts w:ascii="Times New Roman" w:hAnsi="Times New Roman" w:cs="Times New Roman"/>
          <w:color w:val="202124"/>
          <w:shd w:val="clear" w:color="auto" w:fill="FFFFFF"/>
        </w:rPr>
        <w:t xml:space="preserve">.  </w:t>
      </w:r>
    </w:p>
  </w:footnote>
  <w:footnote w:id="9">
    <w:p w14:paraId="15597031" w14:textId="77777777" w:rsidR="008D5139" w:rsidRDefault="008D5139" w:rsidP="008D5139">
      <w:pPr>
        <w:pStyle w:val="FootnoteText"/>
      </w:pPr>
      <w:r w:rsidRPr="00795F0E">
        <w:rPr>
          <w:rStyle w:val="FootnoteReference"/>
          <w:rFonts w:ascii="Times New Roman" w:hAnsi="Times New Roman" w:cs="Times New Roman"/>
        </w:rPr>
        <w:footnoteRef/>
      </w:r>
      <w:r w:rsidRPr="00795F0E">
        <w:rPr>
          <w:rFonts w:ascii="Times New Roman" w:hAnsi="Times New Roman" w:cs="Times New Roman"/>
        </w:rPr>
        <w:t xml:space="preserve"> The category “immigration” crime uses data internal to this analysis.</w:t>
      </w:r>
    </w:p>
  </w:footnote>
  <w:footnote w:id="10">
    <w:p w14:paraId="2331D760" w14:textId="17C96CF4" w:rsidR="008D5139" w:rsidRPr="000D006C" w:rsidRDefault="008D5139" w:rsidP="008D5139">
      <w:pPr>
        <w:pStyle w:val="FootnoteText"/>
        <w:rPr>
          <w:rFonts w:ascii="Times New Roman" w:hAnsi="Times New Roman" w:cs="Times New Roman"/>
        </w:rPr>
      </w:pPr>
      <w:r w:rsidRPr="000D006C">
        <w:rPr>
          <w:rStyle w:val="FootnoteReference"/>
          <w:rFonts w:ascii="Times New Roman" w:hAnsi="Times New Roman" w:cs="Times New Roman"/>
        </w:rPr>
        <w:footnoteRef/>
      </w:r>
      <w:r w:rsidRPr="000D006C">
        <w:rPr>
          <w:rFonts w:ascii="Times New Roman" w:hAnsi="Times New Roman" w:cs="Times New Roman"/>
        </w:rPr>
        <w:t xml:space="preserve"> CBP reports the first year annual recidivism rate by the type of consequence, noting that they target subjects with more than 6 apprehensions.  They identify some weaknesses in their metrics resulting from a focus on an annual basis (CBP, 2019). This issue of repeat attempts is at the core of some evaluation differences between CBP and the Institute of Defense Analysis (CBP, 2019).</w:t>
      </w:r>
    </w:p>
  </w:footnote>
  <w:footnote w:id="11">
    <w:p w14:paraId="55421F9E" w14:textId="77777777" w:rsidR="008D5139" w:rsidRDefault="008D5139" w:rsidP="008D5139">
      <w:pPr>
        <w:pStyle w:val="FootnoteText"/>
      </w:pPr>
      <w:r>
        <w:rPr>
          <w:rStyle w:val="FootnoteReference"/>
        </w:rPr>
        <w:footnoteRef/>
      </w:r>
      <w:r>
        <w:t xml:space="preserve"> </w:t>
      </w:r>
      <w:r w:rsidRPr="00104D44">
        <w:rPr>
          <w:rFonts w:ascii="Times New Roman" w:hAnsi="Times New Roman" w:cs="Times New Roman"/>
        </w:rPr>
        <w:t xml:space="preserve">Dixon and Rimmer (2009) </w:t>
      </w:r>
      <w:r>
        <w:rPr>
          <w:rFonts w:ascii="Times New Roman" w:hAnsi="Times New Roman" w:cs="Times New Roman"/>
        </w:rPr>
        <w:t xml:space="preserve">use </w:t>
      </w:r>
      <w:r w:rsidRPr="00104D44">
        <w:rPr>
          <w:rFonts w:ascii="Times New Roman" w:hAnsi="Times New Roman" w:cs="Times New Roman"/>
        </w:rPr>
        <w:t>a CGE</w:t>
      </w:r>
      <w:r>
        <w:rPr>
          <w:rFonts w:ascii="Times New Roman" w:hAnsi="Times New Roman" w:cs="Times New Roman"/>
        </w:rPr>
        <w:t xml:space="preserve"> analysis to investigate both issues considered here as well as additional elements such as occupational mix, household capital and the structure of prices</w:t>
      </w:r>
      <w:r w:rsidRPr="00104D44">
        <w:rPr>
          <w:rFonts w:ascii="Times New Roman" w:hAnsi="Times New Roman" w:cs="Times New Roman"/>
        </w:rPr>
        <w:t>.</w:t>
      </w:r>
      <w:r>
        <w:rPr>
          <w:rFonts w:ascii="Times New Roman" w:hAnsi="Times New Roman" w:cs="Times New Roman"/>
        </w:rPr>
        <w:t xml:space="preserve">  </w:t>
      </w:r>
    </w:p>
  </w:footnote>
  <w:footnote w:id="12">
    <w:p w14:paraId="48434009" w14:textId="72963251" w:rsidR="008D5139" w:rsidRPr="005370C8" w:rsidRDefault="008D5139" w:rsidP="005370C8">
      <w:pPr>
        <w:rPr>
          <w:rFonts w:ascii="Times New Roman" w:hAnsi="Times New Roman" w:cs="Times New Roman"/>
        </w:rPr>
      </w:pPr>
      <w:r>
        <w:rPr>
          <w:rStyle w:val="FootnoteReference"/>
        </w:rPr>
        <w:footnoteRef/>
      </w:r>
      <w:r>
        <w:t xml:space="preserve"> </w:t>
      </w:r>
      <w:r w:rsidRPr="0092678A">
        <w:rPr>
          <w:rFonts w:ascii="Times New Roman" w:hAnsi="Times New Roman" w:cs="Times New Roman"/>
          <w:sz w:val="20"/>
          <w:szCs w:val="20"/>
        </w:rPr>
        <w:t>Numerous other details exist in the analysis that can be found in the Technical Appendix and available from the author.</w:t>
      </w:r>
    </w:p>
  </w:footnote>
  <w:footnote w:id="13">
    <w:p w14:paraId="54267B43" w14:textId="55F1DB54" w:rsidR="005370C8" w:rsidRPr="005370C8" w:rsidRDefault="005370C8">
      <w:pPr>
        <w:pStyle w:val="FootnoteText"/>
        <w:rPr>
          <w:rFonts w:ascii="Times New Roman" w:hAnsi="Times New Roman" w:cs="Times New Roman"/>
        </w:rPr>
      </w:pPr>
      <w:r>
        <w:rPr>
          <w:rStyle w:val="FootnoteReference"/>
        </w:rPr>
        <w:footnoteRef/>
      </w:r>
      <w:r>
        <w:t xml:space="preserve"> Although values are presented “to the dollar” there is significant imprecision that is investigated in sensitivity and uncertainty analysis in later sections.</w:t>
      </w:r>
    </w:p>
  </w:footnote>
  <w:footnote w:id="14">
    <w:p w14:paraId="56FC7BA6" w14:textId="0D06DD0D" w:rsidR="008D5139" w:rsidRPr="008A5730" w:rsidRDefault="008D5139" w:rsidP="008D5139">
      <w:pPr>
        <w:pStyle w:val="FootnoteText"/>
        <w:rPr>
          <w:rFonts w:ascii="Times New Roman" w:hAnsi="Times New Roman" w:cs="Times New Roman"/>
        </w:rPr>
      </w:pPr>
      <w:r w:rsidRPr="008A5730">
        <w:rPr>
          <w:rStyle w:val="FootnoteReference"/>
          <w:rFonts w:ascii="Times New Roman" w:hAnsi="Times New Roman" w:cs="Times New Roman"/>
        </w:rPr>
        <w:footnoteRef/>
      </w:r>
      <w:r w:rsidRPr="008A5730">
        <w:rPr>
          <w:rFonts w:ascii="Times New Roman" w:hAnsi="Times New Roman" w:cs="Times New Roman"/>
        </w:rPr>
        <w:t xml:space="preserve"> The details of each category are clearer in the benefit-cost presentation format to follow.</w:t>
      </w:r>
    </w:p>
  </w:footnote>
  <w:footnote w:id="15">
    <w:p w14:paraId="241573B4" w14:textId="1E0B39F7" w:rsidR="00377B1B" w:rsidRPr="00377B1B" w:rsidRDefault="00377B1B">
      <w:pPr>
        <w:pStyle w:val="FootnoteText"/>
        <w:rPr>
          <w:rFonts w:ascii="Times New Roman" w:hAnsi="Times New Roman" w:cs="Times New Roman"/>
        </w:rPr>
      </w:pPr>
      <w:r w:rsidRPr="00377B1B">
        <w:rPr>
          <w:rStyle w:val="FootnoteReference"/>
          <w:rFonts w:ascii="Times New Roman" w:hAnsi="Times New Roman" w:cs="Times New Roman"/>
        </w:rPr>
        <w:footnoteRef/>
      </w:r>
      <w:r w:rsidRPr="00377B1B">
        <w:rPr>
          <w:rFonts w:ascii="Times New Roman" w:hAnsi="Times New Roman" w:cs="Times New Roman"/>
        </w:rPr>
        <w:t xml:space="preserve"> Asylum seekers who get away appear in both tables</w:t>
      </w:r>
      <w:r>
        <w:rPr>
          <w:rFonts w:ascii="Times New Roman" w:hAnsi="Times New Roman" w:cs="Times New Roman"/>
        </w:rPr>
        <w:t>, see discussion of Table 5.</w:t>
      </w:r>
    </w:p>
  </w:footnote>
  <w:footnote w:id="16">
    <w:p w14:paraId="2F207C1A" w14:textId="1C2DA675" w:rsidR="008D5139" w:rsidRPr="0006442A" w:rsidRDefault="008D5139" w:rsidP="008D5139">
      <w:pPr>
        <w:pStyle w:val="FootnoteText"/>
        <w:rPr>
          <w:rFonts w:ascii="Times New Roman" w:hAnsi="Times New Roman" w:cs="Times New Roman"/>
        </w:rPr>
      </w:pPr>
      <w:r w:rsidRPr="0006442A">
        <w:rPr>
          <w:rStyle w:val="FootnoteReference"/>
          <w:rFonts w:ascii="Times New Roman" w:hAnsi="Times New Roman" w:cs="Times New Roman"/>
        </w:rPr>
        <w:footnoteRef/>
      </w:r>
      <w:r w:rsidRPr="0006442A">
        <w:rPr>
          <w:rFonts w:ascii="Times New Roman" w:hAnsi="Times New Roman" w:cs="Times New Roman"/>
        </w:rPr>
        <w:t xml:space="preserve"> There are about </w:t>
      </w:r>
      <w:r w:rsidR="00367A9D">
        <w:rPr>
          <w:rFonts w:ascii="Times New Roman" w:hAnsi="Times New Roman" w:cs="Times New Roman"/>
        </w:rPr>
        <w:t>225</w:t>
      </w:r>
      <w:r w:rsidRPr="0006442A">
        <w:rPr>
          <w:rFonts w:ascii="Times New Roman" w:hAnsi="Times New Roman" w:cs="Times New Roman"/>
        </w:rPr>
        <w:t>,000 cases in the residual cost analysis.</w:t>
      </w:r>
    </w:p>
  </w:footnote>
  <w:footnote w:id="17">
    <w:p w14:paraId="1FC600BB" w14:textId="17A507E3" w:rsidR="009E0859" w:rsidRDefault="009E0859">
      <w:pPr>
        <w:pStyle w:val="FootnoteText"/>
      </w:pPr>
      <w:r>
        <w:rPr>
          <w:rStyle w:val="FootnoteReference"/>
        </w:rPr>
        <w:footnoteRef/>
      </w:r>
      <w:r>
        <w:t xml:space="preserve"> </w:t>
      </w:r>
      <w:r w:rsidRPr="009E0859">
        <w:rPr>
          <w:rFonts w:ascii="Times New Roman" w:hAnsi="Times New Roman" w:cs="Times New Roman"/>
        </w:rPr>
        <w:t>Calculations</w:t>
      </w:r>
      <w:r>
        <w:rPr>
          <w:rFonts w:ascii="Times New Roman" w:hAnsi="Times New Roman" w:cs="Times New Roman"/>
        </w:rPr>
        <w:t xml:space="preserve"> </w:t>
      </w:r>
      <w:r w:rsidR="00442052">
        <w:rPr>
          <w:rFonts w:ascii="Times New Roman" w:hAnsi="Times New Roman" w:cs="Times New Roman"/>
        </w:rPr>
        <w:t xml:space="preserve">are done </w:t>
      </w:r>
      <w:r w:rsidR="000F0693">
        <w:rPr>
          <w:rFonts w:ascii="Times New Roman" w:hAnsi="Times New Roman" w:cs="Times New Roman"/>
        </w:rPr>
        <w:t>using</w:t>
      </w:r>
      <w:r>
        <w:rPr>
          <w:rFonts w:ascii="Times New Roman" w:hAnsi="Times New Roman" w:cs="Times New Roman"/>
        </w:rPr>
        <w:t xml:space="preserve"> one variable sensitivity analysis </w:t>
      </w:r>
      <w:r w:rsidR="000F0693">
        <w:rPr>
          <w:rFonts w:ascii="Times New Roman" w:hAnsi="Times New Roman" w:cs="Times New Roman"/>
        </w:rPr>
        <w:t>in</w:t>
      </w:r>
      <w:r>
        <w:rPr>
          <w:rFonts w:ascii="Times New Roman" w:hAnsi="Times New Roman" w:cs="Times New Roman"/>
        </w:rPr>
        <w:t xml:space="preserve"> Treeplan</w:t>
      </w:r>
      <w:r w:rsidR="000F0693">
        <w:rPr>
          <w:rFonts w:ascii="Times New Roman" w:hAnsi="Times New Roman" w:cs="Times New Roman"/>
        </w:rPr>
        <w:t>/</w:t>
      </w:r>
      <w:r>
        <w:rPr>
          <w:rFonts w:ascii="Times New Roman" w:hAnsi="Times New Roman" w:cs="Times New Roman"/>
        </w:rPr>
        <w:t>Sensit</w:t>
      </w:r>
      <w:r w:rsidR="000F0693">
        <w:rPr>
          <w:rFonts w:ascii="Times New Roman" w:hAnsi="Times New Roman" w:cs="Times New Roman"/>
        </w:rPr>
        <w:t xml:space="preserve"> .</w:t>
      </w:r>
    </w:p>
  </w:footnote>
  <w:footnote w:id="18">
    <w:p w14:paraId="0C45C166" w14:textId="77777777" w:rsidR="008D5139" w:rsidRPr="00A37FCA" w:rsidRDefault="008D5139" w:rsidP="008D5139">
      <w:pPr>
        <w:pStyle w:val="FootnoteText"/>
        <w:rPr>
          <w:rFonts w:ascii="Times New Roman" w:hAnsi="Times New Roman" w:cs="Times New Roman"/>
        </w:rPr>
      </w:pPr>
      <w:r w:rsidRPr="00A37FCA">
        <w:rPr>
          <w:rStyle w:val="FootnoteReference"/>
          <w:rFonts w:ascii="Times New Roman" w:hAnsi="Times New Roman" w:cs="Times New Roman"/>
        </w:rPr>
        <w:footnoteRef/>
      </w:r>
      <w:r w:rsidRPr="00A37FCA">
        <w:rPr>
          <w:rFonts w:ascii="Times New Roman" w:hAnsi="Times New Roman" w:cs="Times New Roman"/>
        </w:rPr>
        <w:t xml:space="preserve"> See Technical Appendix on Security for more detail.</w:t>
      </w:r>
    </w:p>
  </w:footnote>
  <w:footnote w:id="19">
    <w:p w14:paraId="6875A8FC" w14:textId="4D3915B2" w:rsidR="00CF10EA" w:rsidRPr="00CF10EA" w:rsidRDefault="00CF10E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w:t>
      </w:r>
      <w:r w:rsidR="00131F66">
        <w:rPr>
          <w:rFonts w:ascii="Times New Roman" w:hAnsi="Times New Roman" w:cs="Times New Roman"/>
        </w:rPr>
        <w:t>value</w:t>
      </w:r>
      <w:r>
        <w:rPr>
          <w:rFonts w:ascii="Times New Roman" w:hAnsi="Times New Roman" w:cs="Times New Roman"/>
        </w:rPr>
        <w:t xml:space="preserve"> is the PV of 20 years of the annual benefits.  An alternative assumption truncates cohort benefits beyond the </w:t>
      </w:r>
      <w:r w:rsidR="00131F66">
        <w:rPr>
          <w:rFonts w:ascii="Times New Roman" w:hAnsi="Times New Roman" w:cs="Times New Roman"/>
        </w:rPr>
        <w:t>20-year</w:t>
      </w:r>
      <w:r>
        <w:rPr>
          <w:rFonts w:ascii="Times New Roman" w:hAnsi="Times New Roman" w:cs="Times New Roman"/>
        </w:rPr>
        <w:t xml:space="preserve"> </w:t>
      </w:r>
      <w:r w:rsidR="00131F66">
        <w:rPr>
          <w:rFonts w:ascii="Times New Roman" w:hAnsi="Times New Roman" w:cs="Times New Roman"/>
        </w:rPr>
        <w:t>lifecycle</w:t>
      </w:r>
      <w:r>
        <w:rPr>
          <w:rFonts w:ascii="Times New Roman" w:hAnsi="Times New Roman" w:cs="Times New Roman"/>
        </w:rPr>
        <w:t>.</w:t>
      </w:r>
    </w:p>
  </w:footnote>
  <w:footnote w:id="20">
    <w:p w14:paraId="5C37CB6F" w14:textId="4462B1EB" w:rsidR="000B54DD" w:rsidRDefault="000B54DD">
      <w:pPr>
        <w:pStyle w:val="FootnoteText"/>
      </w:pPr>
      <w:r>
        <w:rPr>
          <w:rStyle w:val="FootnoteReference"/>
        </w:rPr>
        <w:footnoteRef/>
      </w:r>
      <w:r>
        <w:t xml:space="preserve"> </w:t>
      </w:r>
      <w:r w:rsidR="00606418" w:rsidRPr="00606418">
        <w:rPr>
          <w:rFonts w:ascii="Times New Roman" w:hAnsi="Times New Roman" w:cs="Times New Roman"/>
        </w:rPr>
        <w:t>The PV criminal cost from Table 5 is annualized at 3 percent and the resulting value is used to adjust for a shorter criminal career in the interior</w:t>
      </w:r>
      <w:r w:rsidR="00606418">
        <w:rPr>
          <w:rFonts w:ascii="Times New Roman" w:hAnsi="Times New Roman" w:cs="Times New Roman"/>
        </w:rPr>
        <w:t>.</w:t>
      </w:r>
      <w:r w:rsidR="00606418" w:rsidRPr="00606418">
        <w:rPr>
          <w:rFonts w:ascii="Times New Roman" w:hAnsi="Times New Roman" w:cs="Times New Roman"/>
        </w:rPr>
        <w:t xml:space="preserve"> </w:t>
      </w:r>
      <w:r w:rsidRPr="00606418">
        <w:rPr>
          <w:rFonts w:ascii="Times New Roman" w:hAnsi="Times New Roman" w:cs="Times New Roman"/>
        </w:rPr>
        <w:t>This is approximate as about 10 percent of the full cost is front loaded in the first year with assumed criminal activity at the border.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04C5" w14:textId="37CE111B" w:rsidR="00A14403" w:rsidRDefault="00A1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1243" w14:textId="77730C33" w:rsidR="00396247" w:rsidRDefault="009F6D95" w:rsidP="0084183F">
    <w:pPr>
      <w:pStyle w:val="Heading2"/>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8DDE" w14:textId="75FE4C9D" w:rsidR="00A14403" w:rsidRDefault="00A1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D"/>
    <w:multiLevelType w:val="hybridMultilevel"/>
    <w:tmpl w:val="DC3EE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0600D"/>
    <w:multiLevelType w:val="hybridMultilevel"/>
    <w:tmpl w:val="96F0ECE2"/>
    <w:lvl w:ilvl="0" w:tplc="CAF6C6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88D46D9"/>
    <w:multiLevelType w:val="hybridMultilevel"/>
    <w:tmpl w:val="763C75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400107"/>
    <w:multiLevelType w:val="hybridMultilevel"/>
    <w:tmpl w:val="26F88130"/>
    <w:lvl w:ilvl="0" w:tplc="B7BC5F48">
      <w:start w:val="1"/>
      <w:numFmt w:val="bullet"/>
      <w:lvlText w:val="•"/>
      <w:lvlJc w:val="left"/>
      <w:pPr>
        <w:tabs>
          <w:tab w:val="num" w:pos="720"/>
        </w:tabs>
        <w:ind w:left="720" w:hanging="360"/>
      </w:pPr>
      <w:rPr>
        <w:rFonts w:ascii="Arial" w:hAnsi="Arial" w:hint="default"/>
      </w:rPr>
    </w:lvl>
    <w:lvl w:ilvl="1" w:tplc="DF8699BC">
      <w:numFmt w:val="bullet"/>
      <w:lvlText w:val="–"/>
      <w:lvlJc w:val="left"/>
      <w:pPr>
        <w:tabs>
          <w:tab w:val="num" w:pos="1440"/>
        </w:tabs>
        <w:ind w:left="1440" w:hanging="360"/>
      </w:pPr>
      <w:rPr>
        <w:rFonts w:ascii="Arial" w:hAnsi="Arial" w:hint="default"/>
      </w:rPr>
    </w:lvl>
    <w:lvl w:ilvl="2" w:tplc="4F96808E" w:tentative="1">
      <w:start w:val="1"/>
      <w:numFmt w:val="bullet"/>
      <w:lvlText w:val="•"/>
      <w:lvlJc w:val="left"/>
      <w:pPr>
        <w:tabs>
          <w:tab w:val="num" w:pos="2160"/>
        </w:tabs>
        <w:ind w:left="2160" w:hanging="360"/>
      </w:pPr>
      <w:rPr>
        <w:rFonts w:ascii="Arial" w:hAnsi="Arial" w:hint="default"/>
      </w:rPr>
    </w:lvl>
    <w:lvl w:ilvl="3" w:tplc="44BE7FE0" w:tentative="1">
      <w:start w:val="1"/>
      <w:numFmt w:val="bullet"/>
      <w:lvlText w:val="•"/>
      <w:lvlJc w:val="left"/>
      <w:pPr>
        <w:tabs>
          <w:tab w:val="num" w:pos="2880"/>
        </w:tabs>
        <w:ind w:left="2880" w:hanging="360"/>
      </w:pPr>
      <w:rPr>
        <w:rFonts w:ascii="Arial" w:hAnsi="Arial" w:hint="default"/>
      </w:rPr>
    </w:lvl>
    <w:lvl w:ilvl="4" w:tplc="26FAC4E0" w:tentative="1">
      <w:start w:val="1"/>
      <w:numFmt w:val="bullet"/>
      <w:lvlText w:val="•"/>
      <w:lvlJc w:val="left"/>
      <w:pPr>
        <w:tabs>
          <w:tab w:val="num" w:pos="3600"/>
        </w:tabs>
        <w:ind w:left="3600" w:hanging="360"/>
      </w:pPr>
      <w:rPr>
        <w:rFonts w:ascii="Arial" w:hAnsi="Arial" w:hint="default"/>
      </w:rPr>
    </w:lvl>
    <w:lvl w:ilvl="5" w:tplc="6262D804" w:tentative="1">
      <w:start w:val="1"/>
      <w:numFmt w:val="bullet"/>
      <w:lvlText w:val="•"/>
      <w:lvlJc w:val="left"/>
      <w:pPr>
        <w:tabs>
          <w:tab w:val="num" w:pos="4320"/>
        </w:tabs>
        <w:ind w:left="4320" w:hanging="360"/>
      </w:pPr>
      <w:rPr>
        <w:rFonts w:ascii="Arial" w:hAnsi="Arial" w:hint="default"/>
      </w:rPr>
    </w:lvl>
    <w:lvl w:ilvl="6" w:tplc="99526168" w:tentative="1">
      <w:start w:val="1"/>
      <w:numFmt w:val="bullet"/>
      <w:lvlText w:val="•"/>
      <w:lvlJc w:val="left"/>
      <w:pPr>
        <w:tabs>
          <w:tab w:val="num" w:pos="5040"/>
        </w:tabs>
        <w:ind w:left="5040" w:hanging="360"/>
      </w:pPr>
      <w:rPr>
        <w:rFonts w:ascii="Arial" w:hAnsi="Arial" w:hint="default"/>
      </w:rPr>
    </w:lvl>
    <w:lvl w:ilvl="7" w:tplc="38D23734" w:tentative="1">
      <w:start w:val="1"/>
      <w:numFmt w:val="bullet"/>
      <w:lvlText w:val="•"/>
      <w:lvlJc w:val="left"/>
      <w:pPr>
        <w:tabs>
          <w:tab w:val="num" w:pos="5760"/>
        </w:tabs>
        <w:ind w:left="5760" w:hanging="360"/>
      </w:pPr>
      <w:rPr>
        <w:rFonts w:ascii="Arial" w:hAnsi="Arial" w:hint="default"/>
      </w:rPr>
    </w:lvl>
    <w:lvl w:ilvl="8" w:tplc="43860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BE6F8A"/>
    <w:multiLevelType w:val="hybridMultilevel"/>
    <w:tmpl w:val="5F0A83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6D21"/>
    <w:multiLevelType w:val="hybridMultilevel"/>
    <w:tmpl w:val="0086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53CE8"/>
    <w:multiLevelType w:val="hybridMultilevel"/>
    <w:tmpl w:val="95B0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32CF0"/>
    <w:multiLevelType w:val="hybridMultilevel"/>
    <w:tmpl w:val="EF8A4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E2067"/>
    <w:multiLevelType w:val="multilevel"/>
    <w:tmpl w:val="6634386A"/>
    <w:lvl w:ilvl="0">
      <w:start w:val="1"/>
      <w:numFmt w:val="decimal"/>
      <w:pStyle w:val="Heading1"/>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9" w15:restartNumberingAfterBreak="0">
    <w:nsid w:val="11E37132"/>
    <w:multiLevelType w:val="hybridMultilevel"/>
    <w:tmpl w:val="5FE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12BB7"/>
    <w:multiLevelType w:val="hybridMultilevel"/>
    <w:tmpl w:val="E990D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D61C2"/>
    <w:multiLevelType w:val="hybridMultilevel"/>
    <w:tmpl w:val="6748A4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2365A"/>
    <w:multiLevelType w:val="hybridMultilevel"/>
    <w:tmpl w:val="9796FB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76CB2"/>
    <w:multiLevelType w:val="hybridMultilevel"/>
    <w:tmpl w:val="96F0ECE2"/>
    <w:lvl w:ilvl="0" w:tplc="CAF6C6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24A9302A"/>
    <w:multiLevelType w:val="hybridMultilevel"/>
    <w:tmpl w:val="DE0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30858"/>
    <w:multiLevelType w:val="hybridMultilevel"/>
    <w:tmpl w:val="701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7597A"/>
    <w:multiLevelType w:val="hybridMultilevel"/>
    <w:tmpl w:val="5608CEC0"/>
    <w:lvl w:ilvl="0" w:tplc="7EE0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70A52"/>
    <w:multiLevelType w:val="hybridMultilevel"/>
    <w:tmpl w:val="708A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96E58"/>
    <w:multiLevelType w:val="hybridMultilevel"/>
    <w:tmpl w:val="096815BE"/>
    <w:lvl w:ilvl="0" w:tplc="5E28B8D8">
      <w:start w:val="1"/>
      <w:numFmt w:val="bullet"/>
      <w:lvlText w:val="•"/>
      <w:lvlJc w:val="left"/>
      <w:pPr>
        <w:tabs>
          <w:tab w:val="num" w:pos="720"/>
        </w:tabs>
        <w:ind w:left="720" w:hanging="360"/>
      </w:pPr>
      <w:rPr>
        <w:rFonts w:ascii="Arial" w:hAnsi="Arial" w:hint="default"/>
      </w:rPr>
    </w:lvl>
    <w:lvl w:ilvl="1" w:tplc="A4A49CE2">
      <w:numFmt w:val="bullet"/>
      <w:lvlText w:val="–"/>
      <w:lvlJc w:val="left"/>
      <w:pPr>
        <w:tabs>
          <w:tab w:val="num" w:pos="1440"/>
        </w:tabs>
        <w:ind w:left="1440" w:hanging="360"/>
      </w:pPr>
      <w:rPr>
        <w:rFonts w:ascii="Arial" w:hAnsi="Arial" w:hint="default"/>
      </w:rPr>
    </w:lvl>
    <w:lvl w:ilvl="2" w:tplc="3AC4D1C6">
      <w:start w:val="1"/>
      <w:numFmt w:val="bullet"/>
      <w:lvlText w:val="•"/>
      <w:lvlJc w:val="left"/>
      <w:pPr>
        <w:tabs>
          <w:tab w:val="num" w:pos="2160"/>
        </w:tabs>
        <w:ind w:left="2160" w:hanging="360"/>
      </w:pPr>
      <w:rPr>
        <w:rFonts w:ascii="Arial" w:hAnsi="Arial" w:hint="default"/>
      </w:rPr>
    </w:lvl>
    <w:lvl w:ilvl="3" w:tplc="119E2BB0" w:tentative="1">
      <w:start w:val="1"/>
      <w:numFmt w:val="bullet"/>
      <w:lvlText w:val="•"/>
      <w:lvlJc w:val="left"/>
      <w:pPr>
        <w:tabs>
          <w:tab w:val="num" w:pos="2880"/>
        </w:tabs>
        <w:ind w:left="2880" w:hanging="360"/>
      </w:pPr>
      <w:rPr>
        <w:rFonts w:ascii="Arial" w:hAnsi="Arial" w:hint="default"/>
      </w:rPr>
    </w:lvl>
    <w:lvl w:ilvl="4" w:tplc="6C20A9E2" w:tentative="1">
      <w:start w:val="1"/>
      <w:numFmt w:val="bullet"/>
      <w:lvlText w:val="•"/>
      <w:lvlJc w:val="left"/>
      <w:pPr>
        <w:tabs>
          <w:tab w:val="num" w:pos="3600"/>
        </w:tabs>
        <w:ind w:left="3600" w:hanging="360"/>
      </w:pPr>
      <w:rPr>
        <w:rFonts w:ascii="Arial" w:hAnsi="Arial" w:hint="default"/>
      </w:rPr>
    </w:lvl>
    <w:lvl w:ilvl="5" w:tplc="DDD6D768" w:tentative="1">
      <w:start w:val="1"/>
      <w:numFmt w:val="bullet"/>
      <w:lvlText w:val="•"/>
      <w:lvlJc w:val="left"/>
      <w:pPr>
        <w:tabs>
          <w:tab w:val="num" w:pos="4320"/>
        </w:tabs>
        <w:ind w:left="4320" w:hanging="360"/>
      </w:pPr>
      <w:rPr>
        <w:rFonts w:ascii="Arial" w:hAnsi="Arial" w:hint="default"/>
      </w:rPr>
    </w:lvl>
    <w:lvl w:ilvl="6" w:tplc="4ED00AF0" w:tentative="1">
      <w:start w:val="1"/>
      <w:numFmt w:val="bullet"/>
      <w:lvlText w:val="•"/>
      <w:lvlJc w:val="left"/>
      <w:pPr>
        <w:tabs>
          <w:tab w:val="num" w:pos="5040"/>
        </w:tabs>
        <w:ind w:left="5040" w:hanging="360"/>
      </w:pPr>
      <w:rPr>
        <w:rFonts w:ascii="Arial" w:hAnsi="Arial" w:hint="default"/>
      </w:rPr>
    </w:lvl>
    <w:lvl w:ilvl="7" w:tplc="E826AFFA" w:tentative="1">
      <w:start w:val="1"/>
      <w:numFmt w:val="bullet"/>
      <w:lvlText w:val="•"/>
      <w:lvlJc w:val="left"/>
      <w:pPr>
        <w:tabs>
          <w:tab w:val="num" w:pos="5760"/>
        </w:tabs>
        <w:ind w:left="5760" w:hanging="360"/>
      </w:pPr>
      <w:rPr>
        <w:rFonts w:ascii="Arial" w:hAnsi="Arial" w:hint="default"/>
      </w:rPr>
    </w:lvl>
    <w:lvl w:ilvl="8" w:tplc="9F062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68314C"/>
    <w:multiLevelType w:val="hybridMultilevel"/>
    <w:tmpl w:val="DD36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32B50"/>
    <w:multiLevelType w:val="hybridMultilevel"/>
    <w:tmpl w:val="B10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96526"/>
    <w:multiLevelType w:val="hybridMultilevel"/>
    <w:tmpl w:val="96F0ECE2"/>
    <w:lvl w:ilvl="0" w:tplc="CAF6C6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2B7A2882"/>
    <w:multiLevelType w:val="hybridMultilevel"/>
    <w:tmpl w:val="5FE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B1C09"/>
    <w:multiLevelType w:val="hybridMultilevel"/>
    <w:tmpl w:val="6B122CEC"/>
    <w:lvl w:ilvl="0" w:tplc="7512A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5D01E9"/>
    <w:multiLevelType w:val="hybridMultilevel"/>
    <w:tmpl w:val="5FE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C617F"/>
    <w:multiLevelType w:val="hybridMultilevel"/>
    <w:tmpl w:val="1BE6C88A"/>
    <w:lvl w:ilvl="0" w:tplc="0890E052">
      <w:start w:val="1"/>
      <w:numFmt w:val="bullet"/>
      <w:lvlText w:val="•"/>
      <w:lvlJc w:val="left"/>
      <w:pPr>
        <w:tabs>
          <w:tab w:val="num" w:pos="720"/>
        </w:tabs>
        <w:ind w:left="720" w:hanging="360"/>
      </w:pPr>
      <w:rPr>
        <w:rFonts w:ascii="Arial" w:hAnsi="Arial" w:hint="default"/>
      </w:rPr>
    </w:lvl>
    <w:lvl w:ilvl="1" w:tplc="59EAEC38">
      <w:numFmt w:val="bullet"/>
      <w:lvlText w:val="–"/>
      <w:lvlJc w:val="left"/>
      <w:pPr>
        <w:tabs>
          <w:tab w:val="num" w:pos="1440"/>
        </w:tabs>
        <w:ind w:left="1440" w:hanging="360"/>
      </w:pPr>
      <w:rPr>
        <w:rFonts w:ascii="Arial" w:hAnsi="Arial" w:hint="default"/>
      </w:rPr>
    </w:lvl>
    <w:lvl w:ilvl="2" w:tplc="DBF0094E" w:tentative="1">
      <w:start w:val="1"/>
      <w:numFmt w:val="bullet"/>
      <w:lvlText w:val="•"/>
      <w:lvlJc w:val="left"/>
      <w:pPr>
        <w:tabs>
          <w:tab w:val="num" w:pos="2160"/>
        </w:tabs>
        <w:ind w:left="2160" w:hanging="360"/>
      </w:pPr>
      <w:rPr>
        <w:rFonts w:ascii="Arial" w:hAnsi="Arial" w:hint="default"/>
      </w:rPr>
    </w:lvl>
    <w:lvl w:ilvl="3" w:tplc="38BC0372" w:tentative="1">
      <w:start w:val="1"/>
      <w:numFmt w:val="bullet"/>
      <w:lvlText w:val="•"/>
      <w:lvlJc w:val="left"/>
      <w:pPr>
        <w:tabs>
          <w:tab w:val="num" w:pos="2880"/>
        </w:tabs>
        <w:ind w:left="2880" w:hanging="360"/>
      </w:pPr>
      <w:rPr>
        <w:rFonts w:ascii="Arial" w:hAnsi="Arial" w:hint="default"/>
      </w:rPr>
    </w:lvl>
    <w:lvl w:ilvl="4" w:tplc="7B7EF66A" w:tentative="1">
      <w:start w:val="1"/>
      <w:numFmt w:val="bullet"/>
      <w:lvlText w:val="•"/>
      <w:lvlJc w:val="left"/>
      <w:pPr>
        <w:tabs>
          <w:tab w:val="num" w:pos="3600"/>
        </w:tabs>
        <w:ind w:left="3600" w:hanging="360"/>
      </w:pPr>
      <w:rPr>
        <w:rFonts w:ascii="Arial" w:hAnsi="Arial" w:hint="default"/>
      </w:rPr>
    </w:lvl>
    <w:lvl w:ilvl="5" w:tplc="D94A7C3A" w:tentative="1">
      <w:start w:val="1"/>
      <w:numFmt w:val="bullet"/>
      <w:lvlText w:val="•"/>
      <w:lvlJc w:val="left"/>
      <w:pPr>
        <w:tabs>
          <w:tab w:val="num" w:pos="4320"/>
        </w:tabs>
        <w:ind w:left="4320" w:hanging="360"/>
      </w:pPr>
      <w:rPr>
        <w:rFonts w:ascii="Arial" w:hAnsi="Arial" w:hint="default"/>
      </w:rPr>
    </w:lvl>
    <w:lvl w:ilvl="6" w:tplc="25EC2B2A" w:tentative="1">
      <w:start w:val="1"/>
      <w:numFmt w:val="bullet"/>
      <w:lvlText w:val="•"/>
      <w:lvlJc w:val="left"/>
      <w:pPr>
        <w:tabs>
          <w:tab w:val="num" w:pos="5040"/>
        </w:tabs>
        <w:ind w:left="5040" w:hanging="360"/>
      </w:pPr>
      <w:rPr>
        <w:rFonts w:ascii="Arial" w:hAnsi="Arial" w:hint="default"/>
      </w:rPr>
    </w:lvl>
    <w:lvl w:ilvl="7" w:tplc="2E8E6846" w:tentative="1">
      <w:start w:val="1"/>
      <w:numFmt w:val="bullet"/>
      <w:lvlText w:val="•"/>
      <w:lvlJc w:val="left"/>
      <w:pPr>
        <w:tabs>
          <w:tab w:val="num" w:pos="5760"/>
        </w:tabs>
        <w:ind w:left="5760" w:hanging="360"/>
      </w:pPr>
      <w:rPr>
        <w:rFonts w:ascii="Arial" w:hAnsi="Arial" w:hint="default"/>
      </w:rPr>
    </w:lvl>
    <w:lvl w:ilvl="8" w:tplc="A5727F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146161"/>
    <w:multiLevelType w:val="hybridMultilevel"/>
    <w:tmpl w:val="120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672F4"/>
    <w:multiLevelType w:val="hybridMultilevel"/>
    <w:tmpl w:val="96F0ECE2"/>
    <w:lvl w:ilvl="0" w:tplc="CAF6C6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72F24C9"/>
    <w:multiLevelType w:val="hybridMultilevel"/>
    <w:tmpl w:val="CA42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E7B88"/>
    <w:multiLevelType w:val="hybridMultilevel"/>
    <w:tmpl w:val="8FC01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A3CE9"/>
    <w:multiLevelType w:val="hybridMultilevel"/>
    <w:tmpl w:val="FC42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840158"/>
    <w:multiLevelType w:val="hybridMultilevel"/>
    <w:tmpl w:val="AAF8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F7496"/>
    <w:multiLevelType w:val="multilevel"/>
    <w:tmpl w:val="DF32FE42"/>
    <w:lvl w:ilvl="0">
      <w:start w:val="1"/>
      <w:numFmt w:val="decimal"/>
      <w:lvlText w:val="%1."/>
      <w:lvlJc w:val="left"/>
      <w:pPr>
        <w:ind w:left="360" w:hanging="360"/>
      </w:pPr>
      <w:rPr>
        <w:rFonts w:hint="default"/>
      </w:rPr>
    </w:lvl>
    <w:lvl w:ilvl="1">
      <w:start w:val="1"/>
      <w:numFmt w:val="decimal"/>
      <w:pStyle w:val="Heading2"/>
      <w:lvlText w:val="%1.%2."/>
      <w:lvlJc w:val="left"/>
      <w:pPr>
        <w:ind w:left="79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8C1D52"/>
    <w:multiLevelType w:val="hybridMultilevel"/>
    <w:tmpl w:val="18A609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D444453"/>
    <w:multiLevelType w:val="hybridMultilevel"/>
    <w:tmpl w:val="ED48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22C38"/>
    <w:multiLevelType w:val="hybridMultilevel"/>
    <w:tmpl w:val="7DEEA24E"/>
    <w:lvl w:ilvl="0" w:tplc="83200A70">
      <w:start w:val="1"/>
      <w:numFmt w:val="bullet"/>
      <w:lvlText w:val=""/>
      <w:lvlJc w:val="left"/>
      <w:pPr>
        <w:ind w:left="1440" w:hanging="360"/>
      </w:pPr>
      <w:rPr>
        <w:rFonts w:ascii="Symbol" w:hAnsi="Symbol" w:hint="default"/>
      </w:rPr>
    </w:lvl>
    <w:lvl w:ilvl="1" w:tplc="83200A70">
      <w:start w:val="1"/>
      <w:numFmt w:val="bullet"/>
      <w:lvlText w:val=""/>
      <w:lvlJc w:val="left"/>
      <w:pPr>
        <w:ind w:left="1440" w:hanging="360"/>
      </w:pPr>
      <w:rPr>
        <w:rFonts w:ascii="Symbol" w:hAnsi="Symbol" w:hint="default"/>
      </w:rPr>
    </w:lvl>
    <w:lvl w:ilvl="2" w:tplc="83200A7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0F73"/>
    <w:multiLevelType w:val="hybridMultilevel"/>
    <w:tmpl w:val="F884A334"/>
    <w:lvl w:ilvl="0" w:tplc="07F6D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E7A59"/>
    <w:multiLevelType w:val="hybridMultilevel"/>
    <w:tmpl w:val="5FE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91258"/>
    <w:multiLevelType w:val="hybridMultilevel"/>
    <w:tmpl w:val="9088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01433"/>
    <w:multiLevelType w:val="hybridMultilevel"/>
    <w:tmpl w:val="1618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F32FC"/>
    <w:multiLevelType w:val="hybridMultilevel"/>
    <w:tmpl w:val="5FE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54CBF"/>
    <w:multiLevelType w:val="hybridMultilevel"/>
    <w:tmpl w:val="121C1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AE63F4"/>
    <w:multiLevelType w:val="hybridMultilevel"/>
    <w:tmpl w:val="EA5EAEF8"/>
    <w:lvl w:ilvl="0" w:tplc="66A2CB0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4B4DE8"/>
    <w:multiLevelType w:val="hybridMultilevel"/>
    <w:tmpl w:val="5922D490"/>
    <w:lvl w:ilvl="0" w:tplc="09D4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0638FC"/>
    <w:multiLevelType w:val="hybridMultilevel"/>
    <w:tmpl w:val="74D80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F12E63"/>
    <w:multiLevelType w:val="hybridMultilevel"/>
    <w:tmpl w:val="551EB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454838"/>
    <w:multiLevelType w:val="hybridMultilevel"/>
    <w:tmpl w:val="7B700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E5411A"/>
    <w:multiLevelType w:val="hybridMultilevel"/>
    <w:tmpl w:val="AC5A6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063D64"/>
    <w:multiLevelType w:val="hybridMultilevel"/>
    <w:tmpl w:val="96D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372CA"/>
    <w:multiLevelType w:val="hybridMultilevel"/>
    <w:tmpl w:val="74D80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0759324">
    <w:abstractNumId w:val="18"/>
  </w:num>
  <w:num w:numId="2" w16cid:durableId="662241513">
    <w:abstractNumId w:val="3"/>
  </w:num>
  <w:num w:numId="3" w16cid:durableId="1420324131">
    <w:abstractNumId w:val="25"/>
  </w:num>
  <w:num w:numId="4" w16cid:durableId="96872504">
    <w:abstractNumId w:val="24"/>
  </w:num>
  <w:num w:numId="5" w16cid:durableId="1445688337">
    <w:abstractNumId w:val="40"/>
  </w:num>
  <w:num w:numId="6" w16cid:durableId="1037851983">
    <w:abstractNumId w:val="22"/>
  </w:num>
  <w:num w:numId="7" w16cid:durableId="50156388">
    <w:abstractNumId w:val="31"/>
  </w:num>
  <w:num w:numId="8" w16cid:durableId="404491566">
    <w:abstractNumId w:val="37"/>
  </w:num>
  <w:num w:numId="9" w16cid:durableId="1823542468">
    <w:abstractNumId w:val="9"/>
  </w:num>
  <w:num w:numId="10" w16cid:durableId="862133911">
    <w:abstractNumId w:val="43"/>
  </w:num>
  <w:num w:numId="11" w16cid:durableId="1972782990">
    <w:abstractNumId w:val="26"/>
  </w:num>
  <w:num w:numId="12" w16cid:durableId="812210675">
    <w:abstractNumId w:val="17"/>
  </w:num>
  <w:num w:numId="13" w16cid:durableId="1461606535">
    <w:abstractNumId w:val="45"/>
  </w:num>
  <w:num w:numId="14" w16cid:durableId="529614229">
    <w:abstractNumId w:val="19"/>
  </w:num>
  <w:num w:numId="15" w16cid:durableId="586428156">
    <w:abstractNumId w:val="38"/>
  </w:num>
  <w:num w:numId="16" w16cid:durableId="144592917">
    <w:abstractNumId w:val="5"/>
  </w:num>
  <w:num w:numId="17" w16cid:durableId="1891768639">
    <w:abstractNumId w:val="8"/>
  </w:num>
  <w:num w:numId="18" w16cid:durableId="146942224">
    <w:abstractNumId w:val="32"/>
  </w:num>
  <w:num w:numId="19" w16cid:durableId="320159612">
    <w:abstractNumId w:val="48"/>
  </w:num>
  <w:num w:numId="20" w16cid:durableId="1677226463">
    <w:abstractNumId w:val="6"/>
  </w:num>
  <w:num w:numId="21" w16cid:durableId="1953321033">
    <w:abstractNumId w:val="11"/>
  </w:num>
  <w:num w:numId="22" w16cid:durableId="1193953771">
    <w:abstractNumId w:val="39"/>
  </w:num>
  <w:num w:numId="23" w16cid:durableId="2097052946">
    <w:abstractNumId w:val="4"/>
  </w:num>
  <w:num w:numId="24" w16cid:durableId="2063557637">
    <w:abstractNumId w:val="12"/>
  </w:num>
  <w:num w:numId="25" w16cid:durableId="99837248">
    <w:abstractNumId w:val="41"/>
  </w:num>
  <w:num w:numId="26" w16cid:durableId="734740574">
    <w:abstractNumId w:val="0"/>
  </w:num>
  <w:num w:numId="27" w16cid:durableId="538321813">
    <w:abstractNumId w:val="46"/>
  </w:num>
  <w:num w:numId="28" w16cid:durableId="867376764">
    <w:abstractNumId w:val="7"/>
  </w:num>
  <w:num w:numId="29" w16cid:durableId="1496845940">
    <w:abstractNumId w:val="10"/>
  </w:num>
  <w:num w:numId="30" w16cid:durableId="403258048">
    <w:abstractNumId w:val="23"/>
  </w:num>
  <w:num w:numId="31" w16cid:durableId="145367510">
    <w:abstractNumId w:val="34"/>
  </w:num>
  <w:num w:numId="32" w16cid:durableId="1718892027">
    <w:abstractNumId w:val="36"/>
  </w:num>
  <w:num w:numId="33" w16cid:durableId="1552693097">
    <w:abstractNumId w:val="42"/>
  </w:num>
  <w:num w:numId="34" w16cid:durableId="1331519819">
    <w:abstractNumId w:val="49"/>
  </w:num>
  <w:num w:numId="35" w16cid:durableId="65304159">
    <w:abstractNumId w:val="33"/>
  </w:num>
  <w:num w:numId="36" w16cid:durableId="892813937">
    <w:abstractNumId w:val="2"/>
  </w:num>
  <w:num w:numId="37" w16cid:durableId="792284270">
    <w:abstractNumId w:val="16"/>
  </w:num>
  <w:num w:numId="38" w16cid:durableId="973291669">
    <w:abstractNumId w:val="27"/>
  </w:num>
  <w:num w:numId="39" w16cid:durableId="967974347">
    <w:abstractNumId w:val="1"/>
  </w:num>
  <w:num w:numId="40" w16cid:durableId="1115758582">
    <w:abstractNumId w:val="21"/>
  </w:num>
  <w:num w:numId="41" w16cid:durableId="213741725">
    <w:abstractNumId w:val="13"/>
  </w:num>
  <w:num w:numId="42" w16cid:durableId="885411159">
    <w:abstractNumId w:val="20"/>
  </w:num>
  <w:num w:numId="43" w16cid:durableId="1830750502">
    <w:abstractNumId w:val="29"/>
  </w:num>
  <w:num w:numId="44" w16cid:durableId="1067800740">
    <w:abstractNumId w:val="14"/>
  </w:num>
  <w:num w:numId="45" w16cid:durableId="1565146361">
    <w:abstractNumId w:val="28"/>
  </w:num>
  <w:num w:numId="46" w16cid:durableId="1907691048">
    <w:abstractNumId w:val="15"/>
  </w:num>
  <w:num w:numId="47" w16cid:durableId="1646812865">
    <w:abstractNumId w:val="30"/>
  </w:num>
  <w:num w:numId="48" w16cid:durableId="1296330497">
    <w:abstractNumId w:val="44"/>
  </w:num>
  <w:num w:numId="49" w16cid:durableId="1160465108">
    <w:abstractNumId w:val="35"/>
  </w:num>
  <w:num w:numId="50" w16cid:durableId="7309401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05"/>
    <w:rsid w:val="000105BB"/>
    <w:rsid w:val="00011700"/>
    <w:rsid w:val="0001755E"/>
    <w:rsid w:val="00020CB2"/>
    <w:rsid w:val="00032C34"/>
    <w:rsid w:val="00033EDD"/>
    <w:rsid w:val="000364FD"/>
    <w:rsid w:val="000365EC"/>
    <w:rsid w:val="00042FF3"/>
    <w:rsid w:val="00054B9F"/>
    <w:rsid w:val="000635DD"/>
    <w:rsid w:val="000642E0"/>
    <w:rsid w:val="00076735"/>
    <w:rsid w:val="00077FBB"/>
    <w:rsid w:val="00085163"/>
    <w:rsid w:val="0008524D"/>
    <w:rsid w:val="00091872"/>
    <w:rsid w:val="00091C1A"/>
    <w:rsid w:val="0009331F"/>
    <w:rsid w:val="00095F35"/>
    <w:rsid w:val="000A7DF1"/>
    <w:rsid w:val="000B23A8"/>
    <w:rsid w:val="000B54DD"/>
    <w:rsid w:val="000C35FC"/>
    <w:rsid w:val="000D30DF"/>
    <w:rsid w:val="000E53E1"/>
    <w:rsid w:val="000E6472"/>
    <w:rsid w:val="000E663E"/>
    <w:rsid w:val="000E6F84"/>
    <w:rsid w:val="000F0693"/>
    <w:rsid w:val="000F51E3"/>
    <w:rsid w:val="000F564E"/>
    <w:rsid w:val="00111356"/>
    <w:rsid w:val="001134F9"/>
    <w:rsid w:val="001171DD"/>
    <w:rsid w:val="00120F95"/>
    <w:rsid w:val="00124FB8"/>
    <w:rsid w:val="001255FE"/>
    <w:rsid w:val="001262EB"/>
    <w:rsid w:val="00131F66"/>
    <w:rsid w:val="00133E4A"/>
    <w:rsid w:val="001351EA"/>
    <w:rsid w:val="001452B1"/>
    <w:rsid w:val="00147C46"/>
    <w:rsid w:val="00154474"/>
    <w:rsid w:val="001643F3"/>
    <w:rsid w:val="001647CB"/>
    <w:rsid w:val="00165289"/>
    <w:rsid w:val="00165720"/>
    <w:rsid w:val="00171C63"/>
    <w:rsid w:val="00176739"/>
    <w:rsid w:val="00181056"/>
    <w:rsid w:val="001819FD"/>
    <w:rsid w:val="00182DA3"/>
    <w:rsid w:val="00183F83"/>
    <w:rsid w:val="001856E4"/>
    <w:rsid w:val="00190994"/>
    <w:rsid w:val="001A38C5"/>
    <w:rsid w:val="001A4CDB"/>
    <w:rsid w:val="001B435D"/>
    <w:rsid w:val="001B6EED"/>
    <w:rsid w:val="001B7FA6"/>
    <w:rsid w:val="001C0533"/>
    <w:rsid w:val="001C3C45"/>
    <w:rsid w:val="001D0C19"/>
    <w:rsid w:val="001D2D15"/>
    <w:rsid w:val="001E57B0"/>
    <w:rsid w:val="001F46E8"/>
    <w:rsid w:val="0020518E"/>
    <w:rsid w:val="00205573"/>
    <w:rsid w:val="00207634"/>
    <w:rsid w:val="00225986"/>
    <w:rsid w:val="002318C3"/>
    <w:rsid w:val="00231EC0"/>
    <w:rsid w:val="0023517F"/>
    <w:rsid w:val="00243030"/>
    <w:rsid w:val="00251494"/>
    <w:rsid w:val="00255192"/>
    <w:rsid w:val="00255333"/>
    <w:rsid w:val="0026249F"/>
    <w:rsid w:val="002636E1"/>
    <w:rsid w:val="00265EDB"/>
    <w:rsid w:val="002702D6"/>
    <w:rsid w:val="00273DFB"/>
    <w:rsid w:val="00277DC0"/>
    <w:rsid w:val="002804AB"/>
    <w:rsid w:val="002927B2"/>
    <w:rsid w:val="00293FCE"/>
    <w:rsid w:val="00294AAF"/>
    <w:rsid w:val="002B0EB9"/>
    <w:rsid w:val="002B4DB0"/>
    <w:rsid w:val="002B504B"/>
    <w:rsid w:val="002C0AA9"/>
    <w:rsid w:val="002C66B8"/>
    <w:rsid w:val="002D2DC5"/>
    <w:rsid w:val="002D7BD8"/>
    <w:rsid w:val="002D7E23"/>
    <w:rsid w:val="002E1601"/>
    <w:rsid w:val="002E3041"/>
    <w:rsid w:val="002F0A4D"/>
    <w:rsid w:val="002F2869"/>
    <w:rsid w:val="002F5016"/>
    <w:rsid w:val="003207CE"/>
    <w:rsid w:val="00326C53"/>
    <w:rsid w:val="00327947"/>
    <w:rsid w:val="00330A93"/>
    <w:rsid w:val="003329E1"/>
    <w:rsid w:val="00333EFA"/>
    <w:rsid w:val="00347D4C"/>
    <w:rsid w:val="00350216"/>
    <w:rsid w:val="00357922"/>
    <w:rsid w:val="0036139C"/>
    <w:rsid w:val="00367A9D"/>
    <w:rsid w:val="00367AD6"/>
    <w:rsid w:val="003703FE"/>
    <w:rsid w:val="00371323"/>
    <w:rsid w:val="00372175"/>
    <w:rsid w:val="00374498"/>
    <w:rsid w:val="00377B1B"/>
    <w:rsid w:val="00394F5B"/>
    <w:rsid w:val="00397B0F"/>
    <w:rsid w:val="003A6705"/>
    <w:rsid w:val="003B67EC"/>
    <w:rsid w:val="003C6AF8"/>
    <w:rsid w:val="003D0649"/>
    <w:rsid w:val="003D140A"/>
    <w:rsid w:val="003D5855"/>
    <w:rsid w:val="003F02D3"/>
    <w:rsid w:val="003F76C7"/>
    <w:rsid w:val="00402629"/>
    <w:rsid w:val="004062A3"/>
    <w:rsid w:val="0040638B"/>
    <w:rsid w:val="004101BD"/>
    <w:rsid w:val="0042227E"/>
    <w:rsid w:val="00426486"/>
    <w:rsid w:val="00437ABF"/>
    <w:rsid w:val="004417A2"/>
    <w:rsid w:val="00442052"/>
    <w:rsid w:val="00442F16"/>
    <w:rsid w:val="00445084"/>
    <w:rsid w:val="00445EEC"/>
    <w:rsid w:val="00453446"/>
    <w:rsid w:val="00454BE7"/>
    <w:rsid w:val="004578C0"/>
    <w:rsid w:val="00462CF0"/>
    <w:rsid w:val="0046433E"/>
    <w:rsid w:val="00467722"/>
    <w:rsid w:val="0047270E"/>
    <w:rsid w:val="00484C0C"/>
    <w:rsid w:val="00485DCD"/>
    <w:rsid w:val="004876A8"/>
    <w:rsid w:val="004934F7"/>
    <w:rsid w:val="004949D1"/>
    <w:rsid w:val="004A0B42"/>
    <w:rsid w:val="004A7D9F"/>
    <w:rsid w:val="004B2C70"/>
    <w:rsid w:val="004B62B9"/>
    <w:rsid w:val="004B736E"/>
    <w:rsid w:val="004C34EA"/>
    <w:rsid w:val="004C3845"/>
    <w:rsid w:val="004D2549"/>
    <w:rsid w:val="004E3FD8"/>
    <w:rsid w:val="004E402D"/>
    <w:rsid w:val="004F1163"/>
    <w:rsid w:val="004F1A61"/>
    <w:rsid w:val="004F7050"/>
    <w:rsid w:val="00507A27"/>
    <w:rsid w:val="0051119C"/>
    <w:rsid w:val="005111DB"/>
    <w:rsid w:val="0051401E"/>
    <w:rsid w:val="00524294"/>
    <w:rsid w:val="00525282"/>
    <w:rsid w:val="0053357F"/>
    <w:rsid w:val="00535A0E"/>
    <w:rsid w:val="005370C8"/>
    <w:rsid w:val="00541810"/>
    <w:rsid w:val="00546011"/>
    <w:rsid w:val="0054658D"/>
    <w:rsid w:val="00553326"/>
    <w:rsid w:val="005575B1"/>
    <w:rsid w:val="005627F3"/>
    <w:rsid w:val="00562A6B"/>
    <w:rsid w:val="00565297"/>
    <w:rsid w:val="005653BB"/>
    <w:rsid w:val="00570332"/>
    <w:rsid w:val="005704FC"/>
    <w:rsid w:val="005711AA"/>
    <w:rsid w:val="00573B34"/>
    <w:rsid w:val="0057689B"/>
    <w:rsid w:val="00577ED9"/>
    <w:rsid w:val="005801B0"/>
    <w:rsid w:val="00583352"/>
    <w:rsid w:val="00583A98"/>
    <w:rsid w:val="005860DF"/>
    <w:rsid w:val="00590D84"/>
    <w:rsid w:val="0059665A"/>
    <w:rsid w:val="005A1525"/>
    <w:rsid w:val="005A3EE1"/>
    <w:rsid w:val="005B6DD6"/>
    <w:rsid w:val="005B7E5E"/>
    <w:rsid w:val="005C286C"/>
    <w:rsid w:val="005C498B"/>
    <w:rsid w:val="005D0DAF"/>
    <w:rsid w:val="005D7495"/>
    <w:rsid w:val="005E73A4"/>
    <w:rsid w:val="005F09CB"/>
    <w:rsid w:val="005F487A"/>
    <w:rsid w:val="005F5727"/>
    <w:rsid w:val="005F58E4"/>
    <w:rsid w:val="005F629E"/>
    <w:rsid w:val="005F651B"/>
    <w:rsid w:val="00606418"/>
    <w:rsid w:val="0061222F"/>
    <w:rsid w:val="006128E2"/>
    <w:rsid w:val="006146AC"/>
    <w:rsid w:val="0061771C"/>
    <w:rsid w:val="00622A7E"/>
    <w:rsid w:val="0062374E"/>
    <w:rsid w:val="006261BB"/>
    <w:rsid w:val="00635989"/>
    <w:rsid w:val="00635B29"/>
    <w:rsid w:val="00652366"/>
    <w:rsid w:val="00652D3E"/>
    <w:rsid w:val="00656749"/>
    <w:rsid w:val="00656F8C"/>
    <w:rsid w:val="00662B3B"/>
    <w:rsid w:val="006646C7"/>
    <w:rsid w:val="0066756B"/>
    <w:rsid w:val="00671D6D"/>
    <w:rsid w:val="00682BDA"/>
    <w:rsid w:val="00683A1D"/>
    <w:rsid w:val="00686846"/>
    <w:rsid w:val="00691063"/>
    <w:rsid w:val="006963E5"/>
    <w:rsid w:val="0069684D"/>
    <w:rsid w:val="00697A1D"/>
    <w:rsid w:val="006A03A5"/>
    <w:rsid w:val="006B0868"/>
    <w:rsid w:val="006B724B"/>
    <w:rsid w:val="006C2542"/>
    <w:rsid w:val="006C2AFF"/>
    <w:rsid w:val="006C3C58"/>
    <w:rsid w:val="006C53BC"/>
    <w:rsid w:val="006D2298"/>
    <w:rsid w:val="006D2321"/>
    <w:rsid w:val="006D78BD"/>
    <w:rsid w:val="006E1B8A"/>
    <w:rsid w:val="006E2003"/>
    <w:rsid w:val="006F3B00"/>
    <w:rsid w:val="00704239"/>
    <w:rsid w:val="00710E60"/>
    <w:rsid w:val="00714ECF"/>
    <w:rsid w:val="00717142"/>
    <w:rsid w:val="00721EDA"/>
    <w:rsid w:val="0072560E"/>
    <w:rsid w:val="007312F9"/>
    <w:rsid w:val="00733DB5"/>
    <w:rsid w:val="00734C6F"/>
    <w:rsid w:val="007366CD"/>
    <w:rsid w:val="0073677D"/>
    <w:rsid w:val="00745627"/>
    <w:rsid w:val="0075335A"/>
    <w:rsid w:val="0075377E"/>
    <w:rsid w:val="0075618A"/>
    <w:rsid w:val="00763284"/>
    <w:rsid w:val="00785485"/>
    <w:rsid w:val="0078577D"/>
    <w:rsid w:val="007863FA"/>
    <w:rsid w:val="007955A8"/>
    <w:rsid w:val="007A2771"/>
    <w:rsid w:val="007A667A"/>
    <w:rsid w:val="007B3951"/>
    <w:rsid w:val="007B3EA1"/>
    <w:rsid w:val="007C0051"/>
    <w:rsid w:val="007C0B3F"/>
    <w:rsid w:val="007C1906"/>
    <w:rsid w:val="007C1ED3"/>
    <w:rsid w:val="007C2B3D"/>
    <w:rsid w:val="007C40AC"/>
    <w:rsid w:val="007C5315"/>
    <w:rsid w:val="007D1259"/>
    <w:rsid w:val="007D6B01"/>
    <w:rsid w:val="007E334B"/>
    <w:rsid w:val="007E5CFE"/>
    <w:rsid w:val="007F29E0"/>
    <w:rsid w:val="008010BB"/>
    <w:rsid w:val="00820D11"/>
    <w:rsid w:val="0082509B"/>
    <w:rsid w:val="00826411"/>
    <w:rsid w:val="008274CA"/>
    <w:rsid w:val="00830D82"/>
    <w:rsid w:val="00832364"/>
    <w:rsid w:val="008326DE"/>
    <w:rsid w:val="0084183F"/>
    <w:rsid w:val="00846054"/>
    <w:rsid w:val="008467A4"/>
    <w:rsid w:val="0084721B"/>
    <w:rsid w:val="00851711"/>
    <w:rsid w:val="00851E14"/>
    <w:rsid w:val="008520C4"/>
    <w:rsid w:val="00853202"/>
    <w:rsid w:val="0085533D"/>
    <w:rsid w:val="0086139E"/>
    <w:rsid w:val="008664AE"/>
    <w:rsid w:val="00870708"/>
    <w:rsid w:val="00883269"/>
    <w:rsid w:val="00892B72"/>
    <w:rsid w:val="008942F7"/>
    <w:rsid w:val="00895330"/>
    <w:rsid w:val="008954A3"/>
    <w:rsid w:val="008A3DB1"/>
    <w:rsid w:val="008A502D"/>
    <w:rsid w:val="008B09DD"/>
    <w:rsid w:val="008C3E6E"/>
    <w:rsid w:val="008C484F"/>
    <w:rsid w:val="008C5E50"/>
    <w:rsid w:val="008D2334"/>
    <w:rsid w:val="008D5139"/>
    <w:rsid w:val="008D739D"/>
    <w:rsid w:val="008E067E"/>
    <w:rsid w:val="008F7C9F"/>
    <w:rsid w:val="009054E2"/>
    <w:rsid w:val="009115A9"/>
    <w:rsid w:val="0091537F"/>
    <w:rsid w:val="00915400"/>
    <w:rsid w:val="00917AD0"/>
    <w:rsid w:val="00922070"/>
    <w:rsid w:val="0092382A"/>
    <w:rsid w:val="00926BBE"/>
    <w:rsid w:val="0093440E"/>
    <w:rsid w:val="009357B9"/>
    <w:rsid w:val="00937DA7"/>
    <w:rsid w:val="009437C1"/>
    <w:rsid w:val="00944F84"/>
    <w:rsid w:val="0095795C"/>
    <w:rsid w:val="00962290"/>
    <w:rsid w:val="00963A79"/>
    <w:rsid w:val="00965AC3"/>
    <w:rsid w:val="00966A0F"/>
    <w:rsid w:val="00970F62"/>
    <w:rsid w:val="009809F0"/>
    <w:rsid w:val="009A689F"/>
    <w:rsid w:val="009B02EB"/>
    <w:rsid w:val="009B0315"/>
    <w:rsid w:val="009B173B"/>
    <w:rsid w:val="009B2EC6"/>
    <w:rsid w:val="009C486C"/>
    <w:rsid w:val="009C51EF"/>
    <w:rsid w:val="009C7318"/>
    <w:rsid w:val="009D0DE6"/>
    <w:rsid w:val="009E0859"/>
    <w:rsid w:val="009E57CE"/>
    <w:rsid w:val="009F3A59"/>
    <w:rsid w:val="009F67F9"/>
    <w:rsid w:val="009F6D95"/>
    <w:rsid w:val="00A00E31"/>
    <w:rsid w:val="00A126A9"/>
    <w:rsid w:val="00A14403"/>
    <w:rsid w:val="00A146A0"/>
    <w:rsid w:val="00A16AAD"/>
    <w:rsid w:val="00A25CFF"/>
    <w:rsid w:val="00A25F88"/>
    <w:rsid w:val="00A33515"/>
    <w:rsid w:val="00A33552"/>
    <w:rsid w:val="00A33F43"/>
    <w:rsid w:val="00A36CF5"/>
    <w:rsid w:val="00A50A7A"/>
    <w:rsid w:val="00A53F4E"/>
    <w:rsid w:val="00A56C38"/>
    <w:rsid w:val="00A5747A"/>
    <w:rsid w:val="00A67DA5"/>
    <w:rsid w:val="00A734EF"/>
    <w:rsid w:val="00A77ED2"/>
    <w:rsid w:val="00A92650"/>
    <w:rsid w:val="00AA3ADF"/>
    <w:rsid w:val="00AB3C6A"/>
    <w:rsid w:val="00AB44D6"/>
    <w:rsid w:val="00AC10D8"/>
    <w:rsid w:val="00AD13ED"/>
    <w:rsid w:val="00AD3357"/>
    <w:rsid w:val="00AD4F6E"/>
    <w:rsid w:val="00AD7299"/>
    <w:rsid w:val="00AE4A44"/>
    <w:rsid w:val="00AE5CC6"/>
    <w:rsid w:val="00AE7834"/>
    <w:rsid w:val="00AF0B42"/>
    <w:rsid w:val="00AF3849"/>
    <w:rsid w:val="00AF62FC"/>
    <w:rsid w:val="00B03FCA"/>
    <w:rsid w:val="00B0590A"/>
    <w:rsid w:val="00B22402"/>
    <w:rsid w:val="00B303A0"/>
    <w:rsid w:val="00B30EBC"/>
    <w:rsid w:val="00B34489"/>
    <w:rsid w:val="00B36CA0"/>
    <w:rsid w:val="00B36E97"/>
    <w:rsid w:val="00B4374F"/>
    <w:rsid w:val="00B562E2"/>
    <w:rsid w:val="00B76448"/>
    <w:rsid w:val="00B7764F"/>
    <w:rsid w:val="00B95476"/>
    <w:rsid w:val="00BA111B"/>
    <w:rsid w:val="00BA2888"/>
    <w:rsid w:val="00BB07F1"/>
    <w:rsid w:val="00BB2525"/>
    <w:rsid w:val="00BB5BAB"/>
    <w:rsid w:val="00BB7AB0"/>
    <w:rsid w:val="00BC2827"/>
    <w:rsid w:val="00BC6552"/>
    <w:rsid w:val="00BD5CC0"/>
    <w:rsid w:val="00BD5D0C"/>
    <w:rsid w:val="00BE6CE1"/>
    <w:rsid w:val="00BF1A15"/>
    <w:rsid w:val="00C03B4A"/>
    <w:rsid w:val="00C04AD7"/>
    <w:rsid w:val="00C07949"/>
    <w:rsid w:val="00C1163A"/>
    <w:rsid w:val="00C156DA"/>
    <w:rsid w:val="00C24E2B"/>
    <w:rsid w:val="00C26913"/>
    <w:rsid w:val="00C30F9A"/>
    <w:rsid w:val="00C30FE2"/>
    <w:rsid w:val="00C3278F"/>
    <w:rsid w:val="00C3459E"/>
    <w:rsid w:val="00C425BC"/>
    <w:rsid w:val="00C42B9B"/>
    <w:rsid w:val="00C43CD6"/>
    <w:rsid w:val="00C469DC"/>
    <w:rsid w:val="00C47B7D"/>
    <w:rsid w:val="00C515A5"/>
    <w:rsid w:val="00C5635F"/>
    <w:rsid w:val="00C61CFA"/>
    <w:rsid w:val="00C656D7"/>
    <w:rsid w:val="00C672C8"/>
    <w:rsid w:val="00C80362"/>
    <w:rsid w:val="00C84C3B"/>
    <w:rsid w:val="00C9251D"/>
    <w:rsid w:val="00C949B2"/>
    <w:rsid w:val="00C967AA"/>
    <w:rsid w:val="00CA1BD9"/>
    <w:rsid w:val="00CA4663"/>
    <w:rsid w:val="00CA6038"/>
    <w:rsid w:val="00CB266F"/>
    <w:rsid w:val="00CB35B5"/>
    <w:rsid w:val="00CB6588"/>
    <w:rsid w:val="00CC4507"/>
    <w:rsid w:val="00CD23E8"/>
    <w:rsid w:val="00CD3B05"/>
    <w:rsid w:val="00CD572A"/>
    <w:rsid w:val="00CE17B3"/>
    <w:rsid w:val="00CE2179"/>
    <w:rsid w:val="00CE5F04"/>
    <w:rsid w:val="00CE5F3A"/>
    <w:rsid w:val="00CE7C92"/>
    <w:rsid w:val="00CF10EA"/>
    <w:rsid w:val="00CF38CD"/>
    <w:rsid w:val="00D0614E"/>
    <w:rsid w:val="00D153A0"/>
    <w:rsid w:val="00D222CD"/>
    <w:rsid w:val="00D2719B"/>
    <w:rsid w:val="00D33465"/>
    <w:rsid w:val="00D33809"/>
    <w:rsid w:val="00D40D03"/>
    <w:rsid w:val="00D4475D"/>
    <w:rsid w:val="00D4530E"/>
    <w:rsid w:val="00D53512"/>
    <w:rsid w:val="00D56DE1"/>
    <w:rsid w:val="00D60548"/>
    <w:rsid w:val="00D62BDE"/>
    <w:rsid w:val="00D704D1"/>
    <w:rsid w:val="00D74F2E"/>
    <w:rsid w:val="00D7735E"/>
    <w:rsid w:val="00D817A8"/>
    <w:rsid w:val="00D86F77"/>
    <w:rsid w:val="00D92DCB"/>
    <w:rsid w:val="00D95707"/>
    <w:rsid w:val="00D96227"/>
    <w:rsid w:val="00DA259A"/>
    <w:rsid w:val="00DA2F65"/>
    <w:rsid w:val="00DA6BCF"/>
    <w:rsid w:val="00DB09FA"/>
    <w:rsid w:val="00DB35BB"/>
    <w:rsid w:val="00DB4C00"/>
    <w:rsid w:val="00DC2FE8"/>
    <w:rsid w:val="00DC63A4"/>
    <w:rsid w:val="00DC7AC7"/>
    <w:rsid w:val="00DD4724"/>
    <w:rsid w:val="00DD6BEA"/>
    <w:rsid w:val="00DE1E9B"/>
    <w:rsid w:val="00DE2646"/>
    <w:rsid w:val="00DE2CF6"/>
    <w:rsid w:val="00DF3BC4"/>
    <w:rsid w:val="00E02B20"/>
    <w:rsid w:val="00E1382D"/>
    <w:rsid w:val="00E21252"/>
    <w:rsid w:val="00E24B7A"/>
    <w:rsid w:val="00E320A2"/>
    <w:rsid w:val="00E32837"/>
    <w:rsid w:val="00E33679"/>
    <w:rsid w:val="00E41C3D"/>
    <w:rsid w:val="00E42472"/>
    <w:rsid w:val="00E531E3"/>
    <w:rsid w:val="00E81F99"/>
    <w:rsid w:val="00E87BBA"/>
    <w:rsid w:val="00E903E3"/>
    <w:rsid w:val="00E91F52"/>
    <w:rsid w:val="00E94A14"/>
    <w:rsid w:val="00E95B6A"/>
    <w:rsid w:val="00EA54FA"/>
    <w:rsid w:val="00EB12D1"/>
    <w:rsid w:val="00EB6B44"/>
    <w:rsid w:val="00EC0755"/>
    <w:rsid w:val="00EC2ED0"/>
    <w:rsid w:val="00EC4239"/>
    <w:rsid w:val="00EC5511"/>
    <w:rsid w:val="00EE1C36"/>
    <w:rsid w:val="00EF4EA3"/>
    <w:rsid w:val="00F03D0D"/>
    <w:rsid w:val="00F137B5"/>
    <w:rsid w:val="00F251DD"/>
    <w:rsid w:val="00F268B8"/>
    <w:rsid w:val="00F31429"/>
    <w:rsid w:val="00F4056B"/>
    <w:rsid w:val="00F4340F"/>
    <w:rsid w:val="00F4345A"/>
    <w:rsid w:val="00F43793"/>
    <w:rsid w:val="00F528EA"/>
    <w:rsid w:val="00F646F2"/>
    <w:rsid w:val="00F80DC7"/>
    <w:rsid w:val="00F87B3D"/>
    <w:rsid w:val="00F931D3"/>
    <w:rsid w:val="00F97A92"/>
    <w:rsid w:val="00FA0D64"/>
    <w:rsid w:val="00FA133A"/>
    <w:rsid w:val="00FA4EF9"/>
    <w:rsid w:val="00FB7D83"/>
    <w:rsid w:val="00FC2A74"/>
    <w:rsid w:val="00FD1FD5"/>
    <w:rsid w:val="00FD3ED1"/>
    <w:rsid w:val="00FE0EE9"/>
    <w:rsid w:val="00FF2ECF"/>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5E7C"/>
  <w15:chartTrackingRefBased/>
  <w15:docId w15:val="{F7C4747F-8EA4-6D43-989E-614196A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link w:val="Heading1Char"/>
    <w:uiPriority w:val="9"/>
    <w:qFormat/>
    <w:rsid w:val="00E32837"/>
    <w:pPr>
      <w:numPr>
        <w:numId w:val="17"/>
      </w:numP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0E53E1"/>
    <w:pPr>
      <w:numPr>
        <w:ilvl w:val="1"/>
        <w:numId w:val="18"/>
      </w:numPr>
      <w:tabs>
        <w:tab w:val="left" w:pos="1170"/>
      </w:tabs>
      <w:spacing w:after="120" w:line="360" w:lineRule="auto"/>
      <w:ind w:left="990" w:hanging="27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8418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290"/>
    <w:rPr>
      <w:rFonts w:ascii="Times New Roman" w:hAnsi="Times New Roman" w:cs="Times New Roman"/>
      <w:b/>
      <w:bCs/>
    </w:rPr>
  </w:style>
  <w:style w:type="paragraph" w:styleId="ListParagraph">
    <w:name w:val="List Paragraph"/>
    <w:basedOn w:val="Normal"/>
    <w:uiPriority w:val="34"/>
    <w:qFormat/>
    <w:rsid w:val="00462CF0"/>
    <w:pPr>
      <w:spacing w:after="160" w:line="259" w:lineRule="auto"/>
      <w:ind w:left="720"/>
      <w:contextualSpacing/>
    </w:pPr>
    <w:rPr>
      <w:sz w:val="22"/>
      <w:szCs w:val="22"/>
    </w:rPr>
  </w:style>
  <w:style w:type="paragraph" w:customStyle="1" w:styleId="Body">
    <w:name w:val="Body"/>
    <w:rsid w:val="00462C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st">
    <w:name w:val="st"/>
    <w:basedOn w:val="DefaultParagraphFont"/>
    <w:rsid w:val="00462CF0"/>
  </w:style>
  <w:style w:type="paragraph" w:styleId="FootnoteText">
    <w:name w:val="footnote text"/>
    <w:basedOn w:val="Normal"/>
    <w:link w:val="FootnoteTextChar"/>
    <w:uiPriority w:val="99"/>
    <w:semiHidden/>
    <w:unhideWhenUsed/>
    <w:rsid w:val="005111DB"/>
    <w:rPr>
      <w:sz w:val="20"/>
      <w:szCs w:val="20"/>
    </w:rPr>
  </w:style>
  <w:style w:type="character" w:customStyle="1" w:styleId="FootnoteTextChar">
    <w:name w:val="Footnote Text Char"/>
    <w:basedOn w:val="DefaultParagraphFont"/>
    <w:link w:val="FootnoteText"/>
    <w:uiPriority w:val="99"/>
    <w:semiHidden/>
    <w:rsid w:val="005111DB"/>
    <w:rPr>
      <w:sz w:val="20"/>
      <w:szCs w:val="20"/>
    </w:rPr>
  </w:style>
  <w:style w:type="character" w:styleId="FootnoteReference">
    <w:name w:val="footnote reference"/>
    <w:basedOn w:val="DefaultParagraphFont"/>
    <w:uiPriority w:val="99"/>
    <w:semiHidden/>
    <w:unhideWhenUsed/>
    <w:rsid w:val="005111DB"/>
    <w:rPr>
      <w:vertAlign w:val="superscript"/>
    </w:rPr>
  </w:style>
  <w:style w:type="paragraph" w:styleId="Header">
    <w:name w:val="header"/>
    <w:basedOn w:val="Normal"/>
    <w:link w:val="HeaderChar"/>
    <w:uiPriority w:val="99"/>
    <w:unhideWhenUsed/>
    <w:rsid w:val="005111DB"/>
    <w:pPr>
      <w:tabs>
        <w:tab w:val="center" w:pos="4680"/>
        <w:tab w:val="right" w:pos="9360"/>
      </w:tabs>
    </w:pPr>
    <w:rPr>
      <w:sz w:val="22"/>
      <w:szCs w:val="22"/>
    </w:rPr>
  </w:style>
  <w:style w:type="character" w:customStyle="1" w:styleId="HeaderChar">
    <w:name w:val="Header Char"/>
    <w:basedOn w:val="DefaultParagraphFont"/>
    <w:link w:val="Header"/>
    <w:uiPriority w:val="99"/>
    <w:rsid w:val="005111DB"/>
    <w:rPr>
      <w:sz w:val="22"/>
      <w:szCs w:val="22"/>
    </w:rPr>
  </w:style>
  <w:style w:type="paragraph" w:styleId="Footer">
    <w:name w:val="footer"/>
    <w:basedOn w:val="Normal"/>
    <w:link w:val="FooterChar"/>
    <w:uiPriority w:val="99"/>
    <w:unhideWhenUsed/>
    <w:rsid w:val="005111DB"/>
    <w:pPr>
      <w:tabs>
        <w:tab w:val="center" w:pos="4680"/>
        <w:tab w:val="right" w:pos="9360"/>
      </w:tabs>
    </w:pPr>
    <w:rPr>
      <w:sz w:val="22"/>
      <w:szCs w:val="22"/>
    </w:rPr>
  </w:style>
  <w:style w:type="character" w:customStyle="1" w:styleId="FooterChar">
    <w:name w:val="Footer Char"/>
    <w:basedOn w:val="DefaultParagraphFont"/>
    <w:link w:val="Footer"/>
    <w:uiPriority w:val="99"/>
    <w:rsid w:val="005111DB"/>
    <w:rPr>
      <w:sz w:val="22"/>
      <w:szCs w:val="22"/>
    </w:rPr>
  </w:style>
  <w:style w:type="paragraph" w:styleId="NormalWeb">
    <w:name w:val="Normal (Web)"/>
    <w:basedOn w:val="Normal"/>
    <w:uiPriority w:val="99"/>
    <w:unhideWhenUsed/>
    <w:rsid w:val="0044508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B7FA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FA6"/>
    <w:rPr>
      <w:color w:val="0563C1" w:themeColor="hyperlink"/>
      <w:u w:val="single"/>
    </w:rPr>
  </w:style>
  <w:style w:type="character" w:customStyle="1" w:styleId="Heading2Char">
    <w:name w:val="Heading 2 Char"/>
    <w:basedOn w:val="DefaultParagraphFont"/>
    <w:link w:val="Heading2"/>
    <w:uiPriority w:val="9"/>
    <w:rsid w:val="000E53E1"/>
    <w:rPr>
      <w:rFonts w:ascii="Times New Roman" w:hAnsi="Times New Roman" w:cs="Times New Roman"/>
      <w:b/>
      <w:bCs/>
    </w:rPr>
  </w:style>
  <w:style w:type="character" w:styleId="CommentReference">
    <w:name w:val="annotation reference"/>
    <w:basedOn w:val="DefaultParagraphFont"/>
    <w:uiPriority w:val="99"/>
    <w:semiHidden/>
    <w:unhideWhenUsed/>
    <w:rsid w:val="0046433E"/>
    <w:rPr>
      <w:sz w:val="16"/>
      <w:szCs w:val="16"/>
    </w:rPr>
  </w:style>
  <w:style w:type="paragraph" w:styleId="CommentText">
    <w:name w:val="annotation text"/>
    <w:basedOn w:val="Normal"/>
    <w:link w:val="CommentTextChar"/>
    <w:uiPriority w:val="99"/>
    <w:semiHidden/>
    <w:unhideWhenUsed/>
    <w:rsid w:val="0046433E"/>
    <w:rPr>
      <w:sz w:val="20"/>
      <w:szCs w:val="20"/>
    </w:rPr>
  </w:style>
  <w:style w:type="character" w:customStyle="1" w:styleId="CommentTextChar">
    <w:name w:val="Comment Text Char"/>
    <w:basedOn w:val="DefaultParagraphFont"/>
    <w:link w:val="CommentText"/>
    <w:uiPriority w:val="99"/>
    <w:semiHidden/>
    <w:rsid w:val="0046433E"/>
    <w:rPr>
      <w:sz w:val="20"/>
      <w:szCs w:val="20"/>
    </w:rPr>
  </w:style>
  <w:style w:type="paragraph" w:styleId="CommentSubject">
    <w:name w:val="annotation subject"/>
    <w:basedOn w:val="CommentText"/>
    <w:next w:val="CommentText"/>
    <w:link w:val="CommentSubjectChar"/>
    <w:uiPriority w:val="99"/>
    <w:semiHidden/>
    <w:unhideWhenUsed/>
    <w:rsid w:val="0046433E"/>
    <w:rPr>
      <w:b/>
      <w:bCs/>
    </w:rPr>
  </w:style>
  <w:style w:type="character" w:customStyle="1" w:styleId="CommentSubjectChar">
    <w:name w:val="Comment Subject Char"/>
    <w:basedOn w:val="CommentTextChar"/>
    <w:link w:val="CommentSubject"/>
    <w:uiPriority w:val="99"/>
    <w:semiHidden/>
    <w:rsid w:val="0046433E"/>
    <w:rPr>
      <w:b/>
      <w:bCs/>
      <w:sz w:val="20"/>
      <w:szCs w:val="20"/>
    </w:rPr>
  </w:style>
  <w:style w:type="paragraph" w:styleId="BalloonText">
    <w:name w:val="Balloon Text"/>
    <w:basedOn w:val="Normal"/>
    <w:link w:val="BalloonTextChar"/>
    <w:uiPriority w:val="99"/>
    <w:semiHidden/>
    <w:unhideWhenUsed/>
    <w:rsid w:val="00464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3E"/>
    <w:rPr>
      <w:rFonts w:ascii="Segoe UI" w:hAnsi="Segoe UI" w:cs="Segoe UI"/>
      <w:sz w:val="18"/>
      <w:szCs w:val="18"/>
    </w:rPr>
  </w:style>
  <w:style w:type="paragraph" w:styleId="TOCHeading">
    <w:name w:val="TOC Heading"/>
    <w:basedOn w:val="Heading1"/>
    <w:next w:val="Normal"/>
    <w:uiPriority w:val="39"/>
    <w:unhideWhenUsed/>
    <w:qFormat/>
    <w:rsid w:val="005C286C"/>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C286C"/>
    <w:pPr>
      <w:tabs>
        <w:tab w:val="left" w:pos="440"/>
        <w:tab w:val="right" w:leader="dot" w:pos="9350"/>
      </w:tabs>
      <w:spacing w:after="100"/>
      <w:ind w:left="900" w:hanging="900"/>
    </w:pPr>
    <w:rPr>
      <w:rFonts w:ascii="Times New Roman" w:hAnsi="Times New Roman" w:cs="Times New Roman"/>
      <w:b/>
      <w:noProof/>
    </w:rPr>
  </w:style>
  <w:style w:type="paragraph" w:styleId="TOC2">
    <w:name w:val="toc 2"/>
    <w:basedOn w:val="Normal"/>
    <w:next w:val="Normal"/>
    <w:autoRedefine/>
    <w:uiPriority w:val="39"/>
    <w:unhideWhenUsed/>
    <w:rsid w:val="005C286C"/>
    <w:pPr>
      <w:spacing w:after="100"/>
      <w:ind w:left="240"/>
    </w:pPr>
  </w:style>
  <w:style w:type="paragraph" w:styleId="Revision">
    <w:name w:val="Revision"/>
    <w:hidden/>
    <w:uiPriority w:val="99"/>
    <w:semiHidden/>
    <w:rsid w:val="001D2D15"/>
  </w:style>
  <w:style w:type="character" w:styleId="FollowedHyperlink">
    <w:name w:val="FollowedHyperlink"/>
    <w:basedOn w:val="DefaultParagraphFont"/>
    <w:uiPriority w:val="99"/>
    <w:semiHidden/>
    <w:unhideWhenUsed/>
    <w:rsid w:val="00C80362"/>
    <w:rPr>
      <w:color w:val="954F72" w:themeColor="followedHyperlink"/>
      <w:u w:val="single"/>
    </w:rPr>
  </w:style>
  <w:style w:type="paragraph" w:styleId="HTMLPreformatted">
    <w:name w:val="HTML Preformatted"/>
    <w:basedOn w:val="Normal"/>
    <w:link w:val="HTMLPreformattedChar"/>
    <w:uiPriority w:val="99"/>
    <w:semiHidden/>
    <w:unhideWhenUsed/>
    <w:rsid w:val="0073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DB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33DB5"/>
    <w:rPr>
      <w:color w:val="605E5C"/>
      <w:shd w:val="clear" w:color="auto" w:fill="E1DFDD"/>
    </w:rPr>
  </w:style>
  <w:style w:type="character" w:styleId="Emphasis">
    <w:name w:val="Emphasis"/>
    <w:basedOn w:val="DefaultParagraphFont"/>
    <w:uiPriority w:val="20"/>
    <w:qFormat/>
    <w:rsid w:val="00733DB5"/>
    <w:rPr>
      <w:i/>
      <w:iCs/>
    </w:rPr>
  </w:style>
  <w:style w:type="character" w:styleId="Strong">
    <w:name w:val="Strong"/>
    <w:basedOn w:val="DefaultParagraphFont"/>
    <w:uiPriority w:val="22"/>
    <w:qFormat/>
    <w:rsid w:val="009437C1"/>
    <w:rPr>
      <w:b/>
      <w:bCs/>
    </w:rPr>
  </w:style>
  <w:style w:type="numbering" w:customStyle="1" w:styleId="NoList1">
    <w:name w:val="No List1"/>
    <w:next w:val="NoList"/>
    <w:uiPriority w:val="99"/>
    <w:semiHidden/>
    <w:unhideWhenUsed/>
    <w:rsid w:val="008D5139"/>
  </w:style>
  <w:style w:type="table" w:customStyle="1" w:styleId="TableGrid1">
    <w:name w:val="Table Grid1"/>
    <w:basedOn w:val="TableNormal"/>
    <w:next w:val="TableGrid"/>
    <w:uiPriority w:val="39"/>
    <w:rsid w:val="008D5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4183F"/>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445EEC"/>
    <w:pPr>
      <w:spacing w:after="100"/>
      <w:ind w:left="480"/>
    </w:pPr>
  </w:style>
  <w:style w:type="paragraph" w:styleId="Caption">
    <w:name w:val="caption"/>
    <w:basedOn w:val="Normal"/>
    <w:next w:val="Normal"/>
    <w:uiPriority w:val="35"/>
    <w:unhideWhenUsed/>
    <w:qFormat/>
    <w:rsid w:val="00D53512"/>
    <w:pPr>
      <w:spacing w:after="200"/>
    </w:pPr>
    <w:rPr>
      <w:i/>
      <w:iCs/>
      <w:color w:val="44546A" w:themeColor="text2"/>
      <w:sz w:val="18"/>
      <w:szCs w:val="18"/>
    </w:rPr>
  </w:style>
  <w:style w:type="paragraph" w:styleId="TableofFigures">
    <w:name w:val="table of figures"/>
    <w:aliases w:val="Figures and Tables"/>
    <w:basedOn w:val="Normal"/>
    <w:next w:val="Normal"/>
    <w:uiPriority w:val="99"/>
    <w:semiHidden/>
    <w:unhideWhenUsed/>
    <w:rsid w:val="003F02D3"/>
  </w:style>
  <w:style w:type="table" w:customStyle="1" w:styleId="TableGrid2">
    <w:name w:val="Table Grid2"/>
    <w:basedOn w:val="TableNormal"/>
    <w:next w:val="TableGrid"/>
    <w:uiPriority w:val="39"/>
    <w:rsid w:val="00DA2F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3219">
      <w:bodyDiv w:val="1"/>
      <w:marLeft w:val="0"/>
      <w:marRight w:val="0"/>
      <w:marTop w:val="0"/>
      <w:marBottom w:val="0"/>
      <w:divBdr>
        <w:top w:val="none" w:sz="0" w:space="0" w:color="auto"/>
        <w:left w:val="none" w:sz="0" w:space="0" w:color="auto"/>
        <w:bottom w:val="none" w:sz="0" w:space="0" w:color="auto"/>
        <w:right w:val="none" w:sz="0" w:space="0" w:color="auto"/>
      </w:divBdr>
      <w:divsChild>
        <w:div w:id="188028102">
          <w:marLeft w:val="547"/>
          <w:marRight w:val="0"/>
          <w:marTop w:val="115"/>
          <w:marBottom w:val="0"/>
          <w:divBdr>
            <w:top w:val="none" w:sz="0" w:space="0" w:color="auto"/>
            <w:left w:val="none" w:sz="0" w:space="0" w:color="auto"/>
            <w:bottom w:val="none" w:sz="0" w:space="0" w:color="auto"/>
            <w:right w:val="none" w:sz="0" w:space="0" w:color="auto"/>
          </w:divBdr>
        </w:div>
        <w:div w:id="969482675">
          <w:marLeft w:val="547"/>
          <w:marRight w:val="0"/>
          <w:marTop w:val="115"/>
          <w:marBottom w:val="0"/>
          <w:divBdr>
            <w:top w:val="none" w:sz="0" w:space="0" w:color="auto"/>
            <w:left w:val="none" w:sz="0" w:space="0" w:color="auto"/>
            <w:bottom w:val="none" w:sz="0" w:space="0" w:color="auto"/>
            <w:right w:val="none" w:sz="0" w:space="0" w:color="auto"/>
          </w:divBdr>
        </w:div>
        <w:div w:id="495153054">
          <w:marLeft w:val="547"/>
          <w:marRight w:val="0"/>
          <w:marTop w:val="115"/>
          <w:marBottom w:val="0"/>
          <w:divBdr>
            <w:top w:val="none" w:sz="0" w:space="0" w:color="auto"/>
            <w:left w:val="none" w:sz="0" w:space="0" w:color="auto"/>
            <w:bottom w:val="none" w:sz="0" w:space="0" w:color="auto"/>
            <w:right w:val="none" w:sz="0" w:space="0" w:color="auto"/>
          </w:divBdr>
        </w:div>
        <w:div w:id="781731723">
          <w:marLeft w:val="547"/>
          <w:marRight w:val="0"/>
          <w:marTop w:val="115"/>
          <w:marBottom w:val="0"/>
          <w:divBdr>
            <w:top w:val="none" w:sz="0" w:space="0" w:color="auto"/>
            <w:left w:val="none" w:sz="0" w:space="0" w:color="auto"/>
            <w:bottom w:val="none" w:sz="0" w:space="0" w:color="auto"/>
            <w:right w:val="none" w:sz="0" w:space="0" w:color="auto"/>
          </w:divBdr>
        </w:div>
        <w:div w:id="1261138181">
          <w:marLeft w:val="1166"/>
          <w:marRight w:val="0"/>
          <w:marTop w:val="96"/>
          <w:marBottom w:val="0"/>
          <w:divBdr>
            <w:top w:val="none" w:sz="0" w:space="0" w:color="auto"/>
            <w:left w:val="none" w:sz="0" w:space="0" w:color="auto"/>
            <w:bottom w:val="none" w:sz="0" w:space="0" w:color="auto"/>
            <w:right w:val="none" w:sz="0" w:space="0" w:color="auto"/>
          </w:divBdr>
        </w:div>
        <w:div w:id="1696927911">
          <w:marLeft w:val="1166"/>
          <w:marRight w:val="0"/>
          <w:marTop w:val="96"/>
          <w:marBottom w:val="0"/>
          <w:divBdr>
            <w:top w:val="none" w:sz="0" w:space="0" w:color="auto"/>
            <w:left w:val="none" w:sz="0" w:space="0" w:color="auto"/>
            <w:bottom w:val="none" w:sz="0" w:space="0" w:color="auto"/>
            <w:right w:val="none" w:sz="0" w:space="0" w:color="auto"/>
          </w:divBdr>
        </w:div>
        <w:div w:id="1619682374">
          <w:marLeft w:val="547"/>
          <w:marRight w:val="0"/>
          <w:marTop w:val="115"/>
          <w:marBottom w:val="0"/>
          <w:divBdr>
            <w:top w:val="none" w:sz="0" w:space="0" w:color="auto"/>
            <w:left w:val="none" w:sz="0" w:space="0" w:color="auto"/>
            <w:bottom w:val="none" w:sz="0" w:space="0" w:color="auto"/>
            <w:right w:val="none" w:sz="0" w:space="0" w:color="auto"/>
          </w:divBdr>
        </w:div>
        <w:div w:id="1919632579">
          <w:marLeft w:val="1166"/>
          <w:marRight w:val="0"/>
          <w:marTop w:val="96"/>
          <w:marBottom w:val="0"/>
          <w:divBdr>
            <w:top w:val="none" w:sz="0" w:space="0" w:color="auto"/>
            <w:left w:val="none" w:sz="0" w:space="0" w:color="auto"/>
            <w:bottom w:val="none" w:sz="0" w:space="0" w:color="auto"/>
            <w:right w:val="none" w:sz="0" w:space="0" w:color="auto"/>
          </w:divBdr>
        </w:div>
        <w:div w:id="1331181682">
          <w:marLeft w:val="1166"/>
          <w:marRight w:val="0"/>
          <w:marTop w:val="96"/>
          <w:marBottom w:val="0"/>
          <w:divBdr>
            <w:top w:val="none" w:sz="0" w:space="0" w:color="auto"/>
            <w:left w:val="none" w:sz="0" w:space="0" w:color="auto"/>
            <w:bottom w:val="none" w:sz="0" w:space="0" w:color="auto"/>
            <w:right w:val="none" w:sz="0" w:space="0" w:color="auto"/>
          </w:divBdr>
        </w:div>
        <w:div w:id="1595823426">
          <w:marLeft w:val="547"/>
          <w:marRight w:val="0"/>
          <w:marTop w:val="115"/>
          <w:marBottom w:val="0"/>
          <w:divBdr>
            <w:top w:val="none" w:sz="0" w:space="0" w:color="auto"/>
            <w:left w:val="none" w:sz="0" w:space="0" w:color="auto"/>
            <w:bottom w:val="none" w:sz="0" w:space="0" w:color="auto"/>
            <w:right w:val="none" w:sz="0" w:space="0" w:color="auto"/>
          </w:divBdr>
        </w:div>
        <w:div w:id="2055153798">
          <w:marLeft w:val="1166"/>
          <w:marRight w:val="0"/>
          <w:marTop w:val="96"/>
          <w:marBottom w:val="0"/>
          <w:divBdr>
            <w:top w:val="none" w:sz="0" w:space="0" w:color="auto"/>
            <w:left w:val="none" w:sz="0" w:space="0" w:color="auto"/>
            <w:bottom w:val="none" w:sz="0" w:space="0" w:color="auto"/>
            <w:right w:val="none" w:sz="0" w:space="0" w:color="auto"/>
          </w:divBdr>
        </w:div>
        <w:div w:id="567693612">
          <w:marLeft w:val="1166"/>
          <w:marRight w:val="0"/>
          <w:marTop w:val="96"/>
          <w:marBottom w:val="0"/>
          <w:divBdr>
            <w:top w:val="none" w:sz="0" w:space="0" w:color="auto"/>
            <w:left w:val="none" w:sz="0" w:space="0" w:color="auto"/>
            <w:bottom w:val="none" w:sz="0" w:space="0" w:color="auto"/>
            <w:right w:val="none" w:sz="0" w:space="0" w:color="auto"/>
          </w:divBdr>
        </w:div>
      </w:divsChild>
    </w:div>
    <w:div w:id="1102993590">
      <w:bodyDiv w:val="1"/>
      <w:marLeft w:val="0"/>
      <w:marRight w:val="0"/>
      <w:marTop w:val="0"/>
      <w:marBottom w:val="0"/>
      <w:divBdr>
        <w:top w:val="none" w:sz="0" w:space="0" w:color="auto"/>
        <w:left w:val="none" w:sz="0" w:space="0" w:color="auto"/>
        <w:bottom w:val="none" w:sz="0" w:space="0" w:color="auto"/>
        <w:right w:val="none" w:sz="0" w:space="0" w:color="auto"/>
      </w:divBdr>
      <w:divsChild>
        <w:div w:id="797720218">
          <w:marLeft w:val="0"/>
          <w:marRight w:val="0"/>
          <w:marTop w:val="0"/>
          <w:marBottom w:val="240"/>
          <w:divBdr>
            <w:top w:val="none" w:sz="0" w:space="0" w:color="auto"/>
            <w:left w:val="none" w:sz="0" w:space="0" w:color="auto"/>
            <w:bottom w:val="none" w:sz="0" w:space="0" w:color="auto"/>
            <w:right w:val="none" w:sz="0" w:space="0" w:color="auto"/>
          </w:divBdr>
          <w:divsChild>
            <w:div w:id="826020693">
              <w:marLeft w:val="0"/>
              <w:marRight w:val="0"/>
              <w:marTop w:val="0"/>
              <w:marBottom w:val="0"/>
              <w:divBdr>
                <w:top w:val="none" w:sz="0" w:space="0" w:color="auto"/>
                <w:left w:val="none" w:sz="0" w:space="0" w:color="auto"/>
                <w:bottom w:val="none" w:sz="0" w:space="0" w:color="auto"/>
                <w:right w:val="none" w:sz="0" w:space="0" w:color="auto"/>
              </w:divBdr>
            </w:div>
          </w:divsChild>
        </w:div>
        <w:div w:id="20513957">
          <w:marLeft w:val="0"/>
          <w:marRight w:val="0"/>
          <w:marTop w:val="0"/>
          <w:marBottom w:val="0"/>
          <w:divBdr>
            <w:top w:val="none" w:sz="0" w:space="0" w:color="auto"/>
            <w:left w:val="none" w:sz="0" w:space="0" w:color="auto"/>
            <w:bottom w:val="none" w:sz="0" w:space="0" w:color="auto"/>
            <w:right w:val="none" w:sz="0" w:space="0" w:color="auto"/>
          </w:divBdr>
          <w:divsChild>
            <w:div w:id="1649482698">
              <w:marLeft w:val="0"/>
              <w:marRight w:val="0"/>
              <w:marTop w:val="0"/>
              <w:marBottom w:val="0"/>
              <w:divBdr>
                <w:top w:val="none" w:sz="0" w:space="0" w:color="auto"/>
                <w:left w:val="none" w:sz="0" w:space="0" w:color="auto"/>
                <w:bottom w:val="none" w:sz="0" w:space="0" w:color="auto"/>
                <w:right w:val="none" w:sz="0" w:space="0" w:color="auto"/>
              </w:divBdr>
              <w:divsChild>
                <w:div w:id="877201958">
                  <w:marLeft w:val="1740"/>
                  <w:marRight w:val="0"/>
                  <w:marTop w:val="0"/>
                  <w:marBottom w:val="240"/>
                  <w:divBdr>
                    <w:top w:val="none" w:sz="0" w:space="0" w:color="auto"/>
                    <w:left w:val="none" w:sz="0" w:space="0" w:color="auto"/>
                    <w:bottom w:val="none" w:sz="0" w:space="0" w:color="auto"/>
                    <w:right w:val="none" w:sz="0" w:space="0" w:color="auto"/>
                  </w:divBdr>
                </w:div>
              </w:divsChild>
            </w:div>
            <w:div w:id="898440221">
              <w:marLeft w:val="0"/>
              <w:marRight w:val="0"/>
              <w:marTop w:val="0"/>
              <w:marBottom w:val="0"/>
              <w:divBdr>
                <w:top w:val="none" w:sz="0" w:space="0" w:color="auto"/>
                <w:left w:val="none" w:sz="0" w:space="0" w:color="auto"/>
                <w:bottom w:val="none" w:sz="0" w:space="0" w:color="auto"/>
                <w:right w:val="none" w:sz="0" w:space="0" w:color="auto"/>
              </w:divBdr>
              <w:divsChild>
                <w:div w:id="734275998">
                  <w:marLeft w:val="1740"/>
                  <w:marRight w:val="0"/>
                  <w:marTop w:val="0"/>
                  <w:marBottom w:val="240"/>
                  <w:divBdr>
                    <w:top w:val="none" w:sz="0" w:space="0" w:color="auto"/>
                    <w:left w:val="none" w:sz="0" w:space="0" w:color="auto"/>
                    <w:bottom w:val="none" w:sz="0" w:space="0" w:color="auto"/>
                    <w:right w:val="none" w:sz="0" w:space="0" w:color="auto"/>
                  </w:divBdr>
                </w:div>
              </w:divsChild>
            </w:div>
            <w:div w:id="831216209">
              <w:marLeft w:val="0"/>
              <w:marRight w:val="0"/>
              <w:marTop w:val="0"/>
              <w:marBottom w:val="0"/>
              <w:divBdr>
                <w:top w:val="none" w:sz="0" w:space="0" w:color="auto"/>
                <w:left w:val="none" w:sz="0" w:space="0" w:color="auto"/>
                <w:bottom w:val="none" w:sz="0" w:space="0" w:color="auto"/>
                <w:right w:val="none" w:sz="0" w:space="0" w:color="auto"/>
              </w:divBdr>
              <w:divsChild>
                <w:div w:id="45660522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9904512">
      <w:bodyDiv w:val="1"/>
      <w:marLeft w:val="0"/>
      <w:marRight w:val="0"/>
      <w:marTop w:val="0"/>
      <w:marBottom w:val="0"/>
      <w:divBdr>
        <w:top w:val="none" w:sz="0" w:space="0" w:color="auto"/>
        <w:left w:val="none" w:sz="0" w:space="0" w:color="auto"/>
        <w:bottom w:val="none" w:sz="0" w:space="0" w:color="auto"/>
        <w:right w:val="none" w:sz="0" w:space="0" w:color="auto"/>
      </w:divBdr>
    </w:div>
    <w:div w:id="1529105935">
      <w:bodyDiv w:val="1"/>
      <w:marLeft w:val="0"/>
      <w:marRight w:val="0"/>
      <w:marTop w:val="0"/>
      <w:marBottom w:val="0"/>
      <w:divBdr>
        <w:top w:val="none" w:sz="0" w:space="0" w:color="auto"/>
        <w:left w:val="none" w:sz="0" w:space="0" w:color="auto"/>
        <w:bottom w:val="none" w:sz="0" w:space="0" w:color="auto"/>
        <w:right w:val="none" w:sz="0" w:space="0" w:color="auto"/>
      </w:divBdr>
      <w:divsChild>
        <w:div w:id="1894998205">
          <w:marLeft w:val="547"/>
          <w:marRight w:val="0"/>
          <w:marTop w:val="125"/>
          <w:marBottom w:val="0"/>
          <w:divBdr>
            <w:top w:val="none" w:sz="0" w:space="0" w:color="auto"/>
            <w:left w:val="none" w:sz="0" w:space="0" w:color="auto"/>
            <w:bottom w:val="none" w:sz="0" w:space="0" w:color="auto"/>
            <w:right w:val="none" w:sz="0" w:space="0" w:color="auto"/>
          </w:divBdr>
        </w:div>
        <w:div w:id="457451524">
          <w:marLeft w:val="1166"/>
          <w:marRight w:val="0"/>
          <w:marTop w:val="96"/>
          <w:marBottom w:val="0"/>
          <w:divBdr>
            <w:top w:val="none" w:sz="0" w:space="0" w:color="auto"/>
            <w:left w:val="none" w:sz="0" w:space="0" w:color="auto"/>
            <w:bottom w:val="none" w:sz="0" w:space="0" w:color="auto"/>
            <w:right w:val="none" w:sz="0" w:space="0" w:color="auto"/>
          </w:divBdr>
        </w:div>
        <w:div w:id="242841338">
          <w:marLeft w:val="1166"/>
          <w:marRight w:val="0"/>
          <w:marTop w:val="96"/>
          <w:marBottom w:val="0"/>
          <w:divBdr>
            <w:top w:val="none" w:sz="0" w:space="0" w:color="auto"/>
            <w:left w:val="none" w:sz="0" w:space="0" w:color="auto"/>
            <w:bottom w:val="none" w:sz="0" w:space="0" w:color="auto"/>
            <w:right w:val="none" w:sz="0" w:space="0" w:color="auto"/>
          </w:divBdr>
        </w:div>
        <w:div w:id="1520850066">
          <w:marLeft w:val="1166"/>
          <w:marRight w:val="0"/>
          <w:marTop w:val="96"/>
          <w:marBottom w:val="0"/>
          <w:divBdr>
            <w:top w:val="none" w:sz="0" w:space="0" w:color="auto"/>
            <w:left w:val="none" w:sz="0" w:space="0" w:color="auto"/>
            <w:bottom w:val="none" w:sz="0" w:space="0" w:color="auto"/>
            <w:right w:val="none" w:sz="0" w:space="0" w:color="auto"/>
          </w:divBdr>
        </w:div>
        <w:div w:id="302780644">
          <w:marLeft w:val="547"/>
          <w:marRight w:val="0"/>
          <w:marTop w:val="106"/>
          <w:marBottom w:val="0"/>
          <w:divBdr>
            <w:top w:val="none" w:sz="0" w:space="0" w:color="auto"/>
            <w:left w:val="none" w:sz="0" w:space="0" w:color="auto"/>
            <w:bottom w:val="none" w:sz="0" w:space="0" w:color="auto"/>
            <w:right w:val="none" w:sz="0" w:space="0" w:color="auto"/>
          </w:divBdr>
        </w:div>
        <w:div w:id="1464152338">
          <w:marLeft w:val="1166"/>
          <w:marRight w:val="0"/>
          <w:marTop w:val="96"/>
          <w:marBottom w:val="0"/>
          <w:divBdr>
            <w:top w:val="none" w:sz="0" w:space="0" w:color="auto"/>
            <w:left w:val="none" w:sz="0" w:space="0" w:color="auto"/>
            <w:bottom w:val="none" w:sz="0" w:space="0" w:color="auto"/>
            <w:right w:val="none" w:sz="0" w:space="0" w:color="auto"/>
          </w:divBdr>
        </w:div>
        <w:div w:id="669873760">
          <w:marLeft w:val="1166"/>
          <w:marRight w:val="0"/>
          <w:marTop w:val="96"/>
          <w:marBottom w:val="0"/>
          <w:divBdr>
            <w:top w:val="none" w:sz="0" w:space="0" w:color="auto"/>
            <w:left w:val="none" w:sz="0" w:space="0" w:color="auto"/>
            <w:bottom w:val="none" w:sz="0" w:space="0" w:color="auto"/>
            <w:right w:val="none" w:sz="0" w:space="0" w:color="auto"/>
          </w:divBdr>
        </w:div>
        <w:div w:id="861481345">
          <w:marLeft w:val="547"/>
          <w:marRight w:val="0"/>
          <w:marTop w:val="125"/>
          <w:marBottom w:val="0"/>
          <w:divBdr>
            <w:top w:val="none" w:sz="0" w:space="0" w:color="auto"/>
            <w:left w:val="none" w:sz="0" w:space="0" w:color="auto"/>
            <w:bottom w:val="none" w:sz="0" w:space="0" w:color="auto"/>
            <w:right w:val="none" w:sz="0" w:space="0" w:color="auto"/>
          </w:divBdr>
        </w:div>
        <w:div w:id="2095739059">
          <w:marLeft w:val="1166"/>
          <w:marRight w:val="0"/>
          <w:marTop w:val="96"/>
          <w:marBottom w:val="0"/>
          <w:divBdr>
            <w:top w:val="none" w:sz="0" w:space="0" w:color="auto"/>
            <w:left w:val="none" w:sz="0" w:space="0" w:color="auto"/>
            <w:bottom w:val="none" w:sz="0" w:space="0" w:color="auto"/>
            <w:right w:val="none" w:sz="0" w:space="0" w:color="auto"/>
          </w:divBdr>
        </w:div>
        <w:div w:id="1530070666">
          <w:marLeft w:val="1166"/>
          <w:marRight w:val="0"/>
          <w:marTop w:val="96"/>
          <w:marBottom w:val="0"/>
          <w:divBdr>
            <w:top w:val="none" w:sz="0" w:space="0" w:color="auto"/>
            <w:left w:val="none" w:sz="0" w:space="0" w:color="auto"/>
            <w:bottom w:val="none" w:sz="0" w:space="0" w:color="auto"/>
            <w:right w:val="none" w:sz="0" w:space="0" w:color="auto"/>
          </w:divBdr>
        </w:div>
      </w:divsChild>
    </w:div>
    <w:div w:id="1876575574">
      <w:bodyDiv w:val="1"/>
      <w:marLeft w:val="0"/>
      <w:marRight w:val="0"/>
      <w:marTop w:val="0"/>
      <w:marBottom w:val="0"/>
      <w:divBdr>
        <w:top w:val="none" w:sz="0" w:space="0" w:color="auto"/>
        <w:left w:val="none" w:sz="0" w:space="0" w:color="auto"/>
        <w:bottom w:val="none" w:sz="0" w:space="0" w:color="auto"/>
        <w:right w:val="none" w:sz="0" w:space="0" w:color="auto"/>
      </w:divBdr>
    </w:div>
    <w:div w:id="1935045928">
      <w:bodyDiv w:val="1"/>
      <w:marLeft w:val="0"/>
      <w:marRight w:val="0"/>
      <w:marTop w:val="0"/>
      <w:marBottom w:val="0"/>
      <w:divBdr>
        <w:top w:val="none" w:sz="0" w:space="0" w:color="auto"/>
        <w:left w:val="none" w:sz="0" w:space="0" w:color="auto"/>
        <w:bottom w:val="none" w:sz="0" w:space="0" w:color="auto"/>
        <w:right w:val="none" w:sz="0" w:space="0" w:color="auto"/>
      </w:divBdr>
    </w:div>
    <w:div w:id="2007004588">
      <w:bodyDiv w:val="1"/>
      <w:marLeft w:val="0"/>
      <w:marRight w:val="0"/>
      <w:marTop w:val="0"/>
      <w:marBottom w:val="0"/>
      <w:divBdr>
        <w:top w:val="none" w:sz="0" w:space="0" w:color="auto"/>
        <w:left w:val="none" w:sz="0" w:space="0" w:color="auto"/>
        <w:bottom w:val="none" w:sz="0" w:space="0" w:color="auto"/>
        <w:right w:val="none" w:sz="0" w:space="0" w:color="auto"/>
      </w:divBdr>
      <w:divsChild>
        <w:div w:id="656686217">
          <w:marLeft w:val="547"/>
          <w:marRight w:val="0"/>
          <w:marTop w:val="91"/>
          <w:marBottom w:val="0"/>
          <w:divBdr>
            <w:top w:val="none" w:sz="0" w:space="0" w:color="auto"/>
            <w:left w:val="none" w:sz="0" w:space="0" w:color="auto"/>
            <w:bottom w:val="none" w:sz="0" w:space="0" w:color="auto"/>
            <w:right w:val="none" w:sz="0" w:space="0" w:color="auto"/>
          </w:divBdr>
        </w:div>
        <w:div w:id="1600144078">
          <w:marLeft w:val="1166"/>
          <w:marRight w:val="0"/>
          <w:marTop w:val="86"/>
          <w:marBottom w:val="0"/>
          <w:divBdr>
            <w:top w:val="none" w:sz="0" w:space="0" w:color="auto"/>
            <w:left w:val="none" w:sz="0" w:space="0" w:color="auto"/>
            <w:bottom w:val="none" w:sz="0" w:space="0" w:color="auto"/>
            <w:right w:val="none" w:sz="0" w:space="0" w:color="auto"/>
          </w:divBdr>
        </w:div>
        <w:div w:id="745540964">
          <w:marLeft w:val="1166"/>
          <w:marRight w:val="0"/>
          <w:marTop w:val="86"/>
          <w:marBottom w:val="0"/>
          <w:divBdr>
            <w:top w:val="none" w:sz="0" w:space="0" w:color="auto"/>
            <w:left w:val="none" w:sz="0" w:space="0" w:color="auto"/>
            <w:bottom w:val="none" w:sz="0" w:space="0" w:color="auto"/>
            <w:right w:val="none" w:sz="0" w:space="0" w:color="auto"/>
          </w:divBdr>
        </w:div>
        <w:div w:id="2145611889">
          <w:marLeft w:val="547"/>
          <w:marRight w:val="0"/>
          <w:marTop w:val="91"/>
          <w:marBottom w:val="0"/>
          <w:divBdr>
            <w:top w:val="none" w:sz="0" w:space="0" w:color="auto"/>
            <w:left w:val="none" w:sz="0" w:space="0" w:color="auto"/>
            <w:bottom w:val="none" w:sz="0" w:space="0" w:color="auto"/>
            <w:right w:val="none" w:sz="0" w:space="0" w:color="auto"/>
          </w:divBdr>
        </w:div>
        <w:div w:id="1749961724">
          <w:marLeft w:val="1166"/>
          <w:marRight w:val="0"/>
          <w:marTop w:val="86"/>
          <w:marBottom w:val="0"/>
          <w:divBdr>
            <w:top w:val="none" w:sz="0" w:space="0" w:color="auto"/>
            <w:left w:val="none" w:sz="0" w:space="0" w:color="auto"/>
            <w:bottom w:val="none" w:sz="0" w:space="0" w:color="auto"/>
            <w:right w:val="none" w:sz="0" w:space="0" w:color="auto"/>
          </w:divBdr>
        </w:div>
        <w:div w:id="39982023">
          <w:marLeft w:val="1166"/>
          <w:marRight w:val="0"/>
          <w:marTop w:val="86"/>
          <w:marBottom w:val="0"/>
          <w:divBdr>
            <w:top w:val="none" w:sz="0" w:space="0" w:color="auto"/>
            <w:left w:val="none" w:sz="0" w:space="0" w:color="auto"/>
            <w:bottom w:val="none" w:sz="0" w:space="0" w:color="auto"/>
            <w:right w:val="none" w:sz="0" w:space="0" w:color="auto"/>
          </w:divBdr>
        </w:div>
        <w:div w:id="683746416">
          <w:marLeft w:val="1166"/>
          <w:marRight w:val="0"/>
          <w:marTop w:val="86"/>
          <w:marBottom w:val="0"/>
          <w:divBdr>
            <w:top w:val="none" w:sz="0" w:space="0" w:color="auto"/>
            <w:left w:val="none" w:sz="0" w:space="0" w:color="auto"/>
            <w:bottom w:val="none" w:sz="0" w:space="0" w:color="auto"/>
            <w:right w:val="none" w:sz="0" w:space="0" w:color="auto"/>
          </w:divBdr>
        </w:div>
        <w:div w:id="1208420807">
          <w:marLeft w:val="547"/>
          <w:marRight w:val="0"/>
          <w:marTop w:val="91"/>
          <w:marBottom w:val="0"/>
          <w:divBdr>
            <w:top w:val="none" w:sz="0" w:space="0" w:color="auto"/>
            <w:left w:val="none" w:sz="0" w:space="0" w:color="auto"/>
            <w:bottom w:val="none" w:sz="0" w:space="0" w:color="auto"/>
            <w:right w:val="none" w:sz="0" w:space="0" w:color="auto"/>
          </w:divBdr>
        </w:div>
        <w:div w:id="437481199">
          <w:marLeft w:val="1166"/>
          <w:marRight w:val="0"/>
          <w:marTop w:val="86"/>
          <w:marBottom w:val="0"/>
          <w:divBdr>
            <w:top w:val="none" w:sz="0" w:space="0" w:color="auto"/>
            <w:left w:val="none" w:sz="0" w:space="0" w:color="auto"/>
            <w:bottom w:val="none" w:sz="0" w:space="0" w:color="auto"/>
            <w:right w:val="none" w:sz="0" w:space="0" w:color="auto"/>
          </w:divBdr>
        </w:div>
        <w:div w:id="1900818499">
          <w:marLeft w:val="1166"/>
          <w:marRight w:val="0"/>
          <w:marTop w:val="86"/>
          <w:marBottom w:val="0"/>
          <w:divBdr>
            <w:top w:val="none" w:sz="0" w:space="0" w:color="auto"/>
            <w:left w:val="none" w:sz="0" w:space="0" w:color="auto"/>
            <w:bottom w:val="none" w:sz="0" w:space="0" w:color="auto"/>
            <w:right w:val="none" w:sz="0" w:space="0" w:color="auto"/>
          </w:divBdr>
        </w:div>
        <w:div w:id="99836824">
          <w:marLeft w:val="547"/>
          <w:marRight w:val="0"/>
          <w:marTop w:val="91"/>
          <w:marBottom w:val="0"/>
          <w:divBdr>
            <w:top w:val="none" w:sz="0" w:space="0" w:color="auto"/>
            <w:left w:val="none" w:sz="0" w:space="0" w:color="auto"/>
            <w:bottom w:val="none" w:sz="0" w:space="0" w:color="auto"/>
            <w:right w:val="none" w:sz="0" w:space="0" w:color="auto"/>
          </w:divBdr>
        </w:div>
        <w:div w:id="1772893042">
          <w:marLeft w:val="1166"/>
          <w:marRight w:val="0"/>
          <w:marTop w:val="86"/>
          <w:marBottom w:val="0"/>
          <w:divBdr>
            <w:top w:val="none" w:sz="0" w:space="0" w:color="auto"/>
            <w:left w:val="none" w:sz="0" w:space="0" w:color="auto"/>
            <w:bottom w:val="none" w:sz="0" w:space="0" w:color="auto"/>
            <w:right w:val="none" w:sz="0" w:space="0" w:color="auto"/>
          </w:divBdr>
        </w:div>
        <w:div w:id="625964119">
          <w:marLeft w:val="1166"/>
          <w:marRight w:val="0"/>
          <w:marTop w:val="86"/>
          <w:marBottom w:val="0"/>
          <w:divBdr>
            <w:top w:val="none" w:sz="0" w:space="0" w:color="auto"/>
            <w:left w:val="none" w:sz="0" w:space="0" w:color="auto"/>
            <w:bottom w:val="none" w:sz="0" w:space="0" w:color="auto"/>
            <w:right w:val="none" w:sz="0" w:space="0" w:color="auto"/>
          </w:divBdr>
        </w:div>
        <w:div w:id="620457139">
          <w:marLeft w:val="547"/>
          <w:marRight w:val="0"/>
          <w:marTop w:val="91"/>
          <w:marBottom w:val="0"/>
          <w:divBdr>
            <w:top w:val="none" w:sz="0" w:space="0" w:color="auto"/>
            <w:left w:val="none" w:sz="0" w:space="0" w:color="auto"/>
            <w:bottom w:val="none" w:sz="0" w:space="0" w:color="auto"/>
            <w:right w:val="none" w:sz="0" w:space="0" w:color="auto"/>
          </w:divBdr>
        </w:div>
        <w:div w:id="27809987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nber.org/chapters/c0098" TargetMode="External"/><Relationship Id="rId26" Type="http://schemas.openxmlformats.org/officeDocument/2006/relationships/hyperlink" Target="https://www.factcheck.org/2018/06/is-illegal-immigration-linked-to-more-or-less-crime/" TargetMode="External"/><Relationship Id="rId3" Type="http://schemas.openxmlformats.org/officeDocument/2006/relationships/styles" Target="styles.xml"/><Relationship Id="rId21" Type="http://schemas.openxmlformats.org/officeDocument/2006/relationships/hyperlink" Target="https://www.cbo.gov/publication/5657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www.justice.gov/eoir/file/1216991/downloa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srcd.org/sites/default/files/resources/FINAL_The%20Science%20is%20Clear_0.pdf" TargetMode="External"/><Relationship Id="rId29" Type="http://schemas.openxmlformats.org/officeDocument/2006/relationships/hyperlink" Target="https://www.whitehouse.gov/briefing-room/presidential-actions/2021/01/20/modernizing-regulatory-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ice.gov/detain/detention-manage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dhs.gov/sites/default/files/publications/CBP%20-%20Search%20and%20Rescue%20Efforts%20for%202016.pdf" TargetMode="External"/><Relationship Id="rId28" Type="http://schemas.openxmlformats.org/officeDocument/2006/relationships/hyperlink" Target="https://www.unodc.org/unodc/en/data-and-analysis/statistics/drug-trafficking.html" TargetMode="External"/><Relationship Id="rId10" Type="http://schemas.openxmlformats.org/officeDocument/2006/relationships/image" Target="media/image2.emf"/><Relationship Id="rId19" Type="http://schemas.openxmlformats.org/officeDocument/2006/relationships/hyperlink" Target="http://www.nber.org/books/borj06-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s://www.cbp.gov/newsroom/stats/cbp-enforcement-statistics-fy2018" TargetMode="External"/><Relationship Id="rId27" Type="http://schemas.openxmlformats.org/officeDocument/2006/relationships/hyperlink" Target="https://humaneborders.org/migrant-death-mappin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farrow@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CEBD-90B2-4CA8-9C65-5BCDB1CA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10394</Words>
  <Characters>59246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Detlof Winterfeldt</dc:creator>
  <cp:keywords/>
  <dc:description/>
  <cp:lastModifiedBy>Scott Farrow</cp:lastModifiedBy>
  <cp:revision>2</cp:revision>
  <cp:lastPrinted>2022-08-05T13:15:00Z</cp:lastPrinted>
  <dcterms:created xsi:type="dcterms:W3CDTF">2022-09-07T21:04:00Z</dcterms:created>
  <dcterms:modified xsi:type="dcterms:W3CDTF">2022-09-07T21:04:00Z</dcterms:modified>
</cp:coreProperties>
</file>