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637A" w14:textId="77777777" w:rsidR="00B60C8F" w:rsidRDefault="00B60C8F" w:rsidP="00B60C8F">
      <w:pPr>
        <w:jc w:val="center"/>
        <w:rPr>
          <w:rFonts w:cs="Times New Roman"/>
          <w:sz w:val="32"/>
          <w:szCs w:val="32"/>
        </w:rPr>
      </w:pPr>
    </w:p>
    <w:p w14:paraId="204B21AE" w14:textId="796103C8" w:rsidR="00B60C8F" w:rsidRDefault="00B60C8F" w:rsidP="00C36FD0">
      <w:pPr>
        <w:jc w:val="center"/>
        <w:rPr>
          <w:rFonts w:cs="Times New Roman"/>
          <w:sz w:val="32"/>
          <w:szCs w:val="32"/>
        </w:rPr>
      </w:pPr>
    </w:p>
    <w:p w14:paraId="19DB011A" w14:textId="77777777" w:rsidR="00B60C8F" w:rsidRPr="004C757C" w:rsidRDefault="00B60C8F" w:rsidP="00C36FD0">
      <w:pPr>
        <w:jc w:val="center"/>
        <w:rPr>
          <w:rFonts w:cs="Times New Roman"/>
          <w:sz w:val="32"/>
          <w:szCs w:val="32"/>
        </w:rPr>
      </w:pPr>
    </w:p>
    <w:p w14:paraId="5B775C19" w14:textId="6180678B" w:rsidR="00B60C8F" w:rsidRPr="0026798A" w:rsidRDefault="00B60C8F" w:rsidP="00B60C8F">
      <w:pPr>
        <w:jc w:val="center"/>
        <w:rPr>
          <w:rFonts w:cs="Times New Roman"/>
          <w:sz w:val="44"/>
        </w:rPr>
      </w:pPr>
      <w:bookmarkStart w:id="0" w:name="_GoBack"/>
      <w:bookmarkEnd w:id="0"/>
      <w:r>
        <w:rPr>
          <w:rFonts w:cs="Times New Roman"/>
          <w:sz w:val="44"/>
        </w:rPr>
        <w:t>Online Appendices for “</w:t>
      </w:r>
      <w:r w:rsidRPr="0026798A">
        <w:rPr>
          <w:rFonts w:cs="Times New Roman"/>
          <w:sz w:val="44"/>
        </w:rPr>
        <w:t xml:space="preserve">The Effect of </w:t>
      </w:r>
      <w:r>
        <w:rPr>
          <w:rFonts w:cs="Times New Roman"/>
          <w:sz w:val="44"/>
        </w:rPr>
        <w:t>Regulatory</w:t>
      </w:r>
      <w:r w:rsidRPr="0026798A">
        <w:rPr>
          <w:rFonts w:cs="Times New Roman"/>
          <w:sz w:val="44"/>
        </w:rPr>
        <w:t xml:space="preserve"> Oversight on Nonbank Mortgage Subsidiaries</w:t>
      </w:r>
      <w:r>
        <w:rPr>
          <w:rFonts w:cs="Times New Roman"/>
          <w:sz w:val="44"/>
        </w:rPr>
        <w:t>”</w:t>
      </w:r>
      <w:r w:rsidRPr="0026798A">
        <w:rPr>
          <w:rStyle w:val="FootnoteReference"/>
          <w:rFonts w:cs="Times New Roman"/>
          <w:sz w:val="44"/>
        </w:rPr>
        <w:footnoteReference w:id="1"/>
      </w:r>
    </w:p>
    <w:p w14:paraId="7E55D645" w14:textId="2AA143B9" w:rsidR="00B60C8F" w:rsidRDefault="00B60C8F" w:rsidP="00B60C8F">
      <w:pPr>
        <w:jc w:val="center"/>
        <w:rPr>
          <w:rFonts w:cs="Times New Roman"/>
          <w:sz w:val="24"/>
          <w:szCs w:val="24"/>
        </w:rPr>
      </w:pPr>
    </w:p>
    <w:p w14:paraId="07AFCEED" w14:textId="77777777" w:rsidR="00B60C8F" w:rsidRPr="00D004E5" w:rsidRDefault="00B60C8F" w:rsidP="00B60C8F">
      <w:pPr>
        <w:jc w:val="cente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2342"/>
        <w:gridCol w:w="2300"/>
        <w:gridCol w:w="2664"/>
      </w:tblGrid>
      <w:tr w:rsidR="00B60C8F" w14:paraId="3CB09598" w14:textId="77777777" w:rsidTr="008A3270">
        <w:tc>
          <w:tcPr>
            <w:tcW w:w="0" w:type="auto"/>
          </w:tcPr>
          <w:p w14:paraId="3E0A0203" w14:textId="77777777" w:rsidR="00B60C8F" w:rsidRPr="004277BC" w:rsidRDefault="00B60C8F" w:rsidP="008A3270">
            <w:pPr>
              <w:jc w:val="center"/>
              <w:rPr>
                <w:rFonts w:cs="Times New Roman"/>
                <w:sz w:val="24"/>
                <w:szCs w:val="24"/>
              </w:rPr>
            </w:pPr>
            <w:r w:rsidRPr="004277BC">
              <w:rPr>
                <w:rFonts w:cs="Times New Roman"/>
                <w:sz w:val="24"/>
                <w:szCs w:val="24"/>
              </w:rPr>
              <w:t>Eliana Balla</w:t>
            </w:r>
          </w:p>
          <w:p w14:paraId="20FC0B21" w14:textId="77777777" w:rsidR="00B60C8F" w:rsidRPr="004277BC" w:rsidRDefault="00B60C8F" w:rsidP="008A3270">
            <w:pPr>
              <w:jc w:val="center"/>
              <w:rPr>
                <w:rFonts w:cs="Times New Roman"/>
                <w:sz w:val="24"/>
                <w:szCs w:val="24"/>
              </w:rPr>
            </w:pPr>
            <w:r w:rsidRPr="004277BC">
              <w:rPr>
                <w:rFonts w:cs="Times New Roman"/>
                <w:sz w:val="24"/>
                <w:szCs w:val="24"/>
              </w:rPr>
              <w:t>Federal Reserve Bank of Richmond</w:t>
            </w:r>
          </w:p>
        </w:tc>
        <w:tc>
          <w:tcPr>
            <w:tcW w:w="0" w:type="auto"/>
          </w:tcPr>
          <w:p w14:paraId="0043A2E5" w14:textId="77777777" w:rsidR="00B60C8F" w:rsidRPr="004277BC" w:rsidRDefault="00B60C8F" w:rsidP="008A3270">
            <w:pPr>
              <w:jc w:val="center"/>
              <w:rPr>
                <w:rFonts w:cs="Times New Roman"/>
                <w:sz w:val="24"/>
                <w:szCs w:val="24"/>
              </w:rPr>
            </w:pPr>
            <w:r w:rsidRPr="004277BC">
              <w:rPr>
                <w:rFonts w:cs="Times New Roman"/>
                <w:sz w:val="24"/>
                <w:szCs w:val="24"/>
              </w:rPr>
              <w:t>Raymond Brastow</w:t>
            </w:r>
          </w:p>
          <w:p w14:paraId="3DCCDD9E" w14:textId="77777777" w:rsidR="00B60C8F" w:rsidRPr="004277BC" w:rsidRDefault="00B60C8F" w:rsidP="008A3270">
            <w:pPr>
              <w:jc w:val="center"/>
              <w:rPr>
                <w:rFonts w:cs="Times New Roman"/>
                <w:sz w:val="24"/>
                <w:szCs w:val="24"/>
              </w:rPr>
            </w:pPr>
            <w:r w:rsidRPr="004277BC">
              <w:rPr>
                <w:rFonts w:cs="Times New Roman"/>
                <w:sz w:val="24"/>
                <w:szCs w:val="24"/>
              </w:rPr>
              <w:t>Federal Reserve Bank of Richmond</w:t>
            </w:r>
          </w:p>
        </w:tc>
        <w:tc>
          <w:tcPr>
            <w:tcW w:w="0" w:type="auto"/>
          </w:tcPr>
          <w:p w14:paraId="775ED99A" w14:textId="77777777" w:rsidR="00B60C8F" w:rsidRPr="004277BC" w:rsidRDefault="00B60C8F" w:rsidP="008A3270">
            <w:pPr>
              <w:jc w:val="center"/>
              <w:rPr>
                <w:rFonts w:cs="Times New Roman"/>
                <w:sz w:val="24"/>
                <w:szCs w:val="24"/>
              </w:rPr>
            </w:pPr>
            <w:r>
              <w:rPr>
                <w:rFonts w:cs="Times New Roman"/>
                <w:sz w:val="24"/>
                <w:szCs w:val="24"/>
              </w:rPr>
              <w:t>Daniel</w:t>
            </w:r>
            <w:r w:rsidRPr="004277BC">
              <w:rPr>
                <w:rFonts w:cs="Times New Roman"/>
                <w:sz w:val="24"/>
                <w:szCs w:val="24"/>
              </w:rPr>
              <w:t xml:space="preserve"> Edgel</w:t>
            </w:r>
          </w:p>
          <w:p w14:paraId="0CCEE40E" w14:textId="77777777" w:rsidR="00B60C8F" w:rsidRPr="004277BC" w:rsidRDefault="00B60C8F" w:rsidP="008A3270">
            <w:pPr>
              <w:jc w:val="center"/>
              <w:rPr>
                <w:rFonts w:cs="Times New Roman"/>
                <w:sz w:val="24"/>
                <w:szCs w:val="24"/>
              </w:rPr>
            </w:pPr>
            <w:r>
              <w:rPr>
                <w:rFonts w:cs="Times New Roman"/>
                <w:sz w:val="24"/>
                <w:szCs w:val="24"/>
              </w:rPr>
              <w:t>University of Wisconsin-Madison</w:t>
            </w:r>
          </w:p>
        </w:tc>
        <w:tc>
          <w:tcPr>
            <w:tcW w:w="0" w:type="auto"/>
          </w:tcPr>
          <w:p w14:paraId="780FB158" w14:textId="77777777" w:rsidR="00B60C8F" w:rsidRPr="004277BC" w:rsidRDefault="00B60C8F" w:rsidP="008A3270">
            <w:pPr>
              <w:jc w:val="center"/>
              <w:rPr>
                <w:rFonts w:cs="Times New Roman"/>
                <w:sz w:val="24"/>
                <w:szCs w:val="24"/>
              </w:rPr>
            </w:pPr>
            <w:r w:rsidRPr="004277BC">
              <w:rPr>
                <w:rFonts w:cs="Times New Roman"/>
                <w:sz w:val="24"/>
                <w:szCs w:val="24"/>
              </w:rPr>
              <w:t>Morgan J. Rose</w:t>
            </w:r>
          </w:p>
          <w:p w14:paraId="0D136905" w14:textId="77777777" w:rsidR="00B60C8F" w:rsidRPr="004277BC" w:rsidRDefault="00B60C8F" w:rsidP="008A3270">
            <w:pPr>
              <w:jc w:val="center"/>
              <w:rPr>
                <w:rFonts w:cs="Times New Roman"/>
                <w:sz w:val="24"/>
                <w:szCs w:val="24"/>
              </w:rPr>
            </w:pPr>
            <w:r w:rsidRPr="004277BC">
              <w:rPr>
                <w:rFonts w:cs="Times New Roman"/>
                <w:sz w:val="24"/>
                <w:szCs w:val="24"/>
              </w:rPr>
              <w:t>University of Maryland, Baltimore County</w:t>
            </w:r>
          </w:p>
        </w:tc>
      </w:tr>
    </w:tbl>
    <w:p w14:paraId="5D67CB92" w14:textId="29022755" w:rsidR="00B60C8F" w:rsidRDefault="00B60C8F" w:rsidP="00B60C8F">
      <w:pPr>
        <w:spacing w:after="0" w:line="480" w:lineRule="auto"/>
        <w:contextualSpacing/>
        <w:rPr>
          <w:rFonts w:cs="Times New Roman"/>
        </w:rPr>
      </w:pPr>
    </w:p>
    <w:p w14:paraId="52ABA88B" w14:textId="77777777" w:rsidR="00B60C8F" w:rsidRDefault="00B60C8F" w:rsidP="00B60C8F">
      <w:pPr>
        <w:spacing w:after="0" w:line="480" w:lineRule="auto"/>
        <w:contextualSpacing/>
        <w:rPr>
          <w:rFonts w:cs="Times New Roman"/>
        </w:rPr>
      </w:pPr>
    </w:p>
    <w:p w14:paraId="71F99AB2" w14:textId="14F9401D" w:rsidR="00B60C8F" w:rsidRDefault="008C3A61" w:rsidP="00B60C8F">
      <w:pPr>
        <w:spacing w:after="0" w:line="480" w:lineRule="auto"/>
        <w:contextualSpacing/>
        <w:jc w:val="center"/>
        <w:rPr>
          <w:rFonts w:cs="Times New Roman"/>
        </w:rPr>
      </w:pPr>
      <w:r>
        <w:rPr>
          <w:rFonts w:cs="Times New Roman"/>
          <w:b/>
        </w:rPr>
        <w:t>July 24, 2022</w:t>
      </w:r>
    </w:p>
    <w:p w14:paraId="0FB085C5" w14:textId="77777777" w:rsidR="00B60C8F" w:rsidRDefault="00B60C8F" w:rsidP="00B60C8F">
      <w:pPr>
        <w:spacing w:after="0" w:line="480" w:lineRule="auto"/>
        <w:contextualSpacing/>
        <w:rPr>
          <w:rFonts w:cs="Times New Roman"/>
        </w:rPr>
      </w:pPr>
    </w:p>
    <w:p w14:paraId="593D802E" w14:textId="77777777" w:rsidR="00C36FD0" w:rsidRDefault="00C36FD0" w:rsidP="00C36FD0">
      <w:pPr>
        <w:jc w:val="center"/>
        <w:rPr>
          <w:rFonts w:cs="Times New Roman"/>
          <w:sz w:val="28"/>
        </w:rPr>
      </w:pPr>
    </w:p>
    <w:p w14:paraId="3D5045E7" w14:textId="77777777" w:rsidR="00B60C8F" w:rsidRDefault="00B60C8F" w:rsidP="00C36FD0">
      <w:pPr>
        <w:spacing w:after="0" w:line="480" w:lineRule="auto"/>
        <w:contextualSpacing/>
        <w:rPr>
          <w:rFonts w:cs="Times New Roman"/>
          <w:b/>
        </w:rPr>
        <w:sectPr w:rsidR="00B60C8F" w:rsidSect="00A02DF8">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1440" w:right="1296" w:bottom="1440" w:left="1296" w:header="720" w:footer="720" w:gutter="0"/>
          <w:cols w:space="720"/>
          <w:docGrid w:linePitch="360"/>
        </w:sectPr>
      </w:pPr>
    </w:p>
    <w:p w14:paraId="276B3AE1" w14:textId="658869D0" w:rsidR="00C36FD0" w:rsidRPr="006161CF" w:rsidRDefault="006161CF" w:rsidP="00C36FD0">
      <w:pPr>
        <w:spacing w:after="0" w:line="480" w:lineRule="auto"/>
        <w:contextualSpacing/>
        <w:rPr>
          <w:rFonts w:cs="Times New Roman"/>
          <w:b/>
        </w:rPr>
      </w:pPr>
      <w:r w:rsidRPr="006161CF">
        <w:rPr>
          <w:rFonts w:cs="Times New Roman"/>
          <w:b/>
        </w:rPr>
        <w:lastRenderedPageBreak/>
        <w:t xml:space="preserve">Appendix A – Prime and Subprime </w:t>
      </w:r>
      <w:r>
        <w:rPr>
          <w:rFonts w:cs="Times New Roman"/>
          <w:b/>
        </w:rPr>
        <w:t>Analysis</w:t>
      </w:r>
    </w:p>
    <w:p w14:paraId="57BE9F3B" w14:textId="77777777" w:rsidR="00B34F93" w:rsidRPr="006875E1" w:rsidRDefault="00B34F93" w:rsidP="004C757C">
      <w:pPr>
        <w:spacing w:after="0"/>
        <w:contextualSpacing/>
      </w:pPr>
    </w:p>
    <w:p w14:paraId="46EF7DF0" w14:textId="2FB81C54" w:rsidR="00314CF5" w:rsidRPr="004C757C" w:rsidRDefault="00455D29" w:rsidP="004C757C">
      <w:pPr>
        <w:spacing w:after="0" w:line="480" w:lineRule="auto"/>
        <w:contextualSpacing/>
      </w:pPr>
      <w:r>
        <w:tab/>
        <w:t>This document is an appendix to “</w:t>
      </w:r>
      <w:hyperlink r:id="rId14" w:history="1">
        <w:r w:rsidR="008C3A61" w:rsidRPr="008E04CE">
          <w:rPr>
            <w:rStyle w:val="Hyperlink"/>
          </w:rPr>
          <w:t>The Effect of Regulat</w:t>
        </w:r>
        <w:r w:rsidR="008C3A61" w:rsidRPr="008E04CE">
          <w:rPr>
            <w:rStyle w:val="Hyperlink"/>
          </w:rPr>
          <w:t>o</w:t>
        </w:r>
        <w:r w:rsidR="008C3A61" w:rsidRPr="008E04CE">
          <w:rPr>
            <w:rStyle w:val="Hyperlink"/>
          </w:rPr>
          <w:t>ry Oversight on Nonbank Mortgage Subsidiaries</w:t>
        </w:r>
      </w:hyperlink>
      <w:r>
        <w:t xml:space="preserve">” (henceforth “the main paper”), </w:t>
      </w:r>
      <w:r w:rsidR="008C3A61">
        <w:t xml:space="preserve">published in the </w:t>
      </w:r>
      <w:r w:rsidR="008C3A61" w:rsidRPr="008C3A61">
        <w:rPr>
          <w:i/>
        </w:rPr>
        <w:t>Journal of Real Estate Finance and Economics</w:t>
      </w:r>
      <w:r w:rsidR="008C3A61">
        <w:t>.  I</w:t>
      </w:r>
      <w:r>
        <w:t xml:space="preserve">n </w:t>
      </w:r>
      <w:r w:rsidR="008C3A61">
        <w:t>the main paper,</w:t>
      </w:r>
      <w:r>
        <w:t xml:space="preserve"> we analyze the performance and pricing of mortgages originated between 2000 and 2015 in Maryland and Virginia by independent nonbank </w:t>
      </w:r>
      <w:r w:rsidR="00EA171D">
        <w:t>originators</w:t>
      </w:r>
      <w:r>
        <w:t xml:space="preserve"> (INBs) and </w:t>
      </w:r>
      <w:r w:rsidR="00314CF5">
        <w:t>by nonbank subsidiaries of depository institutions and bank holding companies (subsidiary nonbanks, or SNBs)</w:t>
      </w:r>
      <w:r>
        <w:t xml:space="preserve">.  </w:t>
      </w:r>
      <w:r w:rsidR="00D213FF">
        <w:t xml:space="preserve">In this appendix, we provide results from analyses that we summarize briefly in footnotes in the main paper but do not include </w:t>
      </w:r>
      <w:r w:rsidR="008C3A61">
        <w:t>there</w:t>
      </w:r>
      <w:r w:rsidR="00D213FF">
        <w:t xml:space="preserve"> due to space considerations.  </w:t>
      </w:r>
      <w:r w:rsidR="00314CF5">
        <w:t>For the motivation of our research, a discussion of the regulatory background associated with nonbank mortgage origination, and details of our dataset construction and empirical methodology, please see the main paper.</w:t>
      </w:r>
    </w:p>
    <w:p w14:paraId="6CBF426B" w14:textId="77777777" w:rsidR="006161CF" w:rsidRPr="008C3A61" w:rsidRDefault="006161CF" w:rsidP="004C757C">
      <w:pPr>
        <w:spacing w:after="0" w:line="480" w:lineRule="auto"/>
        <w:contextualSpacing/>
      </w:pPr>
    </w:p>
    <w:p w14:paraId="0063E1BC" w14:textId="77777777" w:rsidR="00B34F93" w:rsidRDefault="00472555" w:rsidP="004C757C">
      <w:pPr>
        <w:spacing w:after="0" w:line="480" w:lineRule="auto"/>
        <w:contextualSpacing/>
      </w:pPr>
      <w:r>
        <w:rPr>
          <w:i/>
        </w:rPr>
        <w:t>Determination of Treatment Date</w:t>
      </w:r>
      <w:r w:rsidR="00953A31">
        <w:rPr>
          <w:i/>
        </w:rPr>
        <w:t xml:space="preserve"> for Prime and Subprime Mortgage Subsamples</w:t>
      </w:r>
    </w:p>
    <w:p w14:paraId="12D79B47" w14:textId="2819520B" w:rsidR="00472555" w:rsidRDefault="00953A31" w:rsidP="004C757C">
      <w:pPr>
        <w:spacing w:after="0" w:line="480" w:lineRule="auto"/>
        <w:ind w:firstLine="720"/>
        <w:contextualSpacing/>
      </w:pPr>
      <w:r>
        <w:t>Figures A1 and A2</w:t>
      </w:r>
      <w:r w:rsidR="00472555">
        <w:t xml:space="preserve"> show the results of the same analyses as Figures 6 and 7</w:t>
      </w:r>
      <w:r>
        <w:t xml:space="preserve"> from the main paper</w:t>
      </w:r>
      <w:r w:rsidR="00472555">
        <w:t>, respectively, only for our subsample of prime mortgages only.  (Note that the vertical scales differ across the figures to accommodate the varying confidence intervals.)  The patterns in Figures</w:t>
      </w:r>
      <w:r w:rsidRPr="00953A31">
        <w:t xml:space="preserve"> </w:t>
      </w:r>
      <w:r>
        <w:t xml:space="preserve">A1 and A2 </w:t>
      </w:r>
      <w:r w:rsidR="00472555">
        <w:t xml:space="preserve">closely match those in Figures 6 and 7, which is expected given that prime mortgages constitute approximately ninety percent of our full sample.  Figures </w:t>
      </w:r>
      <w:r>
        <w:t xml:space="preserve">A3 and A4 </w:t>
      </w:r>
      <w:r w:rsidR="00472555">
        <w:t xml:space="preserve">do the same for our subsample of subprime loans only, and there are notable changes from Figures 6 and 7.  The confidence intervals are much wider later in the sample period than earlier, especially in Figure </w:t>
      </w:r>
      <w:r>
        <w:t>A3</w:t>
      </w:r>
      <w:r w:rsidR="00472555">
        <w:t xml:space="preserve">, consistent with the dramatic decline in the number of subprime originations following the financial crisis.  (Panel C of Table </w:t>
      </w:r>
      <w:r w:rsidR="00890FA4">
        <w:t>2</w:t>
      </w:r>
      <w:r>
        <w:t xml:space="preserve"> </w:t>
      </w:r>
      <w:r w:rsidR="00B0586C">
        <w:t>from</w:t>
      </w:r>
      <w:r>
        <w:t xml:space="preserve"> the main paper</w:t>
      </w:r>
      <w:r w:rsidR="00472555">
        <w:t xml:space="preserve"> indicates that less than eight percent of our subprime mortgage sample was originated after the 2009 policy change.)  With respect to the probability of default, the decline in the </w:t>
      </w:r>
      <w:r>
        <w:t xml:space="preserve">differences in </w:t>
      </w:r>
      <w:r w:rsidR="00472555">
        <w:t>interaction term coefficient estimate</w:t>
      </w:r>
      <w:r>
        <w:t xml:space="preserve">s </w:t>
      </w:r>
      <w:r w:rsidR="00472555">
        <w:t xml:space="preserve">occurs later in Figure </w:t>
      </w:r>
      <w:r>
        <w:t>A3</w:t>
      </w:r>
      <w:r w:rsidR="00472555">
        <w:t xml:space="preserve"> than in Figure 6.  With respect to the probability of prepayment, the </w:t>
      </w:r>
      <w:r w:rsidR="00472555">
        <w:lastRenderedPageBreak/>
        <w:t xml:space="preserve">coefficient estimate differences increase immediately following the 2009 policy event in Figure </w:t>
      </w:r>
      <w:r>
        <w:t>A4</w:t>
      </w:r>
      <w:r w:rsidR="00472555">
        <w:t>, and are often statistically significant.</w:t>
      </w:r>
    </w:p>
    <w:p w14:paraId="757F5202" w14:textId="77777777" w:rsidR="00BC7354" w:rsidRDefault="00BC7354" w:rsidP="004C757C">
      <w:pPr>
        <w:spacing w:after="0" w:line="480" w:lineRule="auto"/>
        <w:ind w:firstLine="720"/>
        <w:contextualSpacing/>
      </w:pPr>
    </w:p>
    <w:p w14:paraId="0294C731" w14:textId="77777777" w:rsidR="005F64BC" w:rsidRDefault="005F64BC" w:rsidP="005F64BC">
      <w:pPr>
        <w:spacing w:after="0" w:line="480" w:lineRule="auto"/>
        <w:contextualSpacing/>
      </w:pPr>
      <w:r>
        <w:rPr>
          <w:i/>
          <w:iCs/>
        </w:rPr>
        <w:t>Additional Empirical Performance Results for the Full Mortgage Sample</w:t>
      </w:r>
    </w:p>
    <w:p w14:paraId="20AA4D83" w14:textId="429F72C7" w:rsidR="005F64BC" w:rsidRDefault="005F64BC" w:rsidP="005F64BC">
      <w:pPr>
        <w:spacing w:after="0" w:line="480" w:lineRule="auto"/>
        <w:ind w:firstLine="720"/>
        <w:contextualSpacing/>
      </w:pPr>
      <w:r>
        <w:t xml:space="preserve">In Table A1, we restrict the sample by including only lenders that originated at least one loan in each year of progressively larger ranges before and after the policy treatment.  (For brevity, we omit specifications that do not include the interaction of </w:t>
      </w:r>
      <w:r w:rsidRPr="007D3BAC">
        <w:rPr>
          <w:i/>
        </w:rPr>
        <w:t>Subsidiary</w:t>
      </w:r>
      <w:r>
        <w:t xml:space="preserve"> and </w:t>
      </w:r>
      <w:r w:rsidRPr="007D3BAC">
        <w:rPr>
          <w:i/>
        </w:rPr>
        <w:t>Post</w:t>
      </w:r>
      <w:r>
        <w:t xml:space="preserve">.)  </w:t>
      </w:r>
      <w:r w:rsidRPr="00C767B9">
        <w:t xml:space="preserve">In the default results, the results are substantively unchanged from Table </w:t>
      </w:r>
      <w:r w:rsidR="00BC7354">
        <w:t>5</w:t>
      </w:r>
      <w:r w:rsidR="00890FA4">
        <w:t xml:space="preserve"> from the main paper</w:t>
      </w:r>
      <w:r w:rsidRPr="00C767B9">
        <w:t>.</w:t>
      </w:r>
      <w:r>
        <w:t xml:space="preserve">  As in Tables 4 and 5</w:t>
      </w:r>
      <w:r w:rsidR="00890FA4">
        <w:t xml:space="preserve"> from the main paper</w:t>
      </w:r>
      <w:r>
        <w:t>, the difference between the joint effect on the probability of default of a post-policy SNB mortgage is lower than the effect of a post-policy INB mortgage.  Those differences are statistically significant at the one percent level in every model in Table A1, implying that even in our most restricted sample, the probability of default for SNB originations fell relative to the probability of default for INB originations after the policy change.</w:t>
      </w:r>
      <w:r>
        <w:rPr>
          <w:rStyle w:val="FootnoteReference"/>
        </w:rPr>
        <w:footnoteReference w:id="2"/>
      </w:r>
      <w:r>
        <w:t xml:space="preserve">  This is consistent with subsidiary nonbanks tightening their lending practices relatively more than INBs after the SNBs fell under Federal Reserve consumer compliance supervision.  </w:t>
      </w:r>
    </w:p>
    <w:p w14:paraId="406C6299" w14:textId="35B4FBFE" w:rsidR="005F64BC" w:rsidRDefault="005F64BC" w:rsidP="005F64BC">
      <w:pPr>
        <w:spacing w:after="0" w:line="480" w:lineRule="auto"/>
        <w:ind w:firstLine="720"/>
        <w:contextualSpacing/>
      </w:pPr>
      <w:r w:rsidRPr="005446FE">
        <w:t xml:space="preserve">The Table </w:t>
      </w:r>
      <w:r>
        <w:t>A1</w:t>
      </w:r>
      <w:r w:rsidRPr="005446FE">
        <w:t xml:space="preserve"> prepayment results are also similar to those in Table </w:t>
      </w:r>
      <w:r>
        <w:t>5</w:t>
      </w:r>
      <w:r w:rsidRPr="005446FE">
        <w:t xml:space="preserve">, with similar signs and significances for </w:t>
      </w:r>
      <w:r w:rsidRPr="005446FE">
        <w:rPr>
          <w:i/>
        </w:rPr>
        <w:t>Subsidiary</w:t>
      </w:r>
      <w:r w:rsidRPr="005446FE">
        <w:t xml:space="preserve">, </w:t>
      </w:r>
      <w:r w:rsidRPr="005446FE">
        <w:rPr>
          <w:i/>
        </w:rPr>
        <w:t>Post</w:t>
      </w:r>
      <w:r w:rsidRPr="005446FE">
        <w:t xml:space="preserve">, and their interaction in all models except the first one.  The probability of prepayment was significantly lower for SNB originations than INB originations in the pre-policy period.  In the post-policy period, the probability of prepayment rose faster for SNB originations than </w:t>
      </w:r>
      <w:r>
        <w:t xml:space="preserve">for </w:t>
      </w:r>
      <w:r w:rsidRPr="005446FE">
        <w:t xml:space="preserve">INB originations, such that there was no significant difference in the probability of prepayment across originators in any of the models in Table </w:t>
      </w:r>
      <w:r w:rsidR="00801E23">
        <w:t>A1</w:t>
      </w:r>
      <w:r>
        <w:t>.</w:t>
      </w:r>
      <w:r>
        <w:rPr>
          <w:rStyle w:val="FootnoteReference"/>
        </w:rPr>
        <w:footnoteReference w:id="3"/>
      </w:r>
    </w:p>
    <w:p w14:paraId="190F676B" w14:textId="7B341464" w:rsidR="005F64BC" w:rsidRDefault="005F64BC" w:rsidP="005F64BC">
      <w:pPr>
        <w:spacing w:after="0" w:line="480" w:lineRule="auto"/>
        <w:ind w:firstLine="720"/>
        <w:contextualSpacing/>
      </w:pPr>
      <w:r>
        <w:lastRenderedPageBreak/>
        <w:t xml:space="preserve">To correct for potential bias resulting from our having more months of performance data for mortgages originated earlier in our sample period, we performed additional specifications in which we restrict the number of monthly observations for each mortgage.  Table A2 presents the results from regressions using only the first one, two, three, and four years of each mortgage’s performance data, respectively.  The coefficient estimate for </w:t>
      </w:r>
      <w:r w:rsidRPr="00ED6958">
        <w:rPr>
          <w:i/>
        </w:rPr>
        <w:t>Subsidiary</w:t>
      </w:r>
      <w:r>
        <w:t xml:space="preserve"> is not significantly associated with the probability of default in any of the models, but that for </w:t>
      </w:r>
      <w:r w:rsidRPr="00ED6958">
        <w:rPr>
          <w:i/>
        </w:rPr>
        <w:t>Post</w:t>
      </w:r>
      <w:r>
        <w:t xml:space="preserve"> is, indicating a post-policy decrease in the probability of default.  </w:t>
      </w:r>
      <w:r w:rsidRPr="005446FE">
        <w:t xml:space="preserve">The interaction term is significant at least at the five percent level in all models, and the magnitudes (in absolute value) of the interaction term coefficient estimates are greater than in most of the </w:t>
      </w:r>
      <w:r w:rsidR="00801E23">
        <w:t>other</w:t>
      </w:r>
      <w:r w:rsidRPr="005446FE">
        <w:t xml:space="preserve"> tables’ models.  The prepayment results in Table </w:t>
      </w:r>
      <w:r>
        <w:t>A2</w:t>
      </w:r>
      <w:r w:rsidRPr="005446FE">
        <w:t xml:space="preserve"> are mixed, with </w:t>
      </w:r>
      <w:r w:rsidRPr="005446FE">
        <w:rPr>
          <w:i/>
        </w:rPr>
        <w:t>Subsidiary</w:t>
      </w:r>
      <w:r w:rsidRPr="005446FE">
        <w:t xml:space="preserve">, </w:t>
      </w:r>
      <w:r w:rsidRPr="005446FE">
        <w:rPr>
          <w:i/>
        </w:rPr>
        <w:t>Post</w:t>
      </w:r>
      <w:r w:rsidRPr="005446FE">
        <w:t>, and their interaction showing inconsistent signs and significance levels across the models.  Capping the number of months of performance data analyzed therefore magnifies the reduction in the probability of default among SNB originations relative to INB originations after the policy treatment but yields ambiguous results for the probability of prepayment.</w:t>
      </w:r>
      <w:r w:rsidRPr="005446FE">
        <w:rPr>
          <w:rStyle w:val="FootnoteReference"/>
        </w:rPr>
        <w:footnoteReference w:id="4"/>
      </w:r>
      <w:r>
        <w:t xml:space="preserve">  </w:t>
      </w:r>
    </w:p>
    <w:p w14:paraId="746CAC30" w14:textId="32B56B67" w:rsidR="006161CF" w:rsidRDefault="006161CF" w:rsidP="004C757C">
      <w:pPr>
        <w:spacing w:after="0" w:line="480" w:lineRule="auto"/>
        <w:contextualSpacing/>
        <w:rPr>
          <w:i/>
        </w:rPr>
      </w:pPr>
    </w:p>
    <w:p w14:paraId="393F24B5" w14:textId="1DDD740E" w:rsidR="00AD497F" w:rsidRDefault="00AD497F" w:rsidP="00AD497F">
      <w:pPr>
        <w:spacing w:after="0" w:line="480" w:lineRule="auto"/>
        <w:contextualSpacing/>
      </w:pPr>
      <w:r>
        <w:rPr>
          <w:i/>
          <w:iCs/>
        </w:rPr>
        <w:t>Additional Empirical Pricing Results for the Full Mortgage Sample</w:t>
      </w:r>
    </w:p>
    <w:p w14:paraId="7240D41D" w14:textId="17FF275B" w:rsidR="00AD497F" w:rsidRDefault="00AD497F" w:rsidP="00BF5D93">
      <w:pPr>
        <w:spacing w:after="0" w:line="480" w:lineRule="auto"/>
        <w:ind w:firstLine="720"/>
        <w:contextualSpacing/>
      </w:pPr>
      <w:r>
        <w:t xml:space="preserve">Table A3 shows results for 2SLS models </w:t>
      </w:r>
      <w:r w:rsidR="00492799">
        <w:t xml:space="preserve">of mortgage pricing </w:t>
      </w:r>
      <w:r>
        <w:t>with the sample restricted to mortgages originated by nonbank originators that originated at least one loan in the pre-policy period and in the post-policy period, similar to Table 5</w:t>
      </w:r>
      <w:r w:rsidR="00890FA4">
        <w:t xml:space="preserve"> from the main paper</w:t>
      </w:r>
      <w:r>
        <w:t xml:space="preserve">.  </w:t>
      </w:r>
      <w:r w:rsidRPr="00F06FD6">
        <w:t xml:space="preserve">The results for </w:t>
      </w:r>
      <w:r w:rsidRPr="00F06FD6">
        <w:rPr>
          <w:i/>
        </w:rPr>
        <w:t>InitialRate</w:t>
      </w:r>
      <w:r w:rsidRPr="00F06FD6">
        <w:t xml:space="preserve"> change markedly, with neither </w:t>
      </w:r>
      <w:r w:rsidRPr="00F06FD6">
        <w:rPr>
          <w:i/>
        </w:rPr>
        <w:t>Subsidiary</w:t>
      </w:r>
      <w:r w:rsidRPr="00F06FD6">
        <w:t xml:space="preserve"> nor its interaction with </w:t>
      </w:r>
      <w:r w:rsidRPr="00F06FD6">
        <w:rPr>
          <w:i/>
        </w:rPr>
        <w:t>Post</w:t>
      </w:r>
      <w:r w:rsidRPr="00F06FD6">
        <w:t xml:space="preserve"> being statistically significant.  In Table </w:t>
      </w:r>
      <w:r>
        <w:t>A3</w:t>
      </w:r>
      <w:r w:rsidRPr="00F06FD6">
        <w:t xml:space="preserve">, there was no significant difference in the initial interest rates of SNB originations and INB originations, either before or after the policy change.  The results for </w:t>
      </w:r>
      <w:r w:rsidRPr="00A101F6">
        <w:rPr>
          <w:i/>
        </w:rPr>
        <w:t>LTV</w:t>
      </w:r>
      <w:r w:rsidRPr="00F06FD6">
        <w:t xml:space="preserve"> in Table </w:t>
      </w:r>
      <w:r>
        <w:t>A3</w:t>
      </w:r>
      <w:r w:rsidRPr="00F06FD6">
        <w:t xml:space="preserve"> are substantively identical to the results in </w:t>
      </w:r>
      <w:r>
        <w:t xml:space="preserve">Table 8, with the exception of </w:t>
      </w:r>
      <w:r w:rsidRPr="00A101F6">
        <w:rPr>
          <w:i/>
        </w:rPr>
        <w:t>OwnerOcc</w:t>
      </w:r>
      <w:r>
        <w:t xml:space="preserve"> losing significance.</w:t>
      </w:r>
    </w:p>
    <w:p w14:paraId="74E611A0" w14:textId="42E7F518" w:rsidR="00AD497F" w:rsidRPr="00BF5D93" w:rsidRDefault="00AD497F" w:rsidP="004C757C">
      <w:pPr>
        <w:spacing w:after="0" w:line="480" w:lineRule="auto"/>
        <w:contextualSpacing/>
      </w:pPr>
      <w:r>
        <w:lastRenderedPageBreak/>
        <w:tab/>
        <w:t>Table A4 further restricts the sample to nonbank originators that were active in each year of a variety of ranges, similar to Table A1</w:t>
      </w:r>
      <w:r w:rsidRPr="00004711">
        <w:t xml:space="preserve">.  </w:t>
      </w:r>
      <w:r w:rsidRPr="00F06FD6">
        <w:t xml:space="preserve">In contrast to both </w:t>
      </w:r>
      <w:r>
        <w:t>Table 8</w:t>
      </w:r>
      <w:r w:rsidRPr="00F06FD6">
        <w:t xml:space="preserve"> and Table </w:t>
      </w:r>
      <w:r>
        <w:t>A3</w:t>
      </w:r>
      <w:r w:rsidRPr="00F06FD6">
        <w:t xml:space="preserve">, Table </w:t>
      </w:r>
      <w:r>
        <w:t>A4</w:t>
      </w:r>
      <w:r w:rsidRPr="00F06FD6">
        <w:t xml:space="preserve"> indicates that the interest rates on SNB originations were statistically significantly lower than INB origination interest rates before the policy change but rose farther than INB origination interest rates after the policy change.  Table </w:t>
      </w:r>
      <w:r>
        <w:t>A4</w:t>
      </w:r>
      <w:r w:rsidRPr="00F06FD6">
        <w:t xml:space="preserve"> is consistent with Tables </w:t>
      </w:r>
      <w:r>
        <w:t>8</w:t>
      </w:r>
      <w:r w:rsidRPr="00F06FD6">
        <w:t xml:space="preserve"> and </w:t>
      </w:r>
      <w:r>
        <w:t>A3</w:t>
      </w:r>
      <w:r w:rsidRPr="00F06FD6">
        <w:t xml:space="preserve"> in indicating that following the policy change there was no significant difference between the interest rates of SNB and INB originations.</w:t>
      </w:r>
      <w:r w:rsidRPr="00F06FD6">
        <w:rPr>
          <w:rStyle w:val="FootnoteReference"/>
        </w:rPr>
        <w:footnoteReference w:id="5"/>
      </w:r>
      <w:r>
        <w:t xml:space="preserve">  The </w:t>
      </w:r>
      <w:r w:rsidRPr="005E2A09">
        <w:rPr>
          <w:i/>
        </w:rPr>
        <w:t>LTV</w:t>
      </w:r>
      <w:r>
        <w:t xml:space="preserve"> results in Table A4 also show substantial changes from those in Tables 8 and A3.  The magnitudes of the </w:t>
      </w:r>
      <w:r w:rsidRPr="00643AA2">
        <w:rPr>
          <w:i/>
        </w:rPr>
        <w:t>Subsidiary</w:t>
      </w:r>
      <w:r>
        <w:t xml:space="preserve"> and </w:t>
      </w:r>
      <w:r w:rsidRPr="004961A2">
        <w:rPr>
          <w:i/>
        </w:rPr>
        <w:t>Post</w:t>
      </w:r>
      <w:r>
        <w:t xml:space="preserve"> coefficient estimates more than double, and the sign on the interaction terms switches to positive.  Tallying the effects from Table A4 indicates that SNB origination LTV ratios on average were 2.5-3.1 percentage points below INB</w:t>
      </w:r>
      <w:r w:rsidRPr="005E2A09">
        <w:t xml:space="preserve"> </w:t>
      </w:r>
      <w:r>
        <w:t>origination LTV ratios before the policy change, and the gap narrowed to 1.6-1.9 percentage points after the policy change.  The post-policy LTV ratio differences are significant at the one percent level in all models</w:t>
      </w:r>
      <w:r w:rsidRPr="00F06FD6">
        <w:t xml:space="preserve">.  While the pre-policy differences in </w:t>
      </w:r>
      <w:r w:rsidRPr="00F06FD6">
        <w:rPr>
          <w:i/>
        </w:rPr>
        <w:t>InitialRate</w:t>
      </w:r>
      <w:r w:rsidRPr="00F06FD6">
        <w:t xml:space="preserve"> and the pre- and post-policy differences in </w:t>
      </w:r>
      <w:r w:rsidRPr="00F06FD6">
        <w:rPr>
          <w:i/>
        </w:rPr>
        <w:t>LTV</w:t>
      </w:r>
      <w:r w:rsidRPr="00F06FD6">
        <w:t xml:space="preserve"> are generally statistically significant, we should reiterate that the magnitudes of the effects are such that their economic significances are likely not substantial.</w:t>
      </w:r>
      <w:r w:rsidRPr="00F06FD6">
        <w:rPr>
          <w:rStyle w:val="FootnoteReference"/>
        </w:rPr>
        <w:footnoteReference w:id="6"/>
      </w:r>
      <w:r w:rsidRPr="0059558F">
        <w:t xml:space="preserve">  </w:t>
      </w:r>
    </w:p>
    <w:p w14:paraId="507EF7A7" w14:textId="77777777" w:rsidR="00AD497F" w:rsidRDefault="00AD497F" w:rsidP="004C757C">
      <w:pPr>
        <w:spacing w:after="0" w:line="480" w:lineRule="auto"/>
        <w:contextualSpacing/>
        <w:rPr>
          <w:i/>
        </w:rPr>
      </w:pPr>
    </w:p>
    <w:p w14:paraId="08169AE5" w14:textId="77777777" w:rsidR="00B43B68" w:rsidRDefault="000D4F99" w:rsidP="004C757C">
      <w:pPr>
        <w:spacing w:after="0" w:line="480" w:lineRule="auto"/>
        <w:contextualSpacing/>
        <w:rPr>
          <w:i/>
        </w:rPr>
      </w:pPr>
      <w:r>
        <w:rPr>
          <w:i/>
        </w:rPr>
        <w:t xml:space="preserve">Additional </w:t>
      </w:r>
      <w:r w:rsidR="00B43B68">
        <w:rPr>
          <w:i/>
        </w:rPr>
        <w:t xml:space="preserve">Empirical </w:t>
      </w:r>
      <w:r w:rsidR="00FF4EC3">
        <w:rPr>
          <w:i/>
        </w:rPr>
        <w:t xml:space="preserve">Performance </w:t>
      </w:r>
      <w:r w:rsidR="00B43B68">
        <w:rPr>
          <w:i/>
        </w:rPr>
        <w:t>Results</w:t>
      </w:r>
      <w:r>
        <w:rPr>
          <w:i/>
        </w:rPr>
        <w:t xml:space="preserve"> for Prime and Subprime Mortgage Subsamples</w:t>
      </w:r>
    </w:p>
    <w:p w14:paraId="6640E6A1" w14:textId="241D25CA" w:rsidR="00B43B68" w:rsidRDefault="00B43B68" w:rsidP="004C757C">
      <w:pPr>
        <w:spacing w:after="0" w:line="480" w:lineRule="auto"/>
        <w:ind w:firstLine="720"/>
        <w:contextualSpacing/>
      </w:pPr>
      <w:r>
        <w:t>T</w:t>
      </w:r>
      <w:r w:rsidR="000D4F99">
        <w:t>ables</w:t>
      </w:r>
      <w:r>
        <w:t xml:space="preserve"> </w:t>
      </w:r>
      <w:r w:rsidR="000D4F99">
        <w:t>A</w:t>
      </w:r>
      <w:r w:rsidR="00890FA4">
        <w:t>5</w:t>
      </w:r>
      <w:r w:rsidR="00314CF5">
        <w:t>-</w:t>
      </w:r>
      <w:r w:rsidR="000D4F99">
        <w:t>A</w:t>
      </w:r>
      <w:r w:rsidR="00890FA4">
        <w:t>7</w:t>
      </w:r>
      <w:r>
        <w:t xml:space="preserve"> repeat the analyses from Table </w:t>
      </w:r>
      <w:r w:rsidR="00492799">
        <w:t>5</w:t>
      </w:r>
      <w:r w:rsidR="000D4F99">
        <w:t xml:space="preserve"> from the main paper</w:t>
      </w:r>
      <w:r w:rsidR="00890FA4">
        <w:t xml:space="preserve"> and Tables A1 and A2</w:t>
      </w:r>
      <w:r w:rsidR="00492799">
        <w:t xml:space="preserve"> here</w:t>
      </w:r>
      <w:r>
        <w:t xml:space="preserve">, only using prime mortgages.  Table </w:t>
      </w:r>
      <w:r w:rsidR="000D4F99">
        <w:t>A</w:t>
      </w:r>
      <w:r w:rsidR="00890FA4">
        <w:t>5</w:t>
      </w:r>
      <w:r>
        <w:t xml:space="preserve"> </w:t>
      </w:r>
      <w:r w:rsidR="00F24E93">
        <w:t xml:space="preserve">presents </w:t>
      </w:r>
      <w:r>
        <w:t xml:space="preserve">the results of regressions similar to those in Table </w:t>
      </w:r>
      <w:r w:rsidR="00492799">
        <w:t>5</w:t>
      </w:r>
      <w:r w:rsidR="00F24E93">
        <w:t>, in which the sample is restricted to mortgages originated by lenders that originated at least one mortgage before the policy and at least one mortgage after the policy change.  Table A</w:t>
      </w:r>
      <w:r w:rsidR="00890FA4">
        <w:t>6</w:t>
      </w:r>
      <w:r w:rsidR="00F24E93">
        <w:t xml:space="preserve"> presents the results of regressions similar to those in Table </w:t>
      </w:r>
      <w:r w:rsidR="00890FA4">
        <w:t>A1</w:t>
      </w:r>
      <w:r>
        <w:t xml:space="preserve">, in which the samples are restricted based on how active each </w:t>
      </w:r>
      <w:r>
        <w:lastRenderedPageBreak/>
        <w:t xml:space="preserve">lender was during various ranges of origination years.  Table </w:t>
      </w:r>
      <w:r w:rsidR="000D4F99">
        <w:t>A</w:t>
      </w:r>
      <w:r w:rsidR="00890FA4">
        <w:t>7</w:t>
      </w:r>
      <w:r>
        <w:t xml:space="preserve"> does the same for regressions similar to those in Table </w:t>
      </w:r>
      <w:r w:rsidR="00890FA4">
        <w:t>A2</w:t>
      </w:r>
      <w:r>
        <w:t>, which restricts the sample</w:t>
      </w:r>
      <w:r w:rsidR="000D4F99">
        <w:t>’s performance history</w:t>
      </w:r>
      <w:r>
        <w:t xml:space="preserve"> observations to different numbers of years </w:t>
      </w:r>
      <w:r w:rsidR="000D4F99">
        <w:t xml:space="preserve">following </w:t>
      </w:r>
      <w:r>
        <w:t xml:space="preserve">origination.  The signs and significances of the coefficient estimates for the other explanatory variables are all extremely similar to those in Tables </w:t>
      </w:r>
      <w:r w:rsidR="00492799">
        <w:t>5</w:t>
      </w:r>
      <w:r w:rsidR="00890FA4">
        <w:t>, A1, and A2</w:t>
      </w:r>
      <w:r>
        <w:t xml:space="preserve">.  The results for the probability of default in Tables </w:t>
      </w:r>
      <w:r w:rsidR="000D4F99">
        <w:t>A</w:t>
      </w:r>
      <w:r w:rsidR="00890FA4">
        <w:t>5</w:t>
      </w:r>
      <w:r w:rsidR="00F24E93">
        <w:t>-</w:t>
      </w:r>
      <w:r w:rsidR="000D4F99">
        <w:t>A</w:t>
      </w:r>
      <w:r w:rsidR="00890FA4">
        <w:t>7</w:t>
      </w:r>
      <w:r>
        <w:t xml:space="preserve"> indicate that even as the sample gets more restricted and the significances of </w:t>
      </w:r>
      <w:r w:rsidRPr="00067631">
        <w:rPr>
          <w:i/>
        </w:rPr>
        <w:t>Subsidiary</w:t>
      </w:r>
      <w:r>
        <w:t xml:space="preserve"> and </w:t>
      </w:r>
      <w:r w:rsidRPr="00067631">
        <w:rPr>
          <w:i/>
        </w:rPr>
        <w:t>Post</w:t>
      </w:r>
      <w:r>
        <w:t xml:space="preserve"> decline, their interaction remains negative and statistically significant.  These results match those found for the full sample, in which the probability of default for SNB originations fell relative to the probability of default for INB originations following the 2009 policy change.  Also as in the full sample results, the prime mortgage results for the probability of prepayment are mixed, with the coefficient estimate for the interaction term being sometimes positive, sometimes negative, and sometimes not statistically significant.</w:t>
      </w:r>
    </w:p>
    <w:p w14:paraId="62DCAB78" w14:textId="2EECB65E" w:rsidR="00B43B68" w:rsidRDefault="00B43B68">
      <w:pPr>
        <w:spacing w:after="0" w:line="480" w:lineRule="auto"/>
        <w:contextualSpacing/>
      </w:pPr>
      <w:r>
        <w:tab/>
        <w:t xml:space="preserve">Tables </w:t>
      </w:r>
      <w:r w:rsidR="000D4F99">
        <w:t>A</w:t>
      </w:r>
      <w:r w:rsidR="00890FA4">
        <w:t>8</w:t>
      </w:r>
      <w:r w:rsidR="00F24E93">
        <w:t>-A</w:t>
      </w:r>
      <w:r w:rsidR="00890FA4">
        <w:t>10</w:t>
      </w:r>
      <w:r>
        <w:t xml:space="preserve"> show results from the same regressions as Tables </w:t>
      </w:r>
      <w:r w:rsidR="000D4F99">
        <w:t>A</w:t>
      </w:r>
      <w:r w:rsidR="00890FA4">
        <w:t>5</w:t>
      </w:r>
      <w:r w:rsidR="00F24E93">
        <w:t>-</w:t>
      </w:r>
      <w:r w:rsidR="000D4F99">
        <w:t>A</w:t>
      </w:r>
      <w:r w:rsidR="00890FA4">
        <w:t>7</w:t>
      </w:r>
      <w:r>
        <w:t xml:space="preserve">, only for subprime mortgages.  </w:t>
      </w:r>
      <w:r w:rsidRPr="00B910ED">
        <w:rPr>
          <w:i/>
        </w:rPr>
        <w:t>Subsidiary</w:t>
      </w:r>
      <w:r>
        <w:t xml:space="preserve"> is not significantly related to the probability of default in any of the models in Tables </w:t>
      </w:r>
      <w:r w:rsidR="00890FA4">
        <w:t>A8-A10</w:t>
      </w:r>
      <w:r>
        <w:t xml:space="preserve">.  </w:t>
      </w:r>
      <w:r w:rsidRPr="00B910ED">
        <w:rPr>
          <w:i/>
        </w:rPr>
        <w:t>Post</w:t>
      </w:r>
      <w:r>
        <w:t xml:space="preserve"> is sometimes weakly significant, suggesting an overall decline in the probability of default after 2009, particularly among those nonbank lenders that originated loans for several years both before and after 2009 (models </w:t>
      </w:r>
      <w:r w:rsidR="00F24E93">
        <w:t>3-5</w:t>
      </w:r>
      <w:r>
        <w:t xml:space="preserve"> of Table </w:t>
      </w:r>
      <w:r w:rsidR="000D4F99">
        <w:t>A</w:t>
      </w:r>
      <w:r w:rsidR="00890FA4">
        <w:t>9</w:t>
      </w:r>
      <w:r>
        <w:t xml:space="preserve">).  The interaction term of </w:t>
      </w:r>
      <w:r w:rsidRPr="00B910ED">
        <w:rPr>
          <w:i/>
        </w:rPr>
        <w:t>Subsidiary</w:t>
      </w:r>
      <w:r>
        <w:t xml:space="preserve"> and </w:t>
      </w:r>
      <w:r w:rsidRPr="00B910ED">
        <w:rPr>
          <w:i/>
        </w:rPr>
        <w:t>Post</w:t>
      </w:r>
      <w:r>
        <w:t xml:space="preserve"> is only occasionally significantly related to the probability of default.</w:t>
      </w:r>
      <w:r w:rsidRPr="003C4D36">
        <w:t xml:space="preserve"> </w:t>
      </w:r>
      <w:r>
        <w:t xml:space="preserve"> Even though </w:t>
      </w:r>
      <w:r w:rsidRPr="00DA19CC">
        <w:rPr>
          <w:i/>
        </w:rPr>
        <w:t>Subsidiary</w:t>
      </w:r>
      <w:r>
        <w:t xml:space="preserve"> and the interaction term are not often significant, the probability of default is significantly lower for SNB originations than INB originations in the post-policy period for some specifications.</w:t>
      </w:r>
      <w:r>
        <w:rPr>
          <w:rStyle w:val="FootnoteReference"/>
        </w:rPr>
        <w:footnoteReference w:id="7"/>
      </w:r>
      <w:r>
        <w:t xml:space="preserve">  In the prepayment results, the coefficient estimate of </w:t>
      </w:r>
      <w:r w:rsidR="0001701A">
        <w:t xml:space="preserve">the </w:t>
      </w:r>
      <w:r>
        <w:t xml:space="preserve">interaction term is positive and statistically significant in most specifications.  </w:t>
      </w:r>
      <w:r w:rsidRPr="0020656A">
        <w:rPr>
          <w:i/>
        </w:rPr>
        <w:t>Subsidiary</w:t>
      </w:r>
      <w:r>
        <w:t xml:space="preserve"> and </w:t>
      </w:r>
      <w:r w:rsidRPr="0020656A">
        <w:rPr>
          <w:i/>
        </w:rPr>
        <w:t>Post</w:t>
      </w:r>
      <w:r>
        <w:t xml:space="preserve"> themselves are generally not significantly related to the probability of prepayment.  (The extreme coefficient estimate for </w:t>
      </w:r>
      <w:r w:rsidRPr="00C014E2">
        <w:rPr>
          <w:i/>
        </w:rPr>
        <w:t>Post</w:t>
      </w:r>
      <w:r>
        <w:t xml:space="preserve"> in model 1 of Table </w:t>
      </w:r>
      <w:r w:rsidR="00453344">
        <w:t>A</w:t>
      </w:r>
      <w:r w:rsidR="00890FA4">
        <w:t>10</w:t>
      </w:r>
      <w:r>
        <w:t xml:space="preserve"> appears to be an aberration driven by the small </w:t>
      </w:r>
      <w:r>
        <w:lastRenderedPageBreak/>
        <w:t>number of subprime prepayments that occurred in the first twelve months of their performance histories.)</w:t>
      </w:r>
      <w:r w:rsidR="00F24E93">
        <w:t xml:space="preserve">  The other coefficient estimates in Tables A</w:t>
      </w:r>
      <w:r w:rsidR="00890FA4">
        <w:t>8</w:t>
      </w:r>
      <w:r w:rsidR="00A06268">
        <w:t>-A</w:t>
      </w:r>
      <w:r w:rsidR="00890FA4">
        <w:t>10</w:t>
      </w:r>
      <w:r w:rsidR="00F24E93">
        <w:t xml:space="preserve"> are mostly similar to those in Table </w:t>
      </w:r>
      <w:r w:rsidR="00890FA4">
        <w:t>7</w:t>
      </w:r>
      <w:r w:rsidR="00A06268">
        <w:t xml:space="preserve"> </w:t>
      </w:r>
      <w:r w:rsidR="00B0586C">
        <w:t>from</w:t>
      </w:r>
      <w:r w:rsidR="00A06268">
        <w:t xml:space="preserve"> the main paper</w:t>
      </w:r>
      <w:r w:rsidR="00F24E93">
        <w:t xml:space="preserve">.  Exceptions include </w:t>
      </w:r>
      <w:r w:rsidR="00F24E93" w:rsidRPr="00C014E2">
        <w:rPr>
          <w:i/>
        </w:rPr>
        <w:t>RelLoanSize</w:t>
      </w:r>
      <w:r w:rsidR="00F24E93">
        <w:t xml:space="preserve"> and </w:t>
      </w:r>
      <w:r w:rsidR="00F24E93" w:rsidRPr="00C014E2">
        <w:rPr>
          <w:i/>
        </w:rPr>
        <w:t>Condo</w:t>
      </w:r>
      <w:r w:rsidR="00F24E93">
        <w:t xml:space="preserve"> losing significance with respect to the probability of default, and </w:t>
      </w:r>
      <w:r w:rsidR="00F24E93" w:rsidRPr="00C014E2">
        <w:rPr>
          <w:i/>
        </w:rPr>
        <w:t>FICO</w:t>
      </w:r>
      <w:r w:rsidR="00F24E93">
        <w:t xml:space="preserve"> and </w:t>
      </w:r>
      <w:r w:rsidR="00F24E93" w:rsidRPr="00C014E2">
        <w:rPr>
          <w:i/>
        </w:rPr>
        <w:t xml:space="preserve">HPI </w:t>
      </w:r>
      <w:r w:rsidR="00F24E93">
        <w:t>losing significance with respect to the probability of prepayment.  These exceptions are concentrated in Table</w:t>
      </w:r>
      <w:r w:rsidR="00A06268">
        <w:t>s</w:t>
      </w:r>
      <w:r w:rsidR="00F24E93">
        <w:t xml:space="preserve"> A</w:t>
      </w:r>
      <w:r w:rsidR="00890FA4">
        <w:t>8</w:t>
      </w:r>
      <w:r w:rsidR="00A06268">
        <w:t xml:space="preserve"> and A</w:t>
      </w:r>
      <w:r w:rsidR="00890FA4">
        <w:t>9</w:t>
      </w:r>
      <w:r w:rsidR="00F24E93">
        <w:t>.</w:t>
      </w:r>
    </w:p>
    <w:p w14:paraId="46AAF389" w14:textId="77777777" w:rsidR="00453344" w:rsidRDefault="00453344">
      <w:pPr>
        <w:spacing w:after="0" w:line="480" w:lineRule="auto"/>
        <w:contextualSpacing/>
      </w:pPr>
    </w:p>
    <w:p w14:paraId="274D998D" w14:textId="77777777" w:rsidR="00453344" w:rsidRDefault="00453344" w:rsidP="004C757C">
      <w:pPr>
        <w:spacing w:after="0" w:line="480" w:lineRule="auto"/>
        <w:contextualSpacing/>
        <w:rPr>
          <w:i/>
        </w:rPr>
      </w:pPr>
      <w:r>
        <w:rPr>
          <w:i/>
        </w:rPr>
        <w:t>Additional Empirical Pricing Results for Prime and Subprime Mortgage Subsamples</w:t>
      </w:r>
    </w:p>
    <w:p w14:paraId="67087456" w14:textId="4BFA73E2" w:rsidR="00FF4EC3" w:rsidRDefault="00A06268">
      <w:pPr>
        <w:spacing w:after="0" w:line="480" w:lineRule="auto"/>
        <w:contextualSpacing/>
      </w:pPr>
      <w:r>
        <w:tab/>
      </w:r>
      <w:r w:rsidR="00FF4EC3">
        <w:t xml:space="preserve">Table </w:t>
      </w:r>
      <w:r>
        <w:t>A</w:t>
      </w:r>
      <w:r w:rsidR="00890FA4">
        <w:t>11</w:t>
      </w:r>
      <w:r>
        <w:t xml:space="preserve"> </w:t>
      </w:r>
      <w:r w:rsidR="00FF4EC3">
        <w:t xml:space="preserve">summarizes the prime mortgage pricing results from regressions </w:t>
      </w:r>
      <w:r>
        <w:t xml:space="preserve">similar to those in Table </w:t>
      </w:r>
      <w:r w:rsidR="00890FA4">
        <w:t>A3</w:t>
      </w:r>
      <w:r>
        <w:t xml:space="preserve">, </w:t>
      </w:r>
      <w:r w:rsidR="00FF4EC3">
        <w:t xml:space="preserve">in which the sample is restricted </w:t>
      </w:r>
      <w:r>
        <w:t>to mortgages originated by lenders that originated at least one mortgage before the policy and at least one mortgage after the policy change.  Table A</w:t>
      </w:r>
      <w:r w:rsidR="00890FA4">
        <w:t>12</w:t>
      </w:r>
      <w:r>
        <w:t xml:space="preserve"> presents the results of regressions in which the samples are restricted based on how active each lender was during variou</w:t>
      </w:r>
      <w:r w:rsidR="00152138">
        <w:t>s ranges of origination years,</w:t>
      </w:r>
      <w:r w:rsidR="00152138" w:rsidRPr="00152138">
        <w:t xml:space="preserve"> </w:t>
      </w:r>
      <w:r w:rsidR="00152138">
        <w:t xml:space="preserve">similar to those in Table </w:t>
      </w:r>
      <w:r w:rsidR="00890FA4">
        <w:t>A4</w:t>
      </w:r>
      <w:r w:rsidR="00FF4EC3">
        <w:t xml:space="preserve">.  These results match those for the full sample, with the signs of </w:t>
      </w:r>
      <w:r w:rsidR="00FF4EC3" w:rsidRPr="00830299">
        <w:rPr>
          <w:i/>
        </w:rPr>
        <w:t>Subsidiary</w:t>
      </w:r>
      <w:r w:rsidR="00FF4EC3">
        <w:t xml:space="preserve"> and </w:t>
      </w:r>
      <w:r w:rsidR="00FF4EC3" w:rsidRPr="00830299">
        <w:rPr>
          <w:i/>
        </w:rPr>
        <w:t>Subsidiary*Post</w:t>
      </w:r>
      <w:r w:rsidR="00FF4EC3">
        <w:t xml:space="preserve"> flipping in the </w:t>
      </w:r>
      <w:r w:rsidR="00FF4EC3" w:rsidRPr="00830299">
        <w:rPr>
          <w:i/>
        </w:rPr>
        <w:t>InitialRate</w:t>
      </w:r>
      <w:r w:rsidR="00FF4EC3">
        <w:t xml:space="preserve"> equation as they do in Table </w:t>
      </w:r>
      <w:r w:rsidR="00890FA4">
        <w:t>A4</w:t>
      </w:r>
      <w:r w:rsidR="00FF4EC3">
        <w:t>, and the post-policy difference in LTV ratios between SNB and INB originations being statistically significant at the one percent level in all models.</w:t>
      </w:r>
    </w:p>
    <w:p w14:paraId="4A63F756" w14:textId="46B9D274" w:rsidR="00FF4EC3" w:rsidRDefault="00FF4EC3" w:rsidP="004C757C">
      <w:pPr>
        <w:spacing w:after="0" w:line="480" w:lineRule="auto"/>
        <w:ind w:firstLine="720"/>
        <w:contextualSpacing/>
      </w:pPr>
      <w:r>
        <w:t>Table</w:t>
      </w:r>
      <w:r w:rsidR="00FB622F">
        <w:t>s</w:t>
      </w:r>
      <w:r>
        <w:t xml:space="preserve"> A</w:t>
      </w:r>
      <w:r w:rsidR="00890FA4">
        <w:t>13</w:t>
      </w:r>
      <w:r w:rsidR="00FB622F">
        <w:t xml:space="preserve"> and A1</w:t>
      </w:r>
      <w:r w:rsidR="00890FA4">
        <w:t>4</w:t>
      </w:r>
      <w:r>
        <w:t xml:space="preserve"> </w:t>
      </w:r>
      <w:r w:rsidR="00FB622F">
        <w:t xml:space="preserve">provides </w:t>
      </w:r>
      <w:r>
        <w:t xml:space="preserve">the results from regressions </w:t>
      </w:r>
      <w:r w:rsidR="00FB622F">
        <w:t>similar to those in Tables A</w:t>
      </w:r>
      <w:r w:rsidR="00890FA4">
        <w:t>11</w:t>
      </w:r>
      <w:r w:rsidR="00FB622F">
        <w:t xml:space="preserve"> and A</w:t>
      </w:r>
      <w:r w:rsidR="00890FA4">
        <w:t>12</w:t>
      </w:r>
      <w:r w:rsidR="00FB622F">
        <w:t>, only for our subprime mortgage subsample.</w:t>
      </w:r>
      <w:r>
        <w:t xml:space="preserve">  The </w:t>
      </w:r>
      <w:r w:rsidRPr="00CC25D2">
        <w:rPr>
          <w:i/>
        </w:rPr>
        <w:t>InitialRate</w:t>
      </w:r>
      <w:r>
        <w:t xml:space="preserve"> equation results are similar to those in Table </w:t>
      </w:r>
      <w:r w:rsidR="00890FA4">
        <w:t>10</w:t>
      </w:r>
      <w:r w:rsidR="00FB622F">
        <w:t xml:space="preserve"> from the main paper</w:t>
      </w:r>
      <w:r w:rsidR="00453344">
        <w:t xml:space="preserve"> (which presents the results of the unrestricted subprime pricing regressions)</w:t>
      </w:r>
      <w:r>
        <w:t xml:space="preserve">, except that </w:t>
      </w:r>
      <w:r w:rsidRPr="00E6682A">
        <w:rPr>
          <w:i/>
        </w:rPr>
        <w:t>Subsidiary</w:t>
      </w:r>
      <w:r>
        <w:t xml:space="preserve"> is consistently statistically significant, indicating that SNB subprime originations had initial interest rates roughly fifteen to twenty basis points lower than INB subprime originations before the 2009 policy event.  As in Table </w:t>
      </w:r>
      <w:r w:rsidR="00453344">
        <w:t>1</w:t>
      </w:r>
      <w:r w:rsidR="00890FA4">
        <w:t>0</w:t>
      </w:r>
      <w:r>
        <w:t>, Table</w:t>
      </w:r>
      <w:r w:rsidR="00FB622F">
        <w:t>s</w:t>
      </w:r>
      <w:r>
        <w:t xml:space="preserve"> </w:t>
      </w:r>
      <w:r w:rsidR="00FB622F">
        <w:t>A</w:t>
      </w:r>
      <w:r w:rsidR="00890FA4">
        <w:t>13</w:t>
      </w:r>
      <w:r w:rsidR="00FB622F">
        <w:t xml:space="preserve"> and A1</w:t>
      </w:r>
      <w:r w:rsidR="00890FA4">
        <w:t>4</w:t>
      </w:r>
      <w:r>
        <w:t xml:space="preserve"> indicate that interest rates rose for both SNB and INB subprime mortgages after the policy change, but that interest rates rose farther for SNB originations, such that SNB subprime interest rates were 25-30 basis points higher in the post-policy period, a difference that is statistically significant in each model.  The </w:t>
      </w:r>
      <w:r w:rsidRPr="00CC25D2">
        <w:rPr>
          <w:i/>
        </w:rPr>
        <w:t>LTV</w:t>
      </w:r>
      <w:r>
        <w:t xml:space="preserve"> equation results in Table</w:t>
      </w:r>
      <w:r w:rsidR="00FB622F">
        <w:t>s</w:t>
      </w:r>
      <w:r>
        <w:t xml:space="preserve"> </w:t>
      </w:r>
      <w:r w:rsidR="00FB622F">
        <w:t>A</w:t>
      </w:r>
      <w:r w:rsidR="00890FA4">
        <w:t>13</w:t>
      </w:r>
      <w:r w:rsidR="00FB622F">
        <w:t xml:space="preserve"> and A1</w:t>
      </w:r>
      <w:r w:rsidR="00890FA4">
        <w:t>4</w:t>
      </w:r>
      <w:r>
        <w:t xml:space="preserve"> are similar to those </w:t>
      </w:r>
      <w:r>
        <w:lastRenderedPageBreak/>
        <w:t xml:space="preserve">in Table </w:t>
      </w:r>
      <w:r w:rsidR="00453344">
        <w:t>1</w:t>
      </w:r>
      <w:r w:rsidR="00890FA4">
        <w:t>0</w:t>
      </w:r>
      <w:r>
        <w:t>, except that the interaction term loses significance in the models in which the sample is more restricted.</w:t>
      </w:r>
    </w:p>
    <w:p w14:paraId="78146DE3" w14:textId="77777777" w:rsidR="00453344" w:rsidRDefault="00453344">
      <w:pPr>
        <w:spacing w:after="0" w:line="480" w:lineRule="auto"/>
        <w:contextualSpacing/>
      </w:pPr>
    </w:p>
    <w:p w14:paraId="42C8A0E4" w14:textId="77777777" w:rsidR="00A2763E" w:rsidRDefault="00A2763E">
      <w:pPr>
        <w:spacing w:after="0" w:line="480" w:lineRule="auto"/>
        <w:contextualSpacing/>
        <w:rPr>
          <w:i/>
        </w:rPr>
      </w:pPr>
      <w:r>
        <w:rPr>
          <w:i/>
        </w:rPr>
        <w:t xml:space="preserve">Robustness </w:t>
      </w:r>
      <w:r w:rsidR="00453344">
        <w:rPr>
          <w:i/>
        </w:rPr>
        <w:t>Checks for Prime and Subprime Mortgage Subsamples</w:t>
      </w:r>
    </w:p>
    <w:p w14:paraId="25D11562" w14:textId="435C5600" w:rsidR="00A2763E" w:rsidRPr="00A2763E" w:rsidRDefault="00A2763E" w:rsidP="004C757C">
      <w:pPr>
        <w:spacing w:after="0" w:line="480" w:lineRule="auto"/>
        <w:ind w:firstLine="720"/>
        <w:contextualSpacing/>
      </w:pPr>
      <w:r>
        <w:t xml:space="preserve">Table </w:t>
      </w:r>
      <w:r w:rsidR="00FB622F">
        <w:t>A1</w:t>
      </w:r>
      <w:r w:rsidR="00890FA4">
        <w:t>5</w:t>
      </w:r>
      <w:r w:rsidR="00FB622F">
        <w:t xml:space="preserve"> </w:t>
      </w:r>
      <w:r>
        <w:t>shows the results for the same robustness checks as Table 1</w:t>
      </w:r>
      <w:r w:rsidR="00890FA4">
        <w:t>1</w:t>
      </w:r>
      <w:r w:rsidR="00453344">
        <w:t xml:space="preserve"> from the main paper</w:t>
      </w:r>
      <w:r>
        <w:t xml:space="preserve"> for our prime mortgage sample.  The pattern of results across all four panels closely mirrors that of Table 1</w:t>
      </w:r>
      <w:r w:rsidR="00890FA4">
        <w:t>1</w:t>
      </w:r>
      <w:r>
        <w:t xml:space="preserve">.  Table </w:t>
      </w:r>
      <w:r w:rsidR="00B0586C">
        <w:t>A1</w:t>
      </w:r>
      <w:r w:rsidR="00890FA4">
        <w:t>6</w:t>
      </w:r>
      <w:r w:rsidR="00B0586C">
        <w:t xml:space="preserve"> </w:t>
      </w:r>
      <w:r>
        <w:t>shows robustness checks results for our subprime mortgage sample.  There are sporadic changes in statistical significance in the models, but overall the results are consistent with main subprime results in model 1 of each panel.</w:t>
      </w:r>
      <w:r w:rsidR="00A02DF8">
        <w:t xml:space="preserve"> </w:t>
      </w:r>
      <w:r w:rsidR="00661B52" w:rsidRPr="00661B52">
        <w:t xml:space="preserve"> </w:t>
      </w:r>
      <w:r w:rsidR="00661B52">
        <w:t>The strongest exception is model 2 of Panel C, which indicates that the interest rates on SNB subprime originations were significantly higher than those on INB subprime originations in the pre-policy period, and were significantly lower in the post-policy period.  Both of these findings contradict the main findings in model 1 and in the other Panel C models.</w:t>
      </w:r>
    </w:p>
    <w:p w14:paraId="612E202C" w14:textId="77777777" w:rsidR="00B43B68" w:rsidRPr="00B43B68" w:rsidRDefault="00B43B68" w:rsidP="004C757C">
      <w:pPr>
        <w:spacing w:after="0" w:line="480" w:lineRule="auto"/>
        <w:contextualSpacing/>
      </w:pPr>
    </w:p>
    <w:p w14:paraId="41953471" w14:textId="77777777" w:rsidR="00472555" w:rsidRDefault="00472555" w:rsidP="00A02DF8">
      <w:pPr>
        <w:spacing w:after="0"/>
        <w:contextualSpacing/>
      </w:pPr>
      <w:r>
        <w:br w:type="page"/>
      </w:r>
    </w:p>
    <w:p w14:paraId="1409A194" w14:textId="77777777" w:rsidR="0070024E" w:rsidRDefault="0070024E" w:rsidP="00A02DF8">
      <w:pPr>
        <w:spacing w:after="0"/>
        <w:contextualSpacing/>
        <w:rPr>
          <w:b/>
        </w:rPr>
      </w:pPr>
      <w:r>
        <w:rPr>
          <w:b/>
        </w:rPr>
        <w:lastRenderedPageBreak/>
        <w:t>Figure A1</w:t>
      </w:r>
    </w:p>
    <w:p w14:paraId="50886C07" w14:textId="47ABA905" w:rsidR="0070024E" w:rsidRPr="0070024E" w:rsidRDefault="0070024E" w:rsidP="00A02DF8">
      <w:pPr>
        <w:spacing w:after="0"/>
        <w:contextualSpacing/>
      </w:pPr>
      <w:r>
        <w:t xml:space="preserve">Estimates by vintage year of the difference between the probability of default of subsidiary nonbank (SNB) originations relative to independent nonbank (INB) originations for our prime </w:t>
      </w:r>
      <w:r w:rsidRPr="008E5CD3">
        <w:t xml:space="preserve">mortgage subsample.  Estimates are derived from multinomial logit regressions similar to those in Table </w:t>
      </w:r>
      <w:r w:rsidR="001A494E">
        <w:t>4</w:t>
      </w:r>
      <w:r w:rsidRPr="008E5CD3">
        <w:t xml:space="preserve">, except </w:t>
      </w:r>
      <w:r w:rsidRPr="008E5CD3">
        <w:rPr>
          <w:i/>
        </w:rPr>
        <w:t>Post</w:t>
      </w:r>
      <w:r w:rsidRPr="008E5CD3">
        <w:t xml:space="preserve"> and its interaction with </w:t>
      </w:r>
      <w:r w:rsidRPr="008E5CD3">
        <w:rPr>
          <w:i/>
        </w:rPr>
        <w:t>Subsidiary</w:t>
      </w:r>
      <w:r w:rsidRPr="008E5CD3">
        <w:t xml:space="preserve"> are replaced by interactions of </w:t>
      </w:r>
      <w:r w:rsidRPr="008E5CD3">
        <w:rPr>
          <w:i/>
        </w:rPr>
        <w:t>Subsidiary</w:t>
      </w:r>
      <w:r w:rsidRPr="008E5CD3">
        <w:t xml:space="preserve"> with vintage year indicator variables.  See footnote </w:t>
      </w:r>
      <w:r w:rsidR="006A5963">
        <w:t>32</w:t>
      </w:r>
      <w:r w:rsidR="006A5963" w:rsidRPr="008E5CD3">
        <w:t xml:space="preserve"> </w:t>
      </w:r>
      <w:r w:rsidR="00615A24">
        <w:t xml:space="preserve">in the main paper </w:t>
      </w:r>
      <w:r w:rsidRPr="008E5CD3">
        <w:t>for how we define vintage year indicator variables for</w:t>
      </w:r>
      <w:r>
        <w:t xml:space="preserve"> Figures </w:t>
      </w:r>
      <w:r w:rsidR="00615A24">
        <w:t>A1-A4</w:t>
      </w:r>
      <w:r>
        <w:t xml:space="preserve">.  The dotted line at 2009 coincides with the Federal Reserve policy change subjecting SNBs, but not INBs, to consumer compliance supervision.  The bars indicate the 95 percent confidence interval for each </w:t>
      </w:r>
      <w:r w:rsidRPr="00FC4210">
        <w:rPr>
          <w:i/>
        </w:rPr>
        <w:t>Subsidiary</w:t>
      </w:r>
      <w:r>
        <w:t xml:space="preserve"> * vintage year interaction term coefficient estimate.</w:t>
      </w:r>
    </w:p>
    <w:p w14:paraId="1CA52A67" w14:textId="77777777" w:rsidR="00472555" w:rsidRDefault="0070024E" w:rsidP="00A02DF8">
      <w:pPr>
        <w:spacing w:after="0"/>
        <w:contextualSpacing/>
        <w:rPr>
          <w:b/>
        </w:rPr>
      </w:pPr>
      <w:r>
        <w:rPr>
          <w:b/>
          <w:noProof/>
        </w:rPr>
        <w:drawing>
          <wp:inline distT="0" distB="0" distL="0" distR="0" wp14:anchorId="5C30A8E3" wp14:editId="51CC0519">
            <wp:extent cx="5800725" cy="35160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9.png"/>
                    <pic:cNvPicPr/>
                  </pic:nvPicPr>
                  <pic:blipFill rotWithShape="1">
                    <a:blip r:embed="rId15">
                      <a:extLst>
                        <a:ext uri="{28A0092B-C50C-407E-A947-70E740481C1C}">
                          <a14:useLocalDpi xmlns:a14="http://schemas.microsoft.com/office/drawing/2010/main" val="0"/>
                        </a:ext>
                      </a:extLst>
                    </a:blip>
                    <a:srcRect l="2381" t="14366" b="4211"/>
                    <a:stretch/>
                  </pic:blipFill>
                  <pic:spPr bwMode="auto">
                    <a:xfrm>
                      <a:off x="0" y="0"/>
                      <a:ext cx="5802065" cy="3516898"/>
                    </a:xfrm>
                    <a:prstGeom prst="rect">
                      <a:avLst/>
                    </a:prstGeom>
                    <a:ln>
                      <a:noFill/>
                    </a:ln>
                    <a:extLst>
                      <a:ext uri="{53640926-AAD7-44D8-BBD7-CCE9431645EC}">
                        <a14:shadowObscured xmlns:a14="http://schemas.microsoft.com/office/drawing/2010/main"/>
                      </a:ext>
                    </a:extLst>
                  </pic:spPr>
                </pic:pic>
              </a:graphicData>
            </a:graphic>
          </wp:inline>
        </w:drawing>
      </w:r>
    </w:p>
    <w:p w14:paraId="07586D70" w14:textId="77777777" w:rsidR="0070024E" w:rsidRDefault="0070024E" w:rsidP="00A02DF8">
      <w:pPr>
        <w:spacing w:after="0"/>
        <w:contextualSpacing/>
        <w:rPr>
          <w:b/>
        </w:rPr>
      </w:pPr>
      <w:r>
        <w:rPr>
          <w:b/>
        </w:rPr>
        <w:br w:type="page"/>
      </w:r>
    </w:p>
    <w:p w14:paraId="666B281E" w14:textId="77777777" w:rsidR="0070024E" w:rsidRPr="00E04CFE" w:rsidRDefault="0070024E" w:rsidP="00A02DF8">
      <w:pPr>
        <w:spacing w:after="0"/>
        <w:contextualSpacing/>
        <w:rPr>
          <w:b/>
        </w:rPr>
      </w:pPr>
      <w:r>
        <w:rPr>
          <w:b/>
        </w:rPr>
        <w:lastRenderedPageBreak/>
        <w:t>Figure A2</w:t>
      </w:r>
      <w:r w:rsidRPr="0070024E">
        <w:rPr>
          <w:b/>
        </w:rPr>
        <w:t xml:space="preserve"> </w:t>
      </w:r>
    </w:p>
    <w:p w14:paraId="37EEFD36" w14:textId="25803628" w:rsidR="0070024E" w:rsidRPr="0070024E" w:rsidRDefault="0070024E" w:rsidP="00A02DF8">
      <w:pPr>
        <w:spacing w:after="0"/>
        <w:contextualSpacing/>
      </w:pPr>
      <w:r>
        <w:t xml:space="preserve">Estimates by vintage year of the difference between the probability of prepayment of subsidiary nonbank (SNB) originations relative to independent nonbank (INB) originations for our </w:t>
      </w:r>
      <w:r w:rsidRPr="008E5CD3">
        <w:t xml:space="preserve">prime mortgage subsample.  Estimates are derived from multinomial logit regressions similar to those in Table </w:t>
      </w:r>
      <w:r w:rsidR="001A494E">
        <w:t>4</w:t>
      </w:r>
      <w:r w:rsidRPr="008E5CD3">
        <w:t xml:space="preserve">, except </w:t>
      </w:r>
      <w:r w:rsidRPr="008E5CD3">
        <w:rPr>
          <w:i/>
        </w:rPr>
        <w:t>Post</w:t>
      </w:r>
      <w:r w:rsidRPr="008E5CD3">
        <w:t xml:space="preserve"> and its interaction with </w:t>
      </w:r>
      <w:r w:rsidRPr="008E5CD3">
        <w:rPr>
          <w:i/>
        </w:rPr>
        <w:t>Subsidiary</w:t>
      </w:r>
      <w:r w:rsidRPr="008E5CD3">
        <w:t xml:space="preserve"> are replaced by interactions of </w:t>
      </w:r>
      <w:r w:rsidRPr="008E5CD3">
        <w:rPr>
          <w:i/>
        </w:rPr>
        <w:t>Subsidiary</w:t>
      </w:r>
      <w:r w:rsidRPr="008E5CD3">
        <w:t xml:space="preserve"> with vintage year indicator variables.  </w:t>
      </w:r>
      <w:r w:rsidR="00615A24" w:rsidRPr="008E5CD3">
        <w:t xml:space="preserve">See footnote </w:t>
      </w:r>
      <w:r w:rsidR="00615A24">
        <w:t>3</w:t>
      </w:r>
      <w:r w:rsidR="00BF5D93">
        <w:t>2</w:t>
      </w:r>
      <w:r w:rsidR="00615A24" w:rsidRPr="008E5CD3">
        <w:t xml:space="preserve"> </w:t>
      </w:r>
      <w:r w:rsidR="00615A24">
        <w:t xml:space="preserve">in the main paper </w:t>
      </w:r>
      <w:r w:rsidR="00615A24" w:rsidRPr="008E5CD3">
        <w:t>for how we define vintage year indicator variables for</w:t>
      </w:r>
      <w:r w:rsidR="00615A24">
        <w:t xml:space="preserve"> Figures A1-A4</w:t>
      </w:r>
      <w:r>
        <w:t xml:space="preserve">.  The dotted line at 2009 coincides with the Federal Reserve policy change subjecting SNBs, but not INBs, to consumer compliance supervision.  The bars indicate the 95 percent confidence interval for each </w:t>
      </w:r>
      <w:r w:rsidRPr="00FC4210">
        <w:rPr>
          <w:i/>
        </w:rPr>
        <w:t>Subsidiary</w:t>
      </w:r>
      <w:r>
        <w:t xml:space="preserve"> * vintage year interaction term coefficient estimate.</w:t>
      </w:r>
    </w:p>
    <w:p w14:paraId="6674D330" w14:textId="77777777" w:rsidR="0070024E" w:rsidRDefault="0070024E" w:rsidP="00A02DF8">
      <w:pPr>
        <w:spacing w:after="0"/>
        <w:contextualSpacing/>
        <w:rPr>
          <w:b/>
        </w:rPr>
      </w:pPr>
      <w:r>
        <w:rPr>
          <w:b/>
          <w:noProof/>
        </w:rPr>
        <w:drawing>
          <wp:inline distT="0" distB="0" distL="0" distR="0" wp14:anchorId="1AEC7ADC" wp14:editId="7D31F72D">
            <wp:extent cx="5758086" cy="35375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0.png"/>
                    <pic:cNvPicPr/>
                  </pic:nvPicPr>
                  <pic:blipFill rotWithShape="1">
                    <a:blip r:embed="rId16">
                      <a:extLst>
                        <a:ext uri="{28A0092B-C50C-407E-A947-70E740481C1C}">
                          <a14:useLocalDpi xmlns:a14="http://schemas.microsoft.com/office/drawing/2010/main" val="0"/>
                        </a:ext>
                      </a:extLst>
                    </a:blip>
                    <a:srcRect l="3114" t="14113" b="3978"/>
                    <a:stretch/>
                  </pic:blipFill>
                  <pic:spPr bwMode="auto">
                    <a:xfrm>
                      <a:off x="0" y="0"/>
                      <a:ext cx="5758529" cy="3537857"/>
                    </a:xfrm>
                    <a:prstGeom prst="rect">
                      <a:avLst/>
                    </a:prstGeom>
                    <a:ln>
                      <a:noFill/>
                    </a:ln>
                    <a:extLst>
                      <a:ext uri="{53640926-AAD7-44D8-BBD7-CCE9431645EC}">
                        <a14:shadowObscured xmlns:a14="http://schemas.microsoft.com/office/drawing/2010/main"/>
                      </a:ext>
                    </a:extLst>
                  </pic:spPr>
                </pic:pic>
              </a:graphicData>
            </a:graphic>
          </wp:inline>
        </w:drawing>
      </w:r>
    </w:p>
    <w:p w14:paraId="2AD6B8B9" w14:textId="77777777" w:rsidR="0070024E" w:rsidRDefault="0070024E" w:rsidP="00A02DF8">
      <w:pPr>
        <w:spacing w:after="0"/>
        <w:contextualSpacing/>
        <w:rPr>
          <w:b/>
        </w:rPr>
      </w:pPr>
      <w:r>
        <w:rPr>
          <w:b/>
        </w:rPr>
        <w:br w:type="page"/>
      </w:r>
    </w:p>
    <w:p w14:paraId="0A795459" w14:textId="77777777" w:rsidR="0070024E" w:rsidRDefault="0070024E" w:rsidP="00A02DF8">
      <w:pPr>
        <w:spacing w:after="0"/>
        <w:contextualSpacing/>
        <w:rPr>
          <w:b/>
        </w:rPr>
      </w:pPr>
      <w:r>
        <w:rPr>
          <w:b/>
        </w:rPr>
        <w:lastRenderedPageBreak/>
        <w:t>Figure A3</w:t>
      </w:r>
    </w:p>
    <w:p w14:paraId="6BA58437" w14:textId="054DFE16" w:rsidR="0070024E" w:rsidRDefault="0070024E" w:rsidP="00A02DF8">
      <w:pPr>
        <w:spacing w:after="0"/>
        <w:contextualSpacing/>
      </w:pPr>
      <w:r>
        <w:t xml:space="preserve">Estimates by vintage year of the difference between the probability of default of subsidiary nonbank (SNB) originations relative to independent nonbank (INB) originations for our </w:t>
      </w:r>
      <w:r w:rsidRPr="008E5CD3">
        <w:t xml:space="preserve">subprime mortgage subsample.  Estimates are derived from multinomial logit regressions similar to those in Table </w:t>
      </w:r>
      <w:r w:rsidR="001A494E">
        <w:t>4</w:t>
      </w:r>
      <w:r w:rsidRPr="008E5CD3">
        <w:t xml:space="preserve">, except </w:t>
      </w:r>
      <w:r w:rsidRPr="008E5CD3">
        <w:rPr>
          <w:i/>
        </w:rPr>
        <w:t>Post</w:t>
      </w:r>
      <w:r w:rsidRPr="008E5CD3">
        <w:t xml:space="preserve"> and its interaction with </w:t>
      </w:r>
      <w:r w:rsidRPr="008E5CD3">
        <w:rPr>
          <w:i/>
        </w:rPr>
        <w:t>Subsidiary</w:t>
      </w:r>
      <w:r w:rsidRPr="008E5CD3">
        <w:t xml:space="preserve"> are replaced by interactions of </w:t>
      </w:r>
      <w:r w:rsidRPr="008E5CD3">
        <w:rPr>
          <w:i/>
        </w:rPr>
        <w:t>Subsidiary</w:t>
      </w:r>
      <w:r w:rsidRPr="008E5CD3">
        <w:t xml:space="preserve"> with vintage year indicator variables.  </w:t>
      </w:r>
      <w:r w:rsidR="00615A24" w:rsidRPr="008E5CD3">
        <w:t xml:space="preserve">See footnote </w:t>
      </w:r>
      <w:r w:rsidR="00615A24">
        <w:t>3</w:t>
      </w:r>
      <w:r w:rsidR="00BF5D93">
        <w:t>2</w:t>
      </w:r>
      <w:r w:rsidR="00615A24" w:rsidRPr="008E5CD3">
        <w:t xml:space="preserve"> </w:t>
      </w:r>
      <w:r w:rsidR="00615A24">
        <w:t xml:space="preserve">in the main paper </w:t>
      </w:r>
      <w:r w:rsidR="00615A24" w:rsidRPr="008E5CD3">
        <w:t>for how we define vintage year indicator variables for</w:t>
      </w:r>
      <w:r w:rsidR="00615A24">
        <w:t xml:space="preserve"> Figures A1-A4</w:t>
      </w:r>
      <w:r w:rsidRPr="008E5CD3">
        <w:t>.  The dotted line at 2009 coincides with the Federal Reserve policy change subjecting</w:t>
      </w:r>
      <w:r>
        <w:t xml:space="preserve"> SNBs, but not INBs, to consumer compliance supervision.  The bars indicate the 95 percent confidence interval for each </w:t>
      </w:r>
      <w:r w:rsidRPr="00FC4210">
        <w:rPr>
          <w:i/>
        </w:rPr>
        <w:t>Subsidiary</w:t>
      </w:r>
      <w:r>
        <w:t xml:space="preserve"> * vintage year interaction term coefficient estimate.</w:t>
      </w:r>
    </w:p>
    <w:p w14:paraId="47CE206D" w14:textId="77777777" w:rsidR="0070024E" w:rsidRDefault="0070024E" w:rsidP="00A02DF8">
      <w:pPr>
        <w:spacing w:after="0"/>
        <w:contextualSpacing/>
        <w:rPr>
          <w:b/>
        </w:rPr>
      </w:pPr>
      <w:r>
        <w:rPr>
          <w:b/>
          <w:noProof/>
        </w:rPr>
        <w:drawing>
          <wp:inline distT="0" distB="0" distL="0" distR="0" wp14:anchorId="00E46E77" wp14:editId="566E7B1C">
            <wp:extent cx="5768794" cy="3537566"/>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7.png"/>
                    <pic:cNvPicPr/>
                  </pic:nvPicPr>
                  <pic:blipFill rotWithShape="1">
                    <a:blip r:embed="rId17">
                      <a:extLst>
                        <a:ext uri="{28A0092B-C50C-407E-A947-70E740481C1C}">
                          <a14:useLocalDpi xmlns:a14="http://schemas.microsoft.com/office/drawing/2010/main" val="0"/>
                        </a:ext>
                      </a:extLst>
                    </a:blip>
                    <a:srcRect l="2931" t="13861" b="4227"/>
                    <a:stretch/>
                  </pic:blipFill>
                  <pic:spPr bwMode="auto">
                    <a:xfrm>
                      <a:off x="0" y="0"/>
                      <a:ext cx="5769410" cy="3537944"/>
                    </a:xfrm>
                    <a:prstGeom prst="rect">
                      <a:avLst/>
                    </a:prstGeom>
                    <a:ln>
                      <a:noFill/>
                    </a:ln>
                    <a:extLst>
                      <a:ext uri="{53640926-AAD7-44D8-BBD7-CCE9431645EC}">
                        <a14:shadowObscured xmlns:a14="http://schemas.microsoft.com/office/drawing/2010/main"/>
                      </a:ext>
                    </a:extLst>
                  </pic:spPr>
                </pic:pic>
              </a:graphicData>
            </a:graphic>
          </wp:inline>
        </w:drawing>
      </w:r>
    </w:p>
    <w:p w14:paraId="49BEC58C" w14:textId="77777777" w:rsidR="0070024E" w:rsidRDefault="0070024E" w:rsidP="00A02DF8">
      <w:pPr>
        <w:spacing w:after="0"/>
        <w:contextualSpacing/>
        <w:rPr>
          <w:b/>
        </w:rPr>
      </w:pPr>
      <w:r>
        <w:rPr>
          <w:b/>
        </w:rPr>
        <w:br w:type="page"/>
      </w:r>
    </w:p>
    <w:p w14:paraId="36AD5E6E" w14:textId="77777777" w:rsidR="0070024E" w:rsidRDefault="0070024E" w:rsidP="00A02DF8">
      <w:pPr>
        <w:spacing w:after="0"/>
        <w:contextualSpacing/>
        <w:rPr>
          <w:b/>
        </w:rPr>
      </w:pPr>
      <w:r>
        <w:rPr>
          <w:b/>
        </w:rPr>
        <w:lastRenderedPageBreak/>
        <w:t>Figure A4</w:t>
      </w:r>
    </w:p>
    <w:p w14:paraId="340C823F" w14:textId="739C35BE" w:rsidR="0070024E" w:rsidRDefault="0070024E" w:rsidP="00A02DF8">
      <w:pPr>
        <w:spacing w:after="0"/>
        <w:contextualSpacing/>
      </w:pPr>
      <w:r>
        <w:t xml:space="preserve">Estimates by vintage year of the difference between the probability of prepayment of subsidiary nonbank (SNB) originations relative to independent nonbank (INB) originations for our subprime mortgage subsample.  </w:t>
      </w:r>
      <w:r w:rsidRPr="008E5CD3">
        <w:t xml:space="preserve">Estimates are derived from multinomial logit regressions similar to those in Table </w:t>
      </w:r>
      <w:r w:rsidR="001A494E">
        <w:t>4</w:t>
      </w:r>
      <w:r w:rsidRPr="008E5CD3">
        <w:t xml:space="preserve">, except </w:t>
      </w:r>
      <w:r w:rsidRPr="008E5CD3">
        <w:rPr>
          <w:i/>
        </w:rPr>
        <w:t>Post</w:t>
      </w:r>
      <w:r w:rsidRPr="008E5CD3">
        <w:t xml:space="preserve"> and its interaction with </w:t>
      </w:r>
      <w:r w:rsidRPr="008E5CD3">
        <w:rPr>
          <w:i/>
        </w:rPr>
        <w:t>Subsidiary</w:t>
      </w:r>
      <w:r w:rsidRPr="008E5CD3">
        <w:t xml:space="preserve"> are replaced by interactions of </w:t>
      </w:r>
      <w:r w:rsidRPr="008E5CD3">
        <w:rPr>
          <w:i/>
        </w:rPr>
        <w:t>Subsidiary</w:t>
      </w:r>
      <w:r w:rsidRPr="008E5CD3">
        <w:t xml:space="preserve"> with vintage year indicator variables.  </w:t>
      </w:r>
      <w:r w:rsidR="00615A24" w:rsidRPr="008E5CD3">
        <w:t xml:space="preserve">See footnote </w:t>
      </w:r>
      <w:r w:rsidR="00615A24">
        <w:t>3</w:t>
      </w:r>
      <w:r w:rsidR="00BF5D93">
        <w:t>2</w:t>
      </w:r>
      <w:r w:rsidR="00615A24" w:rsidRPr="008E5CD3">
        <w:t xml:space="preserve"> </w:t>
      </w:r>
      <w:r w:rsidR="00615A24">
        <w:t xml:space="preserve">in the main paper </w:t>
      </w:r>
      <w:r w:rsidR="00615A24" w:rsidRPr="008E5CD3">
        <w:t>for how we define vintage year indicator variables for</w:t>
      </w:r>
      <w:r w:rsidR="00615A24">
        <w:t xml:space="preserve"> Figures A1-A4</w:t>
      </w:r>
      <w:r w:rsidRPr="008E5CD3">
        <w:t>.  The dotted line at 2009</w:t>
      </w:r>
      <w:r>
        <w:t xml:space="preserve"> coincides with the Federal Reserve policy change subjecting SNBs, but not INBs, to consumer compliance supervision.  The bars indicate the 95 percent confidence interval for each </w:t>
      </w:r>
      <w:r w:rsidRPr="00FC4210">
        <w:rPr>
          <w:i/>
        </w:rPr>
        <w:t>Subsidiary</w:t>
      </w:r>
      <w:r>
        <w:t xml:space="preserve"> * vintage year interaction term coefficient estimate.</w:t>
      </w:r>
    </w:p>
    <w:p w14:paraId="5EED6E05" w14:textId="77777777" w:rsidR="0070024E" w:rsidRDefault="0070024E" w:rsidP="00A02DF8">
      <w:pPr>
        <w:spacing w:after="0"/>
        <w:contextualSpacing/>
        <w:rPr>
          <w:b/>
        </w:rPr>
      </w:pPr>
      <w:r>
        <w:rPr>
          <w:b/>
          <w:noProof/>
        </w:rPr>
        <w:drawing>
          <wp:inline distT="0" distB="0" distL="0" distR="0" wp14:anchorId="6775BDA2" wp14:editId="2AF8DAB3">
            <wp:extent cx="5942330" cy="3517591"/>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8.png"/>
                    <pic:cNvPicPr/>
                  </pic:nvPicPr>
                  <pic:blipFill rotWithShape="1">
                    <a:blip r:embed="rId18">
                      <a:extLst>
                        <a:ext uri="{28A0092B-C50C-407E-A947-70E740481C1C}">
                          <a14:useLocalDpi xmlns:a14="http://schemas.microsoft.com/office/drawing/2010/main" val="0"/>
                        </a:ext>
                      </a:extLst>
                    </a:blip>
                    <a:srcRect l="3114" t="14063" r="-3114" b="4480"/>
                    <a:stretch/>
                  </pic:blipFill>
                  <pic:spPr bwMode="auto">
                    <a:xfrm>
                      <a:off x="0" y="0"/>
                      <a:ext cx="5943600" cy="3518343"/>
                    </a:xfrm>
                    <a:prstGeom prst="rect">
                      <a:avLst/>
                    </a:prstGeom>
                    <a:ln>
                      <a:noFill/>
                    </a:ln>
                    <a:extLst>
                      <a:ext uri="{53640926-AAD7-44D8-BBD7-CCE9431645EC}">
                        <a14:shadowObscured xmlns:a14="http://schemas.microsoft.com/office/drawing/2010/main"/>
                      </a:ext>
                    </a:extLst>
                  </pic:spPr>
                </pic:pic>
              </a:graphicData>
            </a:graphic>
          </wp:inline>
        </w:drawing>
      </w:r>
    </w:p>
    <w:p w14:paraId="55A2AC6D" w14:textId="77777777" w:rsidR="00FD4CDF" w:rsidRDefault="00FD4CDF" w:rsidP="00A02DF8">
      <w:pPr>
        <w:spacing w:after="0"/>
        <w:contextualSpacing/>
        <w:rPr>
          <w:b/>
        </w:rPr>
      </w:pPr>
      <w:r>
        <w:rPr>
          <w:b/>
        </w:rPr>
        <w:br w:type="page"/>
      </w:r>
    </w:p>
    <w:p w14:paraId="31AF27D7" w14:textId="7C274464" w:rsidR="00890FA4" w:rsidRPr="00321278" w:rsidRDefault="00890FA4" w:rsidP="00890FA4">
      <w:pPr>
        <w:contextualSpacing/>
        <w:rPr>
          <w:b/>
        </w:rPr>
      </w:pPr>
      <w:r w:rsidRPr="00321278">
        <w:rPr>
          <w:b/>
        </w:rPr>
        <w:lastRenderedPageBreak/>
        <w:t xml:space="preserve">Table </w:t>
      </w:r>
      <w:r>
        <w:rPr>
          <w:b/>
        </w:rPr>
        <w:t>A1</w:t>
      </w:r>
    </w:p>
    <w:p w14:paraId="279841BE" w14:textId="77777777" w:rsidR="00890FA4" w:rsidRDefault="00890FA4" w:rsidP="00890FA4">
      <w:pPr>
        <w:contextualSpacing/>
      </w:pPr>
      <w:r>
        <w:t xml:space="preserve">Multinomial logit regressions based on monthly observations of first-lien, conventional, amortizing (non-balloon, non-interest only), fixed-rate mortgages for purchases of single-family residences or condominiums in Maryland and Virginia originated by nonbank originators between 2000 and 2015.  The sample is restricted to only mortgages originated by lenders that originated at least one mortgage in each of the ranges of years listed.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Pr="00EB01F8">
        <w:rPr>
          <w:i/>
        </w:rPr>
        <w:t>FICO</w:t>
      </w:r>
      <w:r>
        <w:t xml:space="preserve"> is the borrower’s FICO score at origination.  </w:t>
      </w:r>
      <w:r w:rsidRPr="00EB01F8">
        <w:rPr>
          <w:i/>
        </w:rPr>
        <w:t>CLTV</w:t>
      </w:r>
      <w:r>
        <w:t xml:space="preserve"> is the current loan balance divided by the current home value, where current home value is estimated as (1 + house price appreciation since origination) multiplied by the loan amount at origination divided by LTV at origination.  House price appreciation for CLTV is measured by the CoreLogic Solutions county-level monthly house price index.  </w:t>
      </w:r>
      <w:r w:rsidRPr="000E12EE">
        <w:rPr>
          <w:i/>
        </w:rPr>
        <w:t>LoanAge</w:t>
      </w:r>
      <w:r>
        <w:t xml:space="preserve"> is the number of months since origination.  </w:t>
      </w:r>
      <w:r w:rsidRPr="005B6422">
        <w:rPr>
          <w:i/>
        </w:rPr>
        <w:t>RefiPenalty</w:t>
      </w:r>
      <w:r>
        <w:t xml:space="preserve"> is the change in the PMMS rate since origination.  </w:t>
      </w:r>
      <w:r w:rsidRPr="006879D3">
        <w:rPr>
          <w:i/>
        </w:rPr>
        <w:t>InterestGap</w:t>
      </w:r>
      <w:r>
        <w:t xml:space="preserve"> is the difference between the mortgage interest rate at origination and the PMMS rate for the origination month.  </w:t>
      </w:r>
      <w:r w:rsidRPr="006879D3">
        <w:rPr>
          <w:i/>
        </w:rPr>
        <w:t>RelLoanSize</w:t>
      </w:r>
      <w:r>
        <w:t xml:space="preserve"> is the loan amount at origination divided by the average loan amount for originations in the same vintage year and county.  </w:t>
      </w:r>
      <w:r w:rsidRPr="00EB01F8">
        <w:rPr>
          <w:i/>
        </w:rPr>
        <w:t>Unemployment</w:t>
      </w:r>
      <w:r>
        <w:t xml:space="preserve"> is the monthly percentage change in the state-level unemployment rate.  </w:t>
      </w:r>
      <w:r>
        <w:rPr>
          <w:i/>
        </w:rPr>
        <w:t>HPI</w:t>
      </w:r>
      <w:r w:rsidRPr="007C5226">
        <w:t xml:space="preserve"> is the percent change in quarterly FHFA state-level house price index since origination</w:t>
      </w:r>
      <w:r w:rsidRPr="00B40C92">
        <w:t>.</w:t>
      </w:r>
      <w:r>
        <w:t xml:space="preserve">  </w:t>
      </w:r>
      <w:r w:rsidRPr="001A09E2">
        <w:rPr>
          <w:i/>
        </w:rPr>
        <w:t>Condo</w:t>
      </w:r>
      <w:r>
        <w:t xml:space="preserve"> is an indicator variable equaling one if the property is a condominium or townhouse and equaling zero if the property is a single family residence.  Each coefficient estimate represents the effect on the probability of default or prepayment, relative to the probability of the mortgage remaining current, of a one-unit change in the corresponding variable.  Vintage year indicators and a constant term are included in each specification.  Standard errors, clustered by loan, appear in parentheses</w:t>
      </w:r>
      <w:r w:rsidRPr="00957138">
        <w:t xml:space="preserve">.  </w:t>
      </w:r>
      <w:r>
        <w:t>Levels of significance are indicated by *, **, and *** for 10%, 5%, and 1%, respectively.</w:t>
      </w:r>
    </w:p>
    <w:p w14:paraId="171ED950" w14:textId="77777777" w:rsidR="00890FA4" w:rsidRDefault="00890FA4" w:rsidP="00890FA4">
      <w:pPr>
        <w:contextualSpacing/>
      </w:pPr>
    </w:p>
    <w:tbl>
      <w:tblPr>
        <w:tblW w:w="7959" w:type="dxa"/>
        <w:jc w:val="center"/>
        <w:tblLook w:val="04A0" w:firstRow="1" w:lastRow="0" w:firstColumn="1" w:lastColumn="0" w:noHBand="0" w:noVBand="1"/>
      </w:tblPr>
      <w:tblGrid>
        <w:gridCol w:w="1639"/>
        <w:gridCol w:w="1280"/>
        <w:gridCol w:w="1260"/>
        <w:gridCol w:w="1260"/>
        <w:gridCol w:w="1260"/>
        <w:gridCol w:w="1117"/>
        <w:gridCol w:w="143"/>
      </w:tblGrid>
      <w:tr w:rsidR="00890FA4" w:rsidRPr="006E6122" w14:paraId="239945E3" w14:textId="77777777" w:rsidTr="00890FA4">
        <w:trPr>
          <w:trHeight w:val="255"/>
          <w:jc w:val="center"/>
        </w:trPr>
        <w:tc>
          <w:tcPr>
            <w:tcW w:w="1639" w:type="dxa"/>
            <w:tcBorders>
              <w:top w:val="single" w:sz="4" w:space="0" w:color="auto"/>
              <w:left w:val="nil"/>
              <w:right w:val="nil"/>
            </w:tcBorders>
            <w:shd w:val="clear" w:color="auto" w:fill="auto"/>
            <w:noWrap/>
            <w:vAlign w:val="bottom"/>
            <w:hideMark/>
          </w:tcPr>
          <w:p w14:paraId="158389E3"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6320" w:type="dxa"/>
            <w:gridSpan w:val="6"/>
            <w:tcBorders>
              <w:top w:val="single" w:sz="4" w:space="0" w:color="auto"/>
              <w:left w:val="nil"/>
              <w:right w:val="nil"/>
            </w:tcBorders>
            <w:shd w:val="clear" w:color="auto" w:fill="auto"/>
            <w:noWrap/>
            <w:vAlign w:val="bottom"/>
            <w:hideMark/>
          </w:tcPr>
          <w:p w14:paraId="724D894D"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 xml:space="preserve">Probability of </w:t>
            </w:r>
            <w:r>
              <w:rPr>
                <w:rFonts w:ascii="Calibri" w:eastAsia="Times New Roman" w:hAnsi="Calibri" w:cs="Calibri"/>
                <w:sz w:val="20"/>
                <w:szCs w:val="20"/>
              </w:rPr>
              <w:t>d</w:t>
            </w:r>
            <w:r w:rsidRPr="006E6122">
              <w:rPr>
                <w:rFonts w:ascii="Calibri" w:eastAsia="Times New Roman" w:hAnsi="Calibri" w:cs="Calibri"/>
                <w:sz w:val="20"/>
                <w:szCs w:val="20"/>
              </w:rPr>
              <w:t>efault</w:t>
            </w:r>
          </w:p>
        </w:tc>
      </w:tr>
      <w:tr w:rsidR="00890FA4" w:rsidRPr="006E6122" w14:paraId="35C3CC6A" w14:textId="77777777" w:rsidTr="00890FA4">
        <w:trPr>
          <w:trHeight w:val="255"/>
          <w:jc w:val="center"/>
        </w:trPr>
        <w:tc>
          <w:tcPr>
            <w:tcW w:w="1639" w:type="dxa"/>
            <w:tcBorders>
              <w:top w:val="nil"/>
              <w:left w:val="nil"/>
              <w:right w:val="nil"/>
            </w:tcBorders>
            <w:shd w:val="clear" w:color="auto" w:fill="auto"/>
            <w:noWrap/>
            <w:vAlign w:val="bottom"/>
            <w:hideMark/>
          </w:tcPr>
          <w:p w14:paraId="4A1AD321" w14:textId="77777777" w:rsidR="00890FA4" w:rsidRPr="006E6122" w:rsidRDefault="00890FA4" w:rsidP="00BF5D93">
            <w:pPr>
              <w:spacing w:after="0" w:line="240" w:lineRule="auto"/>
              <w:jc w:val="center"/>
              <w:rPr>
                <w:rFonts w:ascii="Calibri" w:eastAsia="Times New Roman" w:hAnsi="Calibri" w:cs="Calibri"/>
                <w:sz w:val="18"/>
                <w:szCs w:val="18"/>
              </w:rPr>
            </w:pPr>
            <w:r w:rsidRPr="006E6122">
              <w:rPr>
                <w:rFonts w:ascii="Calibri" w:eastAsia="Times New Roman" w:hAnsi="Calibri" w:cs="Calibri"/>
                <w:sz w:val="18"/>
                <w:szCs w:val="18"/>
              </w:rPr>
              <w:t> </w:t>
            </w:r>
          </w:p>
        </w:tc>
        <w:tc>
          <w:tcPr>
            <w:tcW w:w="1280" w:type="dxa"/>
            <w:tcBorders>
              <w:top w:val="nil"/>
              <w:left w:val="nil"/>
              <w:right w:val="nil"/>
            </w:tcBorders>
            <w:shd w:val="clear" w:color="auto" w:fill="auto"/>
            <w:noWrap/>
            <w:vAlign w:val="bottom"/>
            <w:hideMark/>
          </w:tcPr>
          <w:p w14:paraId="022285A3"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2008-2010</w:t>
            </w:r>
          </w:p>
        </w:tc>
        <w:tc>
          <w:tcPr>
            <w:tcW w:w="1260" w:type="dxa"/>
            <w:tcBorders>
              <w:top w:val="nil"/>
              <w:left w:val="nil"/>
              <w:right w:val="nil"/>
            </w:tcBorders>
            <w:shd w:val="clear" w:color="auto" w:fill="auto"/>
            <w:noWrap/>
            <w:vAlign w:val="bottom"/>
            <w:hideMark/>
          </w:tcPr>
          <w:p w14:paraId="016D803B"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2007-2011</w:t>
            </w:r>
          </w:p>
        </w:tc>
        <w:tc>
          <w:tcPr>
            <w:tcW w:w="1260" w:type="dxa"/>
            <w:tcBorders>
              <w:top w:val="nil"/>
              <w:left w:val="nil"/>
              <w:right w:val="nil"/>
            </w:tcBorders>
            <w:shd w:val="clear" w:color="auto" w:fill="auto"/>
            <w:noWrap/>
            <w:vAlign w:val="bottom"/>
            <w:hideMark/>
          </w:tcPr>
          <w:p w14:paraId="60DD0BE2"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2006-2012</w:t>
            </w:r>
          </w:p>
        </w:tc>
        <w:tc>
          <w:tcPr>
            <w:tcW w:w="1260" w:type="dxa"/>
            <w:tcBorders>
              <w:top w:val="nil"/>
              <w:left w:val="nil"/>
              <w:right w:val="nil"/>
            </w:tcBorders>
            <w:shd w:val="clear" w:color="auto" w:fill="auto"/>
            <w:noWrap/>
            <w:vAlign w:val="bottom"/>
            <w:hideMark/>
          </w:tcPr>
          <w:p w14:paraId="1B1DD3A3"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2005-2013</w:t>
            </w:r>
          </w:p>
        </w:tc>
        <w:tc>
          <w:tcPr>
            <w:tcW w:w="1260" w:type="dxa"/>
            <w:gridSpan w:val="2"/>
            <w:tcBorders>
              <w:top w:val="nil"/>
              <w:left w:val="nil"/>
              <w:right w:val="nil"/>
            </w:tcBorders>
            <w:shd w:val="clear" w:color="auto" w:fill="auto"/>
            <w:noWrap/>
            <w:vAlign w:val="bottom"/>
            <w:hideMark/>
          </w:tcPr>
          <w:p w14:paraId="624CC238"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2004-2014</w:t>
            </w:r>
          </w:p>
        </w:tc>
      </w:tr>
      <w:tr w:rsidR="00890FA4" w:rsidRPr="006E6122" w14:paraId="71DD2B7F" w14:textId="77777777" w:rsidTr="00890FA4">
        <w:trPr>
          <w:trHeight w:val="255"/>
          <w:jc w:val="center"/>
        </w:trPr>
        <w:tc>
          <w:tcPr>
            <w:tcW w:w="1639" w:type="dxa"/>
            <w:tcBorders>
              <w:left w:val="nil"/>
              <w:bottom w:val="single" w:sz="4" w:space="0" w:color="auto"/>
              <w:right w:val="nil"/>
            </w:tcBorders>
            <w:shd w:val="clear" w:color="auto" w:fill="auto"/>
            <w:noWrap/>
            <w:vAlign w:val="bottom"/>
            <w:hideMark/>
          </w:tcPr>
          <w:p w14:paraId="3385D1D4"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left w:val="nil"/>
              <w:bottom w:val="single" w:sz="4" w:space="0" w:color="auto"/>
              <w:right w:val="nil"/>
            </w:tcBorders>
            <w:shd w:val="clear" w:color="auto" w:fill="auto"/>
            <w:noWrap/>
            <w:vAlign w:val="bottom"/>
            <w:hideMark/>
          </w:tcPr>
          <w:p w14:paraId="2FCF8B42"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(1)</w:t>
            </w:r>
          </w:p>
        </w:tc>
        <w:tc>
          <w:tcPr>
            <w:tcW w:w="1260" w:type="dxa"/>
            <w:tcBorders>
              <w:left w:val="nil"/>
              <w:bottom w:val="single" w:sz="4" w:space="0" w:color="auto"/>
              <w:right w:val="nil"/>
            </w:tcBorders>
            <w:shd w:val="clear" w:color="auto" w:fill="auto"/>
            <w:noWrap/>
            <w:vAlign w:val="bottom"/>
            <w:hideMark/>
          </w:tcPr>
          <w:p w14:paraId="481E2344"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w:t>
            </w:r>
          </w:p>
        </w:tc>
        <w:tc>
          <w:tcPr>
            <w:tcW w:w="1260" w:type="dxa"/>
            <w:tcBorders>
              <w:left w:val="nil"/>
              <w:bottom w:val="single" w:sz="4" w:space="0" w:color="auto"/>
              <w:right w:val="nil"/>
            </w:tcBorders>
            <w:shd w:val="clear" w:color="auto" w:fill="auto"/>
            <w:noWrap/>
            <w:vAlign w:val="bottom"/>
            <w:hideMark/>
          </w:tcPr>
          <w:p w14:paraId="473BBBB3"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(3)</w:t>
            </w:r>
          </w:p>
        </w:tc>
        <w:tc>
          <w:tcPr>
            <w:tcW w:w="1260" w:type="dxa"/>
            <w:tcBorders>
              <w:left w:val="nil"/>
              <w:bottom w:val="single" w:sz="4" w:space="0" w:color="auto"/>
              <w:right w:val="nil"/>
            </w:tcBorders>
            <w:shd w:val="clear" w:color="auto" w:fill="auto"/>
            <w:noWrap/>
            <w:vAlign w:val="bottom"/>
            <w:hideMark/>
          </w:tcPr>
          <w:p w14:paraId="599C8D41"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(4)</w:t>
            </w:r>
          </w:p>
        </w:tc>
        <w:tc>
          <w:tcPr>
            <w:tcW w:w="1260" w:type="dxa"/>
            <w:gridSpan w:val="2"/>
            <w:tcBorders>
              <w:left w:val="nil"/>
              <w:bottom w:val="single" w:sz="4" w:space="0" w:color="auto"/>
              <w:right w:val="nil"/>
            </w:tcBorders>
            <w:shd w:val="clear" w:color="auto" w:fill="auto"/>
            <w:noWrap/>
            <w:vAlign w:val="bottom"/>
            <w:hideMark/>
          </w:tcPr>
          <w:p w14:paraId="65E3DE89" w14:textId="77777777" w:rsidR="00890FA4" w:rsidRPr="006E6122" w:rsidRDefault="00890FA4" w:rsidP="00BF5D93">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(5)</w:t>
            </w:r>
          </w:p>
        </w:tc>
      </w:tr>
      <w:tr w:rsidR="00890FA4" w:rsidRPr="006E6122" w14:paraId="596C2C2A" w14:textId="77777777" w:rsidTr="00890FA4">
        <w:trPr>
          <w:trHeight w:val="255"/>
          <w:jc w:val="center"/>
        </w:trPr>
        <w:tc>
          <w:tcPr>
            <w:tcW w:w="1639" w:type="dxa"/>
            <w:tcBorders>
              <w:top w:val="single" w:sz="4" w:space="0" w:color="auto"/>
              <w:left w:val="nil"/>
              <w:bottom w:val="nil"/>
              <w:right w:val="nil"/>
            </w:tcBorders>
            <w:shd w:val="clear" w:color="auto" w:fill="auto"/>
            <w:noWrap/>
            <w:vAlign w:val="bottom"/>
            <w:hideMark/>
          </w:tcPr>
          <w:p w14:paraId="4CDA9F65" w14:textId="77777777" w:rsidR="00890FA4" w:rsidRPr="004961A2" w:rsidRDefault="00890FA4" w:rsidP="00BF5D93">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280" w:type="dxa"/>
            <w:tcBorders>
              <w:top w:val="single" w:sz="4" w:space="0" w:color="auto"/>
              <w:left w:val="nil"/>
              <w:bottom w:val="nil"/>
              <w:right w:val="nil"/>
            </w:tcBorders>
            <w:shd w:val="clear" w:color="auto" w:fill="auto"/>
            <w:noWrap/>
            <w:vAlign w:val="bottom"/>
          </w:tcPr>
          <w:p w14:paraId="7A21D40F" w14:textId="77777777" w:rsidR="00890FA4" w:rsidRPr="00533AA5" w:rsidRDefault="00890FA4" w:rsidP="00BF5D93">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.0503</w:t>
            </w:r>
          </w:p>
        </w:tc>
        <w:tc>
          <w:tcPr>
            <w:tcW w:w="1260" w:type="dxa"/>
            <w:tcBorders>
              <w:top w:val="single" w:sz="4" w:space="0" w:color="auto"/>
              <w:left w:val="nil"/>
              <w:bottom w:val="nil"/>
              <w:right w:val="nil"/>
            </w:tcBorders>
            <w:shd w:val="clear" w:color="auto" w:fill="auto"/>
            <w:noWrap/>
            <w:vAlign w:val="bottom"/>
          </w:tcPr>
          <w:p w14:paraId="7ED132A4" w14:textId="77777777" w:rsidR="00890FA4" w:rsidRPr="00533AA5" w:rsidRDefault="00890FA4" w:rsidP="00BF5D93">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.0588</w:t>
            </w:r>
          </w:p>
        </w:tc>
        <w:tc>
          <w:tcPr>
            <w:tcW w:w="1260" w:type="dxa"/>
            <w:tcBorders>
              <w:top w:val="single" w:sz="4" w:space="0" w:color="auto"/>
              <w:left w:val="nil"/>
              <w:bottom w:val="nil"/>
              <w:right w:val="nil"/>
            </w:tcBorders>
            <w:shd w:val="clear" w:color="auto" w:fill="auto"/>
            <w:noWrap/>
            <w:vAlign w:val="bottom"/>
          </w:tcPr>
          <w:p w14:paraId="3A90ACB3" w14:textId="77777777" w:rsidR="00890FA4" w:rsidRPr="00533AA5" w:rsidRDefault="00890FA4" w:rsidP="00BF5D93">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.0451</w:t>
            </w:r>
          </w:p>
        </w:tc>
        <w:tc>
          <w:tcPr>
            <w:tcW w:w="1260" w:type="dxa"/>
            <w:tcBorders>
              <w:top w:val="single" w:sz="4" w:space="0" w:color="auto"/>
              <w:left w:val="nil"/>
              <w:bottom w:val="nil"/>
              <w:right w:val="nil"/>
            </w:tcBorders>
            <w:shd w:val="clear" w:color="auto" w:fill="auto"/>
            <w:noWrap/>
            <w:vAlign w:val="bottom"/>
          </w:tcPr>
          <w:p w14:paraId="5B3E10E3" w14:textId="77777777" w:rsidR="00890FA4" w:rsidRPr="00533AA5" w:rsidRDefault="00890FA4" w:rsidP="00BF5D93">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.0113</w:t>
            </w:r>
          </w:p>
        </w:tc>
        <w:tc>
          <w:tcPr>
            <w:tcW w:w="1260" w:type="dxa"/>
            <w:gridSpan w:val="2"/>
            <w:tcBorders>
              <w:top w:val="single" w:sz="4" w:space="0" w:color="auto"/>
              <w:left w:val="nil"/>
              <w:bottom w:val="nil"/>
              <w:right w:val="nil"/>
            </w:tcBorders>
            <w:shd w:val="clear" w:color="auto" w:fill="auto"/>
            <w:noWrap/>
            <w:vAlign w:val="bottom"/>
          </w:tcPr>
          <w:p w14:paraId="771AC7B4" w14:textId="77777777" w:rsidR="00890FA4" w:rsidRPr="00533AA5" w:rsidRDefault="00890FA4" w:rsidP="00BF5D93">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.0467</w:t>
            </w:r>
          </w:p>
        </w:tc>
      </w:tr>
      <w:tr w:rsidR="00890FA4" w:rsidRPr="006E6122" w14:paraId="221B4119"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25E7372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23AA7B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(.053)</w:t>
            </w:r>
          </w:p>
        </w:tc>
        <w:tc>
          <w:tcPr>
            <w:tcW w:w="1260" w:type="dxa"/>
            <w:tcBorders>
              <w:top w:val="nil"/>
              <w:left w:val="nil"/>
              <w:bottom w:val="nil"/>
              <w:right w:val="nil"/>
            </w:tcBorders>
            <w:shd w:val="clear" w:color="auto" w:fill="auto"/>
            <w:noWrap/>
            <w:vAlign w:val="bottom"/>
          </w:tcPr>
          <w:p w14:paraId="0F419A5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(.0537)</w:t>
            </w:r>
          </w:p>
        </w:tc>
        <w:tc>
          <w:tcPr>
            <w:tcW w:w="1260" w:type="dxa"/>
            <w:tcBorders>
              <w:top w:val="nil"/>
              <w:left w:val="nil"/>
              <w:bottom w:val="nil"/>
              <w:right w:val="nil"/>
            </w:tcBorders>
            <w:shd w:val="clear" w:color="auto" w:fill="auto"/>
            <w:noWrap/>
            <w:vAlign w:val="bottom"/>
          </w:tcPr>
          <w:p w14:paraId="62CB84B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(.0702)</w:t>
            </w:r>
          </w:p>
        </w:tc>
        <w:tc>
          <w:tcPr>
            <w:tcW w:w="1260" w:type="dxa"/>
            <w:tcBorders>
              <w:top w:val="nil"/>
              <w:left w:val="nil"/>
              <w:bottom w:val="nil"/>
              <w:right w:val="nil"/>
            </w:tcBorders>
            <w:shd w:val="clear" w:color="auto" w:fill="auto"/>
            <w:noWrap/>
            <w:vAlign w:val="bottom"/>
          </w:tcPr>
          <w:p w14:paraId="34AEB99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(.0725)</w:t>
            </w:r>
          </w:p>
        </w:tc>
        <w:tc>
          <w:tcPr>
            <w:tcW w:w="1260" w:type="dxa"/>
            <w:gridSpan w:val="2"/>
            <w:tcBorders>
              <w:top w:val="nil"/>
              <w:left w:val="nil"/>
              <w:bottom w:val="nil"/>
              <w:right w:val="nil"/>
            </w:tcBorders>
            <w:shd w:val="clear" w:color="auto" w:fill="auto"/>
            <w:noWrap/>
            <w:vAlign w:val="bottom"/>
          </w:tcPr>
          <w:p w14:paraId="2E12CBA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(.0775)</w:t>
            </w:r>
          </w:p>
        </w:tc>
      </w:tr>
      <w:tr w:rsidR="00890FA4" w:rsidRPr="006E6122" w14:paraId="4E4645F6"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0A9D32D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280" w:type="dxa"/>
            <w:tcBorders>
              <w:top w:val="nil"/>
              <w:left w:val="nil"/>
              <w:bottom w:val="nil"/>
              <w:right w:val="nil"/>
            </w:tcBorders>
            <w:shd w:val="clear" w:color="auto" w:fill="auto"/>
            <w:noWrap/>
            <w:vAlign w:val="bottom"/>
          </w:tcPr>
          <w:p w14:paraId="4BB495B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-.501***</w:t>
            </w:r>
          </w:p>
        </w:tc>
        <w:tc>
          <w:tcPr>
            <w:tcW w:w="1260" w:type="dxa"/>
            <w:tcBorders>
              <w:top w:val="nil"/>
              <w:left w:val="nil"/>
              <w:bottom w:val="nil"/>
              <w:right w:val="nil"/>
            </w:tcBorders>
            <w:shd w:val="clear" w:color="auto" w:fill="auto"/>
            <w:noWrap/>
            <w:vAlign w:val="bottom"/>
          </w:tcPr>
          <w:p w14:paraId="69E029A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-.65</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7AAD0E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-.616**</w:t>
            </w:r>
          </w:p>
        </w:tc>
        <w:tc>
          <w:tcPr>
            <w:tcW w:w="1260" w:type="dxa"/>
            <w:tcBorders>
              <w:top w:val="nil"/>
              <w:left w:val="nil"/>
              <w:bottom w:val="nil"/>
              <w:right w:val="nil"/>
            </w:tcBorders>
            <w:shd w:val="clear" w:color="auto" w:fill="auto"/>
            <w:noWrap/>
            <w:vAlign w:val="bottom"/>
          </w:tcPr>
          <w:p w14:paraId="4F1CCA3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-.588**</w:t>
            </w:r>
          </w:p>
        </w:tc>
        <w:tc>
          <w:tcPr>
            <w:tcW w:w="1260" w:type="dxa"/>
            <w:gridSpan w:val="2"/>
            <w:tcBorders>
              <w:top w:val="nil"/>
              <w:left w:val="nil"/>
              <w:bottom w:val="nil"/>
              <w:right w:val="nil"/>
            </w:tcBorders>
            <w:shd w:val="clear" w:color="auto" w:fill="auto"/>
            <w:noWrap/>
            <w:vAlign w:val="bottom"/>
          </w:tcPr>
          <w:p w14:paraId="1E87795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-.669**</w:t>
            </w:r>
          </w:p>
        </w:tc>
      </w:tr>
      <w:tr w:rsidR="00890FA4" w:rsidRPr="006E6122" w14:paraId="72173AD3"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78F6BBE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C94002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(.18</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44D6099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(.234)</w:t>
            </w:r>
          </w:p>
        </w:tc>
        <w:tc>
          <w:tcPr>
            <w:tcW w:w="1260" w:type="dxa"/>
            <w:tcBorders>
              <w:top w:val="nil"/>
              <w:left w:val="nil"/>
              <w:bottom w:val="nil"/>
              <w:right w:val="nil"/>
            </w:tcBorders>
            <w:shd w:val="clear" w:color="auto" w:fill="auto"/>
            <w:noWrap/>
            <w:vAlign w:val="bottom"/>
          </w:tcPr>
          <w:p w14:paraId="6239EB1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(.243)</w:t>
            </w:r>
          </w:p>
        </w:tc>
        <w:tc>
          <w:tcPr>
            <w:tcW w:w="1260" w:type="dxa"/>
            <w:tcBorders>
              <w:top w:val="nil"/>
              <w:left w:val="nil"/>
              <w:bottom w:val="nil"/>
              <w:right w:val="nil"/>
            </w:tcBorders>
            <w:shd w:val="clear" w:color="auto" w:fill="auto"/>
            <w:noWrap/>
            <w:vAlign w:val="bottom"/>
          </w:tcPr>
          <w:p w14:paraId="62FDF03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(.244)</w:t>
            </w:r>
          </w:p>
        </w:tc>
        <w:tc>
          <w:tcPr>
            <w:tcW w:w="1260" w:type="dxa"/>
            <w:gridSpan w:val="2"/>
            <w:tcBorders>
              <w:top w:val="nil"/>
              <w:left w:val="nil"/>
              <w:bottom w:val="nil"/>
              <w:right w:val="nil"/>
            </w:tcBorders>
            <w:shd w:val="clear" w:color="auto" w:fill="auto"/>
            <w:noWrap/>
            <w:vAlign w:val="bottom"/>
          </w:tcPr>
          <w:p w14:paraId="42F5FDD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(.271)</w:t>
            </w:r>
          </w:p>
        </w:tc>
      </w:tr>
      <w:tr w:rsidR="00890FA4" w:rsidRPr="006E6122" w14:paraId="13229576"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0038B32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280" w:type="dxa"/>
            <w:tcBorders>
              <w:top w:val="nil"/>
              <w:left w:val="nil"/>
              <w:bottom w:val="nil"/>
              <w:right w:val="nil"/>
            </w:tcBorders>
            <w:shd w:val="clear" w:color="auto" w:fill="auto"/>
            <w:noWrap/>
            <w:vAlign w:val="bottom"/>
          </w:tcPr>
          <w:p w14:paraId="1A3EAF6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-.485***</w:t>
            </w:r>
          </w:p>
        </w:tc>
        <w:tc>
          <w:tcPr>
            <w:tcW w:w="1260" w:type="dxa"/>
            <w:tcBorders>
              <w:top w:val="nil"/>
              <w:left w:val="nil"/>
              <w:bottom w:val="nil"/>
              <w:right w:val="nil"/>
            </w:tcBorders>
            <w:shd w:val="clear" w:color="auto" w:fill="auto"/>
            <w:noWrap/>
            <w:vAlign w:val="bottom"/>
          </w:tcPr>
          <w:p w14:paraId="71DAAA2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-.495***</w:t>
            </w:r>
          </w:p>
        </w:tc>
        <w:tc>
          <w:tcPr>
            <w:tcW w:w="1260" w:type="dxa"/>
            <w:tcBorders>
              <w:top w:val="nil"/>
              <w:left w:val="nil"/>
              <w:bottom w:val="nil"/>
              <w:right w:val="nil"/>
            </w:tcBorders>
            <w:shd w:val="clear" w:color="auto" w:fill="auto"/>
            <w:noWrap/>
            <w:vAlign w:val="bottom"/>
          </w:tcPr>
          <w:p w14:paraId="6CBF604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-.448***</w:t>
            </w:r>
          </w:p>
        </w:tc>
        <w:tc>
          <w:tcPr>
            <w:tcW w:w="1260" w:type="dxa"/>
            <w:tcBorders>
              <w:top w:val="nil"/>
              <w:left w:val="nil"/>
              <w:bottom w:val="nil"/>
              <w:right w:val="nil"/>
            </w:tcBorders>
            <w:shd w:val="clear" w:color="auto" w:fill="auto"/>
            <w:noWrap/>
            <w:vAlign w:val="bottom"/>
          </w:tcPr>
          <w:p w14:paraId="04DEB28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-.363***</w:t>
            </w:r>
          </w:p>
        </w:tc>
        <w:tc>
          <w:tcPr>
            <w:tcW w:w="1260" w:type="dxa"/>
            <w:gridSpan w:val="2"/>
            <w:tcBorders>
              <w:top w:val="nil"/>
              <w:left w:val="nil"/>
              <w:bottom w:val="nil"/>
              <w:right w:val="nil"/>
            </w:tcBorders>
            <w:shd w:val="clear" w:color="auto" w:fill="auto"/>
            <w:noWrap/>
            <w:vAlign w:val="bottom"/>
          </w:tcPr>
          <w:p w14:paraId="6E74D52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-.433***</w:t>
            </w:r>
          </w:p>
        </w:tc>
      </w:tr>
      <w:tr w:rsidR="00890FA4" w:rsidRPr="006E6122" w14:paraId="3C345DB1"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30CC843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0FA171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(.0899)</w:t>
            </w:r>
          </w:p>
        </w:tc>
        <w:tc>
          <w:tcPr>
            <w:tcW w:w="1260" w:type="dxa"/>
            <w:tcBorders>
              <w:top w:val="nil"/>
              <w:left w:val="nil"/>
              <w:bottom w:val="nil"/>
              <w:right w:val="nil"/>
            </w:tcBorders>
            <w:shd w:val="clear" w:color="auto" w:fill="auto"/>
            <w:noWrap/>
            <w:vAlign w:val="bottom"/>
          </w:tcPr>
          <w:p w14:paraId="05549BA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(.0963)</w:t>
            </w:r>
          </w:p>
        </w:tc>
        <w:tc>
          <w:tcPr>
            <w:tcW w:w="1260" w:type="dxa"/>
            <w:tcBorders>
              <w:top w:val="nil"/>
              <w:left w:val="nil"/>
              <w:bottom w:val="nil"/>
              <w:right w:val="nil"/>
            </w:tcBorders>
            <w:shd w:val="clear" w:color="auto" w:fill="auto"/>
            <w:noWrap/>
            <w:vAlign w:val="bottom"/>
          </w:tcPr>
          <w:p w14:paraId="19E44EC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(.107)</w:t>
            </w:r>
          </w:p>
        </w:tc>
        <w:tc>
          <w:tcPr>
            <w:tcW w:w="1260" w:type="dxa"/>
            <w:tcBorders>
              <w:top w:val="nil"/>
              <w:left w:val="nil"/>
              <w:bottom w:val="nil"/>
              <w:right w:val="nil"/>
            </w:tcBorders>
            <w:shd w:val="clear" w:color="auto" w:fill="auto"/>
            <w:noWrap/>
            <w:vAlign w:val="bottom"/>
          </w:tcPr>
          <w:p w14:paraId="66AE09F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(.11</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gridSpan w:val="2"/>
            <w:tcBorders>
              <w:top w:val="nil"/>
              <w:left w:val="nil"/>
              <w:bottom w:val="nil"/>
              <w:right w:val="nil"/>
            </w:tcBorders>
            <w:shd w:val="clear" w:color="auto" w:fill="auto"/>
            <w:noWrap/>
            <w:vAlign w:val="bottom"/>
          </w:tcPr>
          <w:p w14:paraId="3DC1505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(.116)</w:t>
            </w:r>
          </w:p>
        </w:tc>
      </w:tr>
      <w:tr w:rsidR="00890FA4" w:rsidRPr="006E6122" w14:paraId="122728B9"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3FFB36B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280" w:type="dxa"/>
            <w:tcBorders>
              <w:top w:val="nil"/>
              <w:left w:val="nil"/>
              <w:bottom w:val="nil"/>
              <w:right w:val="nil"/>
            </w:tcBorders>
            <w:shd w:val="clear" w:color="auto" w:fill="auto"/>
            <w:noWrap/>
            <w:vAlign w:val="bottom"/>
          </w:tcPr>
          <w:p w14:paraId="236E645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-.0166***</w:t>
            </w:r>
          </w:p>
        </w:tc>
        <w:tc>
          <w:tcPr>
            <w:tcW w:w="1260" w:type="dxa"/>
            <w:tcBorders>
              <w:top w:val="nil"/>
              <w:left w:val="nil"/>
              <w:bottom w:val="nil"/>
              <w:right w:val="nil"/>
            </w:tcBorders>
            <w:shd w:val="clear" w:color="auto" w:fill="auto"/>
            <w:noWrap/>
            <w:vAlign w:val="bottom"/>
          </w:tcPr>
          <w:p w14:paraId="5D0C4C5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-.0161***</w:t>
            </w:r>
          </w:p>
        </w:tc>
        <w:tc>
          <w:tcPr>
            <w:tcW w:w="1260" w:type="dxa"/>
            <w:tcBorders>
              <w:top w:val="nil"/>
              <w:left w:val="nil"/>
              <w:bottom w:val="nil"/>
              <w:right w:val="nil"/>
            </w:tcBorders>
            <w:shd w:val="clear" w:color="auto" w:fill="auto"/>
            <w:noWrap/>
            <w:vAlign w:val="bottom"/>
          </w:tcPr>
          <w:p w14:paraId="3BD9DE0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-.0178***</w:t>
            </w:r>
          </w:p>
        </w:tc>
        <w:tc>
          <w:tcPr>
            <w:tcW w:w="1260" w:type="dxa"/>
            <w:tcBorders>
              <w:top w:val="nil"/>
              <w:left w:val="nil"/>
              <w:bottom w:val="nil"/>
              <w:right w:val="nil"/>
            </w:tcBorders>
            <w:shd w:val="clear" w:color="auto" w:fill="auto"/>
            <w:noWrap/>
            <w:vAlign w:val="bottom"/>
          </w:tcPr>
          <w:p w14:paraId="3026A6E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-.0178***</w:t>
            </w:r>
          </w:p>
        </w:tc>
        <w:tc>
          <w:tcPr>
            <w:tcW w:w="1260" w:type="dxa"/>
            <w:gridSpan w:val="2"/>
            <w:tcBorders>
              <w:top w:val="nil"/>
              <w:left w:val="nil"/>
              <w:bottom w:val="nil"/>
              <w:right w:val="nil"/>
            </w:tcBorders>
            <w:shd w:val="clear" w:color="auto" w:fill="auto"/>
            <w:noWrap/>
            <w:vAlign w:val="bottom"/>
          </w:tcPr>
          <w:p w14:paraId="55DCC96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-.0179***</w:t>
            </w:r>
          </w:p>
        </w:tc>
      </w:tr>
      <w:tr w:rsidR="00890FA4" w:rsidRPr="006E6122" w14:paraId="3A26BA98"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0351EC72"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78E87D7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(.000403)</w:t>
            </w:r>
          </w:p>
        </w:tc>
        <w:tc>
          <w:tcPr>
            <w:tcW w:w="1260" w:type="dxa"/>
            <w:tcBorders>
              <w:top w:val="nil"/>
              <w:left w:val="nil"/>
              <w:bottom w:val="nil"/>
              <w:right w:val="nil"/>
            </w:tcBorders>
            <w:shd w:val="clear" w:color="auto" w:fill="auto"/>
            <w:noWrap/>
            <w:vAlign w:val="bottom"/>
          </w:tcPr>
          <w:p w14:paraId="0A225D4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(.000413)</w:t>
            </w:r>
          </w:p>
        </w:tc>
        <w:tc>
          <w:tcPr>
            <w:tcW w:w="1260" w:type="dxa"/>
            <w:tcBorders>
              <w:top w:val="nil"/>
              <w:left w:val="nil"/>
              <w:bottom w:val="nil"/>
              <w:right w:val="nil"/>
            </w:tcBorders>
            <w:shd w:val="clear" w:color="auto" w:fill="auto"/>
            <w:noWrap/>
            <w:vAlign w:val="bottom"/>
          </w:tcPr>
          <w:p w14:paraId="63625BB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(.000522)</w:t>
            </w:r>
          </w:p>
        </w:tc>
        <w:tc>
          <w:tcPr>
            <w:tcW w:w="1260" w:type="dxa"/>
            <w:tcBorders>
              <w:top w:val="nil"/>
              <w:left w:val="nil"/>
              <w:bottom w:val="nil"/>
              <w:right w:val="nil"/>
            </w:tcBorders>
            <w:shd w:val="clear" w:color="auto" w:fill="auto"/>
            <w:noWrap/>
            <w:vAlign w:val="bottom"/>
          </w:tcPr>
          <w:p w14:paraId="4F65684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(.000543)</w:t>
            </w:r>
          </w:p>
        </w:tc>
        <w:tc>
          <w:tcPr>
            <w:tcW w:w="1260" w:type="dxa"/>
            <w:gridSpan w:val="2"/>
            <w:tcBorders>
              <w:top w:val="nil"/>
              <w:left w:val="nil"/>
              <w:bottom w:val="nil"/>
              <w:right w:val="nil"/>
            </w:tcBorders>
            <w:shd w:val="clear" w:color="auto" w:fill="auto"/>
            <w:noWrap/>
            <w:vAlign w:val="bottom"/>
          </w:tcPr>
          <w:p w14:paraId="005E3BB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(.000568)</w:t>
            </w:r>
          </w:p>
        </w:tc>
      </w:tr>
      <w:tr w:rsidR="00890FA4" w:rsidRPr="006E6122" w14:paraId="4432F008"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7AD13980"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1280" w:type="dxa"/>
            <w:tcBorders>
              <w:top w:val="nil"/>
              <w:left w:val="nil"/>
              <w:bottom w:val="nil"/>
              <w:right w:val="nil"/>
            </w:tcBorders>
            <w:shd w:val="clear" w:color="auto" w:fill="auto"/>
            <w:noWrap/>
            <w:vAlign w:val="bottom"/>
          </w:tcPr>
          <w:p w14:paraId="4797DB6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.00151***</w:t>
            </w:r>
          </w:p>
        </w:tc>
        <w:tc>
          <w:tcPr>
            <w:tcW w:w="1260" w:type="dxa"/>
            <w:tcBorders>
              <w:top w:val="nil"/>
              <w:left w:val="nil"/>
              <w:bottom w:val="nil"/>
              <w:right w:val="nil"/>
            </w:tcBorders>
            <w:shd w:val="clear" w:color="auto" w:fill="auto"/>
            <w:noWrap/>
            <w:vAlign w:val="bottom"/>
          </w:tcPr>
          <w:p w14:paraId="27C8306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.00147***</w:t>
            </w:r>
          </w:p>
        </w:tc>
        <w:tc>
          <w:tcPr>
            <w:tcW w:w="1260" w:type="dxa"/>
            <w:tcBorders>
              <w:top w:val="nil"/>
              <w:left w:val="nil"/>
              <w:bottom w:val="nil"/>
              <w:right w:val="nil"/>
            </w:tcBorders>
            <w:shd w:val="clear" w:color="auto" w:fill="auto"/>
            <w:noWrap/>
            <w:vAlign w:val="bottom"/>
          </w:tcPr>
          <w:p w14:paraId="45F64F5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.00134***</w:t>
            </w:r>
          </w:p>
        </w:tc>
        <w:tc>
          <w:tcPr>
            <w:tcW w:w="1260" w:type="dxa"/>
            <w:tcBorders>
              <w:top w:val="nil"/>
              <w:left w:val="nil"/>
              <w:bottom w:val="nil"/>
              <w:right w:val="nil"/>
            </w:tcBorders>
            <w:shd w:val="clear" w:color="auto" w:fill="auto"/>
            <w:noWrap/>
            <w:vAlign w:val="bottom"/>
          </w:tcPr>
          <w:p w14:paraId="154E879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.00129***</w:t>
            </w:r>
          </w:p>
        </w:tc>
        <w:tc>
          <w:tcPr>
            <w:tcW w:w="1260" w:type="dxa"/>
            <w:gridSpan w:val="2"/>
            <w:tcBorders>
              <w:top w:val="nil"/>
              <w:left w:val="nil"/>
              <w:bottom w:val="nil"/>
              <w:right w:val="nil"/>
            </w:tcBorders>
            <w:shd w:val="clear" w:color="auto" w:fill="auto"/>
            <w:noWrap/>
            <w:vAlign w:val="bottom"/>
          </w:tcPr>
          <w:p w14:paraId="00B53EB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.00127***</w:t>
            </w:r>
          </w:p>
        </w:tc>
      </w:tr>
      <w:tr w:rsidR="00890FA4" w:rsidRPr="006E6122" w14:paraId="0396FFA3"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712F33A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ADE782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(.000395)</w:t>
            </w:r>
          </w:p>
        </w:tc>
        <w:tc>
          <w:tcPr>
            <w:tcW w:w="1260" w:type="dxa"/>
            <w:tcBorders>
              <w:top w:val="nil"/>
              <w:left w:val="nil"/>
              <w:bottom w:val="nil"/>
              <w:right w:val="nil"/>
            </w:tcBorders>
            <w:shd w:val="clear" w:color="auto" w:fill="auto"/>
            <w:noWrap/>
            <w:vAlign w:val="bottom"/>
          </w:tcPr>
          <w:p w14:paraId="03B5016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(.000387)</w:t>
            </w:r>
          </w:p>
        </w:tc>
        <w:tc>
          <w:tcPr>
            <w:tcW w:w="1260" w:type="dxa"/>
            <w:tcBorders>
              <w:top w:val="nil"/>
              <w:left w:val="nil"/>
              <w:bottom w:val="nil"/>
              <w:right w:val="nil"/>
            </w:tcBorders>
            <w:shd w:val="clear" w:color="auto" w:fill="auto"/>
            <w:noWrap/>
            <w:vAlign w:val="bottom"/>
          </w:tcPr>
          <w:p w14:paraId="5204C3C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(.000366)</w:t>
            </w:r>
          </w:p>
        </w:tc>
        <w:tc>
          <w:tcPr>
            <w:tcW w:w="1260" w:type="dxa"/>
            <w:tcBorders>
              <w:top w:val="nil"/>
              <w:left w:val="nil"/>
              <w:bottom w:val="nil"/>
              <w:right w:val="nil"/>
            </w:tcBorders>
            <w:shd w:val="clear" w:color="auto" w:fill="auto"/>
            <w:noWrap/>
            <w:vAlign w:val="bottom"/>
          </w:tcPr>
          <w:p w14:paraId="1BD8B6C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(.000364)</w:t>
            </w:r>
          </w:p>
        </w:tc>
        <w:tc>
          <w:tcPr>
            <w:tcW w:w="1260" w:type="dxa"/>
            <w:gridSpan w:val="2"/>
            <w:tcBorders>
              <w:top w:val="nil"/>
              <w:left w:val="nil"/>
              <w:bottom w:val="nil"/>
              <w:right w:val="nil"/>
            </w:tcBorders>
            <w:shd w:val="clear" w:color="auto" w:fill="auto"/>
            <w:noWrap/>
            <w:vAlign w:val="bottom"/>
          </w:tcPr>
          <w:p w14:paraId="63E92E0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(.00036</w:t>
            </w:r>
            <w:r>
              <w:rPr>
                <w:rFonts w:ascii="Calibri" w:eastAsia="Times New Roman" w:hAnsi="Calibri" w:cs="Calibri"/>
                <w:sz w:val="20"/>
                <w:szCs w:val="20"/>
              </w:rPr>
              <w:t>0</w:t>
            </w:r>
            <w:r w:rsidRPr="00533AA5">
              <w:rPr>
                <w:rFonts w:ascii="Calibri" w:eastAsia="Times New Roman" w:hAnsi="Calibri" w:cs="Calibri"/>
                <w:sz w:val="20"/>
                <w:szCs w:val="20"/>
              </w:rPr>
              <w:t>)</w:t>
            </w:r>
          </w:p>
        </w:tc>
      </w:tr>
      <w:tr w:rsidR="00890FA4" w:rsidRPr="006E6122" w14:paraId="6D89244F"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52D9BBD3"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1280" w:type="dxa"/>
            <w:tcBorders>
              <w:top w:val="nil"/>
              <w:left w:val="nil"/>
              <w:bottom w:val="nil"/>
              <w:right w:val="nil"/>
            </w:tcBorders>
            <w:shd w:val="clear" w:color="auto" w:fill="auto"/>
            <w:noWrap/>
            <w:vAlign w:val="bottom"/>
          </w:tcPr>
          <w:p w14:paraId="06075C8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.0444***</w:t>
            </w:r>
          </w:p>
        </w:tc>
        <w:tc>
          <w:tcPr>
            <w:tcW w:w="1260" w:type="dxa"/>
            <w:tcBorders>
              <w:top w:val="nil"/>
              <w:left w:val="nil"/>
              <w:bottom w:val="nil"/>
              <w:right w:val="nil"/>
            </w:tcBorders>
            <w:shd w:val="clear" w:color="auto" w:fill="auto"/>
            <w:noWrap/>
            <w:vAlign w:val="bottom"/>
          </w:tcPr>
          <w:p w14:paraId="6376715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.0439***</w:t>
            </w:r>
          </w:p>
        </w:tc>
        <w:tc>
          <w:tcPr>
            <w:tcW w:w="1260" w:type="dxa"/>
            <w:tcBorders>
              <w:top w:val="nil"/>
              <w:left w:val="nil"/>
              <w:bottom w:val="nil"/>
              <w:right w:val="nil"/>
            </w:tcBorders>
            <w:shd w:val="clear" w:color="auto" w:fill="auto"/>
            <w:noWrap/>
            <w:vAlign w:val="bottom"/>
          </w:tcPr>
          <w:p w14:paraId="51E670C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.0482***</w:t>
            </w:r>
          </w:p>
        </w:tc>
        <w:tc>
          <w:tcPr>
            <w:tcW w:w="1260" w:type="dxa"/>
            <w:tcBorders>
              <w:top w:val="nil"/>
              <w:left w:val="nil"/>
              <w:bottom w:val="nil"/>
              <w:right w:val="nil"/>
            </w:tcBorders>
            <w:shd w:val="clear" w:color="auto" w:fill="auto"/>
            <w:noWrap/>
            <w:vAlign w:val="bottom"/>
          </w:tcPr>
          <w:p w14:paraId="1080F37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.0479***</w:t>
            </w:r>
          </w:p>
        </w:tc>
        <w:tc>
          <w:tcPr>
            <w:tcW w:w="1260" w:type="dxa"/>
            <w:gridSpan w:val="2"/>
            <w:tcBorders>
              <w:top w:val="nil"/>
              <w:left w:val="nil"/>
              <w:bottom w:val="nil"/>
              <w:right w:val="nil"/>
            </w:tcBorders>
            <w:shd w:val="clear" w:color="auto" w:fill="auto"/>
            <w:noWrap/>
            <w:vAlign w:val="bottom"/>
          </w:tcPr>
          <w:p w14:paraId="3E08AAB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.0469***</w:t>
            </w:r>
          </w:p>
        </w:tc>
      </w:tr>
      <w:tr w:rsidR="00890FA4" w:rsidRPr="006E6122" w14:paraId="46E5F009"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4142ED00"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F8AEE0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(.00253)</w:t>
            </w:r>
          </w:p>
        </w:tc>
        <w:tc>
          <w:tcPr>
            <w:tcW w:w="1260" w:type="dxa"/>
            <w:tcBorders>
              <w:top w:val="nil"/>
              <w:left w:val="nil"/>
              <w:bottom w:val="nil"/>
              <w:right w:val="nil"/>
            </w:tcBorders>
            <w:shd w:val="clear" w:color="auto" w:fill="auto"/>
            <w:noWrap/>
            <w:vAlign w:val="bottom"/>
          </w:tcPr>
          <w:p w14:paraId="4FDAFC0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(.00265)</w:t>
            </w:r>
          </w:p>
        </w:tc>
        <w:tc>
          <w:tcPr>
            <w:tcW w:w="1260" w:type="dxa"/>
            <w:tcBorders>
              <w:top w:val="nil"/>
              <w:left w:val="nil"/>
              <w:bottom w:val="nil"/>
              <w:right w:val="nil"/>
            </w:tcBorders>
            <w:shd w:val="clear" w:color="auto" w:fill="auto"/>
            <w:noWrap/>
            <w:vAlign w:val="bottom"/>
          </w:tcPr>
          <w:p w14:paraId="1F0479A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(.00303)</w:t>
            </w:r>
          </w:p>
        </w:tc>
        <w:tc>
          <w:tcPr>
            <w:tcW w:w="1260" w:type="dxa"/>
            <w:tcBorders>
              <w:top w:val="nil"/>
              <w:left w:val="nil"/>
              <w:bottom w:val="nil"/>
              <w:right w:val="nil"/>
            </w:tcBorders>
            <w:shd w:val="clear" w:color="auto" w:fill="auto"/>
            <w:noWrap/>
            <w:vAlign w:val="bottom"/>
          </w:tcPr>
          <w:p w14:paraId="09BCE4D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(.00313)</w:t>
            </w:r>
          </w:p>
        </w:tc>
        <w:tc>
          <w:tcPr>
            <w:tcW w:w="1260" w:type="dxa"/>
            <w:gridSpan w:val="2"/>
            <w:tcBorders>
              <w:top w:val="nil"/>
              <w:left w:val="nil"/>
              <w:bottom w:val="nil"/>
              <w:right w:val="nil"/>
            </w:tcBorders>
            <w:shd w:val="clear" w:color="auto" w:fill="auto"/>
            <w:noWrap/>
            <w:vAlign w:val="bottom"/>
          </w:tcPr>
          <w:p w14:paraId="2EA3399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(.00321)</w:t>
            </w:r>
          </w:p>
        </w:tc>
      </w:tr>
      <w:tr w:rsidR="00890FA4" w:rsidRPr="006E6122" w14:paraId="4630CE65"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7E36655A"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1280" w:type="dxa"/>
            <w:tcBorders>
              <w:top w:val="nil"/>
              <w:left w:val="nil"/>
              <w:bottom w:val="nil"/>
              <w:right w:val="nil"/>
            </w:tcBorders>
            <w:shd w:val="clear" w:color="auto" w:fill="auto"/>
            <w:noWrap/>
            <w:vAlign w:val="bottom"/>
          </w:tcPr>
          <w:p w14:paraId="07DB36F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-.000232***</w:t>
            </w:r>
          </w:p>
        </w:tc>
        <w:tc>
          <w:tcPr>
            <w:tcW w:w="1260" w:type="dxa"/>
            <w:tcBorders>
              <w:top w:val="nil"/>
              <w:left w:val="nil"/>
              <w:bottom w:val="nil"/>
              <w:right w:val="nil"/>
            </w:tcBorders>
            <w:shd w:val="clear" w:color="auto" w:fill="auto"/>
            <w:noWrap/>
            <w:vAlign w:val="bottom"/>
          </w:tcPr>
          <w:p w14:paraId="7FD8729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-.000228***</w:t>
            </w:r>
          </w:p>
        </w:tc>
        <w:tc>
          <w:tcPr>
            <w:tcW w:w="1260" w:type="dxa"/>
            <w:tcBorders>
              <w:top w:val="nil"/>
              <w:left w:val="nil"/>
              <w:bottom w:val="nil"/>
              <w:right w:val="nil"/>
            </w:tcBorders>
            <w:shd w:val="clear" w:color="auto" w:fill="auto"/>
            <w:noWrap/>
            <w:vAlign w:val="bottom"/>
          </w:tcPr>
          <w:p w14:paraId="2DB0713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-.000254***</w:t>
            </w:r>
          </w:p>
        </w:tc>
        <w:tc>
          <w:tcPr>
            <w:tcW w:w="1260" w:type="dxa"/>
            <w:tcBorders>
              <w:top w:val="nil"/>
              <w:left w:val="nil"/>
              <w:bottom w:val="nil"/>
              <w:right w:val="nil"/>
            </w:tcBorders>
            <w:shd w:val="clear" w:color="auto" w:fill="auto"/>
            <w:noWrap/>
            <w:vAlign w:val="bottom"/>
          </w:tcPr>
          <w:p w14:paraId="64F4B9C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-.000254***</w:t>
            </w:r>
          </w:p>
        </w:tc>
        <w:tc>
          <w:tcPr>
            <w:tcW w:w="1260" w:type="dxa"/>
            <w:gridSpan w:val="2"/>
            <w:tcBorders>
              <w:top w:val="nil"/>
              <w:left w:val="nil"/>
              <w:bottom w:val="nil"/>
              <w:right w:val="nil"/>
            </w:tcBorders>
            <w:shd w:val="clear" w:color="auto" w:fill="auto"/>
            <w:noWrap/>
            <w:vAlign w:val="bottom"/>
          </w:tcPr>
          <w:p w14:paraId="1B87DCD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-.000249***</w:t>
            </w:r>
          </w:p>
        </w:tc>
      </w:tr>
      <w:tr w:rsidR="00890FA4" w:rsidRPr="006E6122" w14:paraId="612F80BC"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596AD6C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72BF55B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(.0000246)</w:t>
            </w:r>
          </w:p>
        </w:tc>
        <w:tc>
          <w:tcPr>
            <w:tcW w:w="1260" w:type="dxa"/>
            <w:tcBorders>
              <w:top w:val="nil"/>
              <w:left w:val="nil"/>
              <w:bottom w:val="nil"/>
              <w:right w:val="nil"/>
            </w:tcBorders>
            <w:shd w:val="clear" w:color="auto" w:fill="auto"/>
            <w:noWrap/>
            <w:vAlign w:val="bottom"/>
          </w:tcPr>
          <w:p w14:paraId="3147D56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(.0000255)</w:t>
            </w:r>
          </w:p>
        </w:tc>
        <w:tc>
          <w:tcPr>
            <w:tcW w:w="1260" w:type="dxa"/>
            <w:tcBorders>
              <w:top w:val="nil"/>
              <w:left w:val="nil"/>
              <w:bottom w:val="nil"/>
              <w:right w:val="nil"/>
            </w:tcBorders>
            <w:shd w:val="clear" w:color="auto" w:fill="auto"/>
            <w:noWrap/>
            <w:vAlign w:val="bottom"/>
          </w:tcPr>
          <w:p w14:paraId="2BD373F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(.0000291)</w:t>
            </w:r>
          </w:p>
        </w:tc>
        <w:tc>
          <w:tcPr>
            <w:tcW w:w="1260" w:type="dxa"/>
            <w:tcBorders>
              <w:top w:val="nil"/>
              <w:left w:val="nil"/>
              <w:bottom w:val="nil"/>
              <w:right w:val="nil"/>
            </w:tcBorders>
            <w:shd w:val="clear" w:color="auto" w:fill="auto"/>
            <w:noWrap/>
            <w:vAlign w:val="bottom"/>
          </w:tcPr>
          <w:p w14:paraId="6A149B8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(.0000298)</w:t>
            </w:r>
          </w:p>
        </w:tc>
        <w:tc>
          <w:tcPr>
            <w:tcW w:w="1260" w:type="dxa"/>
            <w:gridSpan w:val="2"/>
            <w:tcBorders>
              <w:top w:val="nil"/>
              <w:left w:val="nil"/>
              <w:bottom w:val="nil"/>
              <w:right w:val="nil"/>
            </w:tcBorders>
            <w:shd w:val="clear" w:color="auto" w:fill="auto"/>
            <w:noWrap/>
            <w:vAlign w:val="bottom"/>
          </w:tcPr>
          <w:p w14:paraId="339E765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(.0000305)</w:t>
            </w:r>
          </w:p>
        </w:tc>
      </w:tr>
      <w:tr w:rsidR="00890FA4" w:rsidRPr="006E6122" w14:paraId="49A30338"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766A99E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1280" w:type="dxa"/>
            <w:tcBorders>
              <w:top w:val="nil"/>
              <w:left w:val="nil"/>
              <w:bottom w:val="nil"/>
              <w:right w:val="nil"/>
            </w:tcBorders>
            <w:shd w:val="clear" w:color="auto" w:fill="auto"/>
            <w:noWrap/>
            <w:vAlign w:val="bottom"/>
          </w:tcPr>
          <w:p w14:paraId="729F9C3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.877***</w:t>
            </w:r>
          </w:p>
        </w:tc>
        <w:tc>
          <w:tcPr>
            <w:tcW w:w="1260" w:type="dxa"/>
            <w:tcBorders>
              <w:top w:val="nil"/>
              <w:left w:val="nil"/>
              <w:bottom w:val="nil"/>
              <w:right w:val="nil"/>
            </w:tcBorders>
            <w:shd w:val="clear" w:color="auto" w:fill="auto"/>
            <w:noWrap/>
            <w:vAlign w:val="bottom"/>
          </w:tcPr>
          <w:p w14:paraId="7039E8A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.904***</w:t>
            </w:r>
          </w:p>
        </w:tc>
        <w:tc>
          <w:tcPr>
            <w:tcW w:w="1260" w:type="dxa"/>
            <w:tcBorders>
              <w:top w:val="nil"/>
              <w:left w:val="nil"/>
              <w:bottom w:val="nil"/>
              <w:right w:val="nil"/>
            </w:tcBorders>
            <w:shd w:val="clear" w:color="auto" w:fill="auto"/>
            <w:noWrap/>
            <w:vAlign w:val="bottom"/>
          </w:tcPr>
          <w:p w14:paraId="789EA7A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.997***</w:t>
            </w:r>
          </w:p>
        </w:tc>
        <w:tc>
          <w:tcPr>
            <w:tcW w:w="1260" w:type="dxa"/>
            <w:tcBorders>
              <w:top w:val="nil"/>
              <w:left w:val="nil"/>
              <w:bottom w:val="nil"/>
              <w:right w:val="nil"/>
            </w:tcBorders>
            <w:shd w:val="clear" w:color="auto" w:fill="auto"/>
            <w:noWrap/>
            <w:vAlign w:val="bottom"/>
          </w:tcPr>
          <w:p w14:paraId="7991B36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.895***</w:t>
            </w:r>
          </w:p>
        </w:tc>
        <w:tc>
          <w:tcPr>
            <w:tcW w:w="1260" w:type="dxa"/>
            <w:gridSpan w:val="2"/>
            <w:tcBorders>
              <w:top w:val="nil"/>
              <w:left w:val="nil"/>
              <w:bottom w:val="nil"/>
              <w:right w:val="nil"/>
            </w:tcBorders>
            <w:shd w:val="clear" w:color="auto" w:fill="auto"/>
            <w:noWrap/>
            <w:vAlign w:val="bottom"/>
          </w:tcPr>
          <w:p w14:paraId="659CC0F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.763***</w:t>
            </w:r>
          </w:p>
        </w:tc>
      </w:tr>
      <w:tr w:rsidR="00890FA4" w:rsidRPr="006E6122" w14:paraId="0AD8AACB"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0DBF4620"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7DF1F7B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(.219)</w:t>
            </w:r>
          </w:p>
        </w:tc>
        <w:tc>
          <w:tcPr>
            <w:tcW w:w="1260" w:type="dxa"/>
            <w:tcBorders>
              <w:top w:val="nil"/>
              <w:left w:val="nil"/>
              <w:bottom w:val="nil"/>
              <w:right w:val="nil"/>
            </w:tcBorders>
            <w:shd w:val="clear" w:color="auto" w:fill="auto"/>
            <w:noWrap/>
            <w:vAlign w:val="bottom"/>
          </w:tcPr>
          <w:p w14:paraId="46B9FDC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(.23</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6848A4C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(.257)</w:t>
            </w:r>
          </w:p>
        </w:tc>
        <w:tc>
          <w:tcPr>
            <w:tcW w:w="1260" w:type="dxa"/>
            <w:tcBorders>
              <w:top w:val="nil"/>
              <w:left w:val="nil"/>
              <w:bottom w:val="nil"/>
              <w:right w:val="nil"/>
            </w:tcBorders>
            <w:shd w:val="clear" w:color="auto" w:fill="auto"/>
            <w:noWrap/>
            <w:vAlign w:val="bottom"/>
          </w:tcPr>
          <w:p w14:paraId="45E5A9E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(.265)</w:t>
            </w:r>
          </w:p>
        </w:tc>
        <w:tc>
          <w:tcPr>
            <w:tcW w:w="1260" w:type="dxa"/>
            <w:gridSpan w:val="2"/>
            <w:tcBorders>
              <w:top w:val="nil"/>
              <w:left w:val="nil"/>
              <w:bottom w:val="nil"/>
              <w:right w:val="nil"/>
            </w:tcBorders>
            <w:shd w:val="clear" w:color="auto" w:fill="auto"/>
            <w:noWrap/>
            <w:vAlign w:val="bottom"/>
          </w:tcPr>
          <w:p w14:paraId="16B3CD5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(.273)</w:t>
            </w:r>
          </w:p>
        </w:tc>
      </w:tr>
      <w:tr w:rsidR="00890FA4" w:rsidRPr="006E6122" w14:paraId="1A1D6015"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351CE5B8"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1280" w:type="dxa"/>
            <w:tcBorders>
              <w:top w:val="nil"/>
              <w:left w:val="nil"/>
              <w:bottom w:val="nil"/>
              <w:right w:val="nil"/>
            </w:tcBorders>
            <w:shd w:val="clear" w:color="auto" w:fill="auto"/>
            <w:noWrap/>
            <w:vAlign w:val="bottom"/>
          </w:tcPr>
          <w:p w14:paraId="30A5919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.375***</w:t>
            </w:r>
          </w:p>
        </w:tc>
        <w:tc>
          <w:tcPr>
            <w:tcW w:w="1260" w:type="dxa"/>
            <w:tcBorders>
              <w:top w:val="nil"/>
              <w:left w:val="nil"/>
              <w:bottom w:val="nil"/>
              <w:right w:val="nil"/>
            </w:tcBorders>
            <w:shd w:val="clear" w:color="auto" w:fill="auto"/>
            <w:noWrap/>
            <w:vAlign w:val="bottom"/>
          </w:tcPr>
          <w:p w14:paraId="5AD0491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.391***</w:t>
            </w:r>
          </w:p>
        </w:tc>
        <w:tc>
          <w:tcPr>
            <w:tcW w:w="1260" w:type="dxa"/>
            <w:tcBorders>
              <w:top w:val="nil"/>
              <w:left w:val="nil"/>
              <w:bottom w:val="nil"/>
              <w:right w:val="nil"/>
            </w:tcBorders>
            <w:shd w:val="clear" w:color="auto" w:fill="auto"/>
            <w:noWrap/>
            <w:vAlign w:val="bottom"/>
          </w:tcPr>
          <w:p w14:paraId="038FF5E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.315***</w:t>
            </w:r>
          </w:p>
        </w:tc>
        <w:tc>
          <w:tcPr>
            <w:tcW w:w="1260" w:type="dxa"/>
            <w:tcBorders>
              <w:top w:val="nil"/>
              <w:left w:val="nil"/>
              <w:bottom w:val="nil"/>
              <w:right w:val="nil"/>
            </w:tcBorders>
            <w:shd w:val="clear" w:color="auto" w:fill="auto"/>
            <w:noWrap/>
            <w:vAlign w:val="bottom"/>
          </w:tcPr>
          <w:p w14:paraId="44D8975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.295***</w:t>
            </w:r>
          </w:p>
        </w:tc>
        <w:tc>
          <w:tcPr>
            <w:tcW w:w="1260" w:type="dxa"/>
            <w:gridSpan w:val="2"/>
            <w:tcBorders>
              <w:top w:val="nil"/>
              <w:left w:val="nil"/>
              <w:bottom w:val="nil"/>
              <w:right w:val="nil"/>
            </w:tcBorders>
            <w:shd w:val="clear" w:color="auto" w:fill="auto"/>
            <w:noWrap/>
            <w:vAlign w:val="bottom"/>
          </w:tcPr>
          <w:p w14:paraId="4434012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.293***</w:t>
            </w:r>
          </w:p>
        </w:tc>
      </w:tr>
      <w:tr w:rsidR="00890FA4" w:rsidRPr="006E6122" w14:paraId="6C629084"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73FBC57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CD35D2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(.0477)</w:t>
            </w:r>
          </w:p>
        </w:tc>
        <w:tc>
          <w:tcPr>
            <w:tcW w:w="1260" w:type="dxa"/>
            <w:tcBorders>
              <w:top w:val="nil"/>
              <w:left w:val="nil"/>
              <w:bottom w:val="nil"/>
              <w:right w:val="nil"/>
            </w:tcBorders>
            <w:shd w:val="clear" w:color="auto" w:fill="auto"/>
            <w:noWrap/>
            <w:vAlign w:val="bottom"/>
          </w:tcPr>
          <w:p w14:paraId="73A9121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(.0485)</w:t>
            </w:r>
          </w:p>
        </w:tc>
        <w:tc>
          <w:tcPr>
            <w:tcW w:w="1260" w:type="dxa"/>
            <w:tcBorders>
              <w:top w:val="nil"/>
              <w:left w:val="nil"/>
              <w:bottom w:val="nil"/>
              <w:right w:val="nil"/>
            </w:tcBorders>
            <w:shd w:val="clear" w:color="auto" w:fill="auto"/>
            <w:noWrap/>
            <w:vAlign w:val="bottom"/>
          </w:tcPr>
          <w:p w14:paraId="3828827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(.0609)</w:t>
            </w:r>
          </w:p>
        </w:tc>
        <w:tc>
          <w:tcPr>
            <w:tcW w:w="1260" w:type="dxa"/>
            <w:tcBorders>
              <w:top w:val="nil"/>
              <w:left w:val="nil"/>
              <w:bottom w:val="nil"/>
              <w:right w:val="nil"/>
            </w:tcBorders>
            <w:shd w:val="clear" w:color="auto" w:fill="auto"/>
            <w:noWrap/>
            <w:vAlign w:val="bottom"/>
          </w:tcPr>
          <w:p w14:paraId="052184A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(.0614)</w:t>
            </w:r>
          </w:p>
        </w:tc>
        <w:tc>
          <w:tcPr>
            <w:tcW w:w="1260" w:type="dxa"/>
            <w:gridSpan w:val="2"/>
            <w:tcBorders>
              <w:top w:val="nil"/>
              <w:left w:val="nil"/>
              <w:bottom w:val="nil"/>
              <w:right w:val="nil"/>
            </w:tcBorders>
            <w:shd w:val="clear" w:color="auto" w:fill="auto"/>
            <w:noWrap/>
            <w:vAlign w:val="bottom"/>
          </w:tcPr>
          <w:p w14:paraId="71EB568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(.0648)</w:t>
            </w:r>
          </w:p>
        </w:tc>
      </w:tr>
      <w:tr w:rsidR="00890FA4" w:rsidRPr="006E6122" w14:paraId="2494F25E"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1C4F0952"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280" w:type="dxa"/>
            <w:tcBorders>
              <w:top w:val="nil"/>
              <w:left w:val="nil"/>
              <w:bottom w:val="nil"/>
              <w:right w:val="nil"/>
            </w:tcBorders>
            <w:shd w:val="clear" w:color="auto" w:fill="auto"/>
            <w:noWrap/>
            <w:vAlign w:val="bottom"/>
          </w:tcPr>
          <w:p w14:paraId="1F2561E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.0308</w:t>
            </w:r>
          </w:p>
        </w:tc>
        <w:tc>
          <w:tcPr>
            <w:tcW w:w="1260" w:type="dxa"/>
            <w:tcBorders>
              <w:top w:val="nil"/>
              <w:left w:val="nil"/>
              <w:bottom w:val="nil"/>
              <w:right w:val="nil"/>
            </w:tcBorders>
            <w:shd w:val="clear" w:color="auto" w:fill="auto"/>
            <w:noWrap/>
            <w:vAlign w:val="bottom"/>
          </w:tcPr>
          <w:p w14:paraId="782905C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.0446</w:t>
            </w:r>
          </w:p>
        </w:tc>
        <w:tc>
          <w:tcPr>
            <w:tcW w:w="1260" w:type="dxa"/>
            <w:tcBorders>
              <w:top w:val="nil"/>
              <w:left w:val="nil"/>
              <w:bottom w:val="nil"/>
              <w:right w:val="nil"/>
            </w:tcBorders>
            <w:shd w:val="clear" w:color="auto" w:fill="auto"/>
            <w:noWrap/>
            <w:vAlign w:val="bottom"/>
          </w:tcPr>
          <w:p w14:paraId="58D0562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-.0121</w:t>
            </w:r>
          </w:p>
        </w:tc>
        <w:tc>
          <w:tcPr>
            <w:tcW w:w="1260" w:type="dxa"/>
            <w:tcBorders>
              <w:top w:val="nil"/>
              <w:left w:val="nil"/>
              <w:bottom w:val="nil"/>
              <w:right w:val="nil"/>
            </w:tcBorders>
            <w:shd w:val="clear" w:color="auto" w:fill="auto"/>
            <w:noWrap/>
            <w:vAlign w:val="bottom"/>
          </w:tcPr>
          <w:p w14:paraId="4B84DC9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-.00334</w:t>
            </w:r>
          </w:p>
        </w:tc>
        <w:tc>
          <w:tcPr>
            <w:tcW w:w="1260" w:type="dxa"/>
            <w:gridSpan w:val="2"/>
            <w:tcBorders>
              <w:top w:val="nil"/>
              <w:left w:val="nil"/>
              <w:bottom w:val="nil"/>
              <w:right w:val="nil"/>
            </w:tcBorders>
            <w:shd w:val="clear" w:color="auto" w:fill="auto"/>
            <w:noWrap/>
            <w:vAlign w:val="bottom"/>
          </w:tcPr>
          <w:p w14:paraId="430EA9C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-.0361</w:t>
            </w:r>
          </w:p>
        </w:tc>
      </w:tr>
      <w:tr w:rsidR="00890FA4" w:rsidRPr="006E6122" w14:paraId="2AB0393C"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0122D24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FE97DE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(.0576)</w:t>
            </w:r>
          </w:p>
        </w:tc>
        <w:tc>
          <w:tcPr>
            <w:tcW w:w="1260" w:type="dxa"/>
            <w:tcBorders>
              <w:top w:val="nil"/>
              <w:left w:val="nil"/>
              <w:bottom w:val="nil"/>
              <w:right w:val="nil"/>
            </w:tcBorders>
            <w:shd w:val="clear" w:color="auto" w:fill="auto"/>
            <w:noWrap/>
            <w:vAlign w:val="bottom"/>
          </w:tcPr>
          <w:p w14:paraId="2B8FE2C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(.0604)</w:t>
            </w:r>
          </w:p>
        </w:tc>
        <w:tc>
          <w:tcPr>
            <w:tcW w:w="1260" w:type="dxa"/>
            <w:tcBorders>
              <w:top w:val="nil"/>
              <w:left w:val="nil"/>
              <w:bottom w:val="nil"/>
              <w:right w:val="nil"/>
            </w:tcBorders>
            <w:shd w:val="clear" w:color="auto" w:fill="auto"/>
            <w:noWrap/>
            <w:vAlign w:val="bottom"/>
          </w:tcPr>
          <w:p w14:paraId="49FBEC2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(.0725)</w:t>
            </w:r>
          </w:p>
        </w:tc>
        <w:tc>
          <w:tcPr>
            <w:tcW w:w="1260" w:type="dxa"/>
            <w:tcBorders>
              <w:top w:val="nil"/>
              <w:left w:val="nil"/>
              <w:bottom w:val="nil"/>
              <w:right w:val="nil"/>
            </w:tcBorders>
            <w:shd w:val="clear" w:color="auto" w:fill="auto"/>
            <w:noWrap/>
            <w:vAlign w:val="bottom"/>
          </w:tcPr>
          <w:p w14:paraId="609FA66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(.0746)</w:t>
            </w:r>
          </w:p>
        </w:tc>
        <w:tc>
          <w:tcPr>
            <w:tcW w:w="1260" w:type="dxa"/>
            <w:gridSpan w:val="2"/>
            <w:tcBorders>
              <w:top w:val="nil"/>
              <w:left w:val="nil"/>
              <w:bottom w:val="nil"/>
              <w:right w:val="nil"/>
            </w:tcBorders>
            <w:shd w:val="clear" w:color="auto" w:fill="auto"/>
            <w:noWrap/>
            <w:vAlign w:val="bottom"/>
          </w:tcPr>
          <w:p w14:paraId="67BF230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(.0786)</w:t>
            </w:r>
          </w:p>
        </w:tc>
      </w:tr>
      <w:tr w:rsidR="00890FA4" w:rsidRPr="006E6122" w14:paraId="3C8CBE8A"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45907D4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lastRenderedPageBreak/>
              <w:t>Unemployment</w:t>
            </w:r>
          </w:p>
        </w:tc>
        <w:tc>
          <w:tcPr>
            <w:tcW w:w="1280" w:type="dxa"/>
            <w:tcBorders>
              <w:top w:val="nil"/>
              <w:left w:val="nil"/>
              <w:bottom w:val="nil"/>
              <w:right w:val="nil"/>
            </w:tcBorders>
            <w:shd w:val="clear" w:color="auto" w:fill="auto"/>
            <w:noWrap/>
            <w:vAlign w:val="bottom"/>
          </w:tcPr>
          <w:p w14:paraId="5322D56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.0547***</w:t>
            </w:r>
          </w:p>
        </w:tc>
        <w:tc>
          <w:tcPr>
            <w:tcW w:w="1260" w:type="dxa"/>
            <w:tcBorders>
              <w:top w:val="nil"/>
              <w:left w:val="nil"/>
              <w:bottom w:val="nil"/>
              <w:right w:val="nil"/>
            </w:tcBorders>
            <w:shd w:val="clear" w:color="auto" w:fill="auto"/>
            <w:noWrap/>
            <w:vAlign w:val="bottom"/>
          </w:tcPr>
          <w:p w14:paraId="7A61844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.0591***</w:t>
            </w:r>
          </w:p>
        </w:tc>
        <w:tc>
          <w:tcPr>
            <w:tcW w:w="1260" w:type="dxa"/>
            <w:tcBorders>
              <w:top w:val="nil"/>
              <w:left w:val="nil"/>
              <w:bottom w:val="nil"/>
              <w:right w:val="nil"/>
            </w:tcBorders>
            <w:shd w:val="clear" w:color="auto" w:fill="auto"/>
            <w:noWrap/>
            <w:vAlign w:val="bottom"/>
          </w:tcPr>
          <w:p w14:paraId="0A1C193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.0435***</w:t>
            </w:r>
          </w:p>
        </w:tc>
        <w:tc>
          <w:tcPr>
            <w:tcW w:w="1260" w:type="dxa"/>
            <w:tcBorders>
              <w:top w:val="nil"/>
              <w:left w:val="nil"/>
              <w:bottom w:val="nil"/>
              <w:right w:val="nil"/>
            </w:tcBorders>
            <w:shd w:val="clear" w:color="auto" w:fill="auto"/>
            <w:noWrap/>
            <w:vAlign w:val="bottom"/>
          </w:tcPr>
          <w:p w14:paraId="73003E3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.0464***</w:t>
            </w:r>
          </w:p>
        </w:tc>
        <w:tc>
          <w:tcPr>
            <w:tcW w:w="1260" w:type="dxa"/>
            <w:gridSpan w:val="2"/>
            <w:tcBorders>
              <w:top w:val="nil"/>
              <w:left w:val="nil"/>
              <w:bottom w:val="nil"/>
              <w:right w:val="nil"/>
            </w:tcBorders>
            <w:shd w:val="clear" w:color="auto" w:fill="auto"/>
            <w:noWrap/>
            <w:vAlign w:val="bottom"/>
          </w:tcPr>
          <w:p w14:paraId="6B5F27F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.0465***</w:t>
            </w:r>
          </w:p>
        </w:tc>
      </w:tr>
      <w:tr w:rsidR="00890FA4" w:rsidRPr="006E6122" w14:paraId="59FDFE3F"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7E769A8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714456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(.00812)</w:t>
            </w:r>
          </w:p>
        </w:tc>
        <w:tc>
          <w:tcPr>
            <w:tcW w:w="1260" w:type="dxa"/>
            <w:tcBorders>
              <w:top w:val="nil"/>
              <w:left w:val="nil"/>
              <w:bottom w:val="nil"/>
              <w:right w:val="nil"/>
            </w:tcBorders>
            <w:shd w:val="clear" w:color="auto" w:fill="auto"/>
            <w:noWrap/>
            <w:vAlign w:val="bottom"/>
          </w:tcPr>
          <w:p w14:paraId="4FB7582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(.00834)</w:t>
            </w:r>
          </w:p>
        </w:tc>
        <w:tc>
          <w:tcPr>
            <w:tcW w:w="1260" w:type="dxa"/>
            <w:tcBorders>
              <w:top w:val="nil"/>
              <w:left w:val="nil"/>
              <w:bottom w:val="nil"/>
              <w:right w:val="nil"/>
            </w:tcBorders>
            <w:shd w:val="clear" w:color="auto" w:fill="auto"/>
            <w:noWrap/>
            <w:vAlign w:val="bottom"/>
          </w:tcPr>
          <w:p w14:paraId="47BDEB4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(.0103)</w:t>
            </w:r>
          </w:p>
        </w:tc>
        <w:tc>
          <w:tcPr>
            <w:tcW w:w="1260" w:type="dxa"/>
            <w:tcBorders>
              <w:top w:val="nil"/>
              <w:left w:val="nil"/>
              <w:bottom w:val="nil"/>
              <w:right w:val="nil"/>
            </w:tcBorders>
            <w:shd w:val="clear" w:color="auto" w:fill="auto"/>
            <w:noWrap/>
            <w:vAlign w:val="bottom"/>
          </w:tcPr>
          <w:p w14:paraId="5BF78FC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(.0106)</w:t>
            </w:r>
          </w:p>
        </w:tc>
        <w:tc>
          <w:tcPr>
            <w:tcW w:w="1260" w:type="dxa"/>
            <w:gridSpan w:val="2"/>
            <w:tcBorders>
              <w:top w:val="nil"/>
              <w:left w:val="nil"/>
              <w:bottom w:val="nil"/>
              <w:right w:val="nil"/>
            </w:tcBorders>
            <w:shd w:val="clear" w:color="auto" w:fill="auto"/>
            <w:noWrap/>
            <w:vAlign w:val="bottom"/>
          </w:tcPr>
          <w:p w14:paraId="4352C93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(.0109)</w:t>
            </w:r>
          </w:p>
        </w:tc>
      </w:tr>
      <w:tr w:rsidR="00890FA4" w:rsidRPr="006E6122" w14:paraId="5DD4AF13"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000FAAB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HPI</w:t>
            </w:r>
          </w:p>
        </w:tc>
        <w:tc>
          <w:tcPr>
            <w:tcW w:w="1280" w:type="dxa"/>
            <w:tcBorders>
              <w:top w:val="nil"/>
              <w:left w:val="nil"/>
              <w:bottom w:val="nil"/>
              <w:right w:val="nil"/>
            </w:tcBorders>
            <w:shd w:val="clear" w:color="auto" w:fill="auto"/>
            <w:noWrap/>
            <w:vAlign w:val="bottom"/>
          </w:tcPr>
          <w:p w14:paraId="7415745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761E08F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-.0119***</w:t>
            </w:r>
          </w:p>
        </w:tc>
        <w:tc>
          <w:tcPr>
            <w:tcW w:w="1260" w:type="dxa"/>
            <w:tcBorders>
              <w:top w:val="nil"/>
              <w:left w:val="nil"/>
              <w:bottom w:val="nil"/>
              <w:right w:val="nil"/>
            </w:tcBorders>
            <w:shd w:val="clear" w:color="auto" w:fill="auto"/>
            <w:noWrap/>
            <w:vAlign w:val="bottom"/>
          </w:tcPr>
          <w:p w14:paraId="794B236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-.0112***</w:t>
            </w:r>
          </w:p>
        </w:tc>
        <w:tc>
          <w:tcPr>
            <w:tcW w:w="1260" w:type="dxa"/>
            <w:tcBorders>
              <w:top w:val="nil"/>
              <w:left w:val="nil"/>
              <w:bottom w:val="nil"/>
              <w:right w:val="nil"/>
            </w:tcBorders>
            <w:shd w:val="clear" w:color="auto" w:fill="auto"/>
            <w:noWrap/>
            <w:vAlign w:val="bottom"/>
          </w:tcPr>
          <w:p w14:paraId="529921D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-.0102***</w:t>
            </w:r>
          </w:p>
        </w:tc>
        <w:tc>
          <w:tcPr>
            <w:tcW w:w="1260" w:type="dxa"/>
            <w:gridSpan w:val="2"/>
            <w:tcBorders>
              <w:top w:val="nil"/>
              <w:left w:val="nil"/>
              <w:bottom w:val="nil"/>
              <w:right w:val="nil"/>
            </w:tcBorders>
            <w:shd w:val="clear" w:color="auto" w:fill="auto"/>
            <w:noWrap/>
            <w:vAlign w:val="bottom"/>
          </w:tcPr>
          <w:p w14:paraId="57B5359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-.00967***</w:t>
            </w:r>
          </w:p>
        </w:tc>
      </w:tr>
      <w:tr w:rsidR="00890FA4" w:rsidRPr="006E6122" w14:paraId="39525FFB"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434D5CF8"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9F4739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(.00236)</w:t>
            </w:r>
          </w:p>
        </w:tc>
        <w:tc>
          <w:tcPr>
            <w:tcW w:w="1260" w:type="dxa"/>
            <w:tcBorders>
              <w:top w:val="nil"/>
              <w:left w:val="nil"/>
              <w:bottom w:val="nil"/>
              <w:right w:val="nil"/>
            </w:tcBorders>
            <w:shd w:val="clear" w:color="auto" w:fill="auto"/>
            <w:noWrap/>
            <w:vAlign w:val="bottom"/>
          </w:tcPr>
          <w:p w14:paraId="0203CF2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(.00243)</w:t>
            </w:r>
          </w:p>
        </w:tc>
        <w:tc>
          <w:tcPr>
            <w:tcW w:w="1260" w:type="dxa"/>
            <w:tcBorders>
              <w:top w:val="nil"/>
              <w:left w:val="nil"/>
              <w:bottom w:val="nil"/>
              <w:right w:val="nil"/>
            </w:tcBorders>
            <w:shd w:val="clear" w:color="auto" w:fill="auto"/>
            <w:noWrap/>
            <w:vAlign w:val="bottom"/>
          </w:tcPr>
          <w:p w14:paraId="672F272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(.00267)</w:t>
            </w:r>
          </w:p>
        </w:tc>
        <w:tc>
          <w:tcPr>
            <w:tcW w:w="1260" w:type="dxa"/>
            <w:tcBorders>
              <w:top w:val="nil"/>
              <w:left w:val="nil"/>
              <w:bottom w:val="nil"/>
              <w:right w:val="nil"/>
            </w:tcBorders>
            <w:shd w:val="clear" w:color="auto" w:fill="auto"/>
            <w:noWrap/>
            <w:vAlign w:val="bottom"/>
          </w:tcPr>
          <w:p w14:paraId="16FE7D3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(.00267)</w:t>
            </w:r>
          </w:p>
        </w:tc>
        <w:tc>
          <w:tcPr>
            <w:tcW w:w="1260" w:type="dxa"/>
            <w:gridSpan w:val="2"/>
            <w:tcBorders>
              <w:top w:val="nil"/>
              <w:left w:val="nil"/>
              <w:bottom w:val="nil"/>
              <w:right w:val="nil"/>
            </w:tcBorders>
            <w:shd w:val="clear" w:color="auto" w:fill="auto"/>
            <w:noWrap/>
            <w:vAlign w:val="bottom"/>
          </w:tcPr>
          <w:p w14:paraId="3C1629E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(.00271)</w:t>
            </w:r>
          </w:p>
        </w:tc>
      </w:tr>
      <w:tr w:rsidR="00890FA4" w:rsidRPr="006E6122" w14:paraId="06F3B304"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2838EA9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1280" w:type="dxa"/>
            <w:tcBorders>
              <w:top w:val="nil"/>
              <w:left w:val="nil"/>
              <w:bottom w:val="nil"/>
              <w:right w:val="nil"/>
            </w:tcBorders>
            <w:shd w:val="clear" w:color="auto" w:fill="auto"/>
            <w:noWrap/>
            <w:vAlign w:val="bottom"/>
          </w:tcPr>
          <w:p w14:paraId="2A8C647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-.12</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66F8141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-.102**</w:t>
            </w:r>
          </w:p>
        </w:tc>
        <w:tc>
          <w:tcPr>
            <w:tcW w:w="1260" w:type="dxa"/>
            <w:tcBorders>
              <w:top w:val="nil"/>
              <w:left w:val="nil"/>
              <w:bottom w:val="nil"/>
              <w:right w:val="nil"/>
            </w:tcBorders>
            <w:shd w:val="clear" w:color="auto" w:fill="auto"/>
            <w:noWrap/>
            <w:vAlign w:val="bottom"/>
          </w:tcPr>
          <w:p w14:paraId="562843F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-.173***</w:t>
            </w:r>
          </w:p>
        </w:tc>
        <w:tc>
          <w:tcPr>
            <w:tcW w:w="1260" w:type="dxa"/>
            <w:tcBorders>
              <w:top w:val="nil"/>
              <w:left w:val="nil"/>
              <w:bottom w:val="nil"/>
              <w:right w:val="nil"/>
            </w:tcBorders>
            <w:shd w:val="clear" w:color="auto" w:fill="auto"/>
            <w:noWrap/>
            <w:vAlign w:val="bottom"/>
          </w:tcPr>
          <w:p w14:paraId="61C3899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-.14</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gridSpan w:val="2"/>
            <w:tcBorders>
              <w:top w:val="nil"/>
              <w:left w:val="nil"/>
              <w:bottom w:val="nil"/>
              <w:right w:val="nil"/>
            </w:tcBorders>
            <w:shd w:val="clear" w:color="auto" w:fill="auto"/>
            <w:noWrap/>
            <w:vAlign w:val="bottom"/>
          </w:tcPr>
          <w:p w14:paraId="2581FDD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-.147***</w:t>
            </w:r>
          </w:p>
        </w:tc>
      </w:tr>
      <w:tr w:rsidR="00890FA4" w:rsidRPr="006E6122" w14:paraId="769BFB26" w14:textId="77777777" w:rsidTr="00890FA4">
        <w:trPr>
          <w:trHeight w:val="255"/>
          <w:jc w:val="center"/>
        </w:trPr>
        <w:tc>
          <w:tcPr>
            <w:tcW w:w="1639" w:type="dxa"/>
            <w:tcBorders>
              <w:top w:val="nil"/>
              <w:left w:val="nil"/>
              <w:bottom w:val="nil"/>
              <w:right w:val="nil"/>
            </w:tcBorders>
            <w:shd w:val="clear" w:color="auto" w:fill="auto"/>
            <w:noWrap/>
            <w:vAlign w:val="bottom"/>
            <w:hideMark/>
          </w:tcPr>
          <w:p w14:paraId="4E2763BD" w14:textId="77777777" w:rsidR="00890FA4" w:rsidRPr="006E6122" w:rsidRDefault="00890FA4" w:rsidP="00931F65">
            <w:pPr>
              <w:spacing w:after="0" w:line="240" w:lineRule="auto"/>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582A27D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(.0426)</w:t>
            </w:r>
          </w:p>
        </w:tc>
        <w:tc>
          <w:tcPr>
            <w:tcW w:w="1260" w:type="dxa"/>
            <w:tcBorders>
              <w:top w:val="nil"/>
              <w:left w:val="nil"/>
              <w:bottom w:val="nil"/>
              <w:right w:val="nil"/>
            </w:tcBorders>
            <w:shd w:val="clear" w:color="auto" w:fill="auto"/>
            <w:noWrap/>
            <w:vAlign w:val="bottom"/>
          </w:tcPr>
          <w:p w14:paraId="64476FA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(.0447)</w:t>
            </w:r>
          </w:p>
        </w:tc>
        <w:tc>
          <w:tcPr>
            <w:tcW w:w="1260" w:type="dxa"/>
            <w:tcBorders>
              <w:top w:val="nil"/>
              <w:left w:val="nil"/>
              <w:bottom w:val="nil"/>
              <w:right w:val="nil"/>
            </w:tcBorders>
            <w:shd w:val="clear" w:color="auto" w:fill="auto"/>
            <w:noWrap/>
            <w:vAlign w:val="bottom"/>
          </w:tcPr>
          <w:p w14:paraId="2393EA0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(.0522)</w:t>
            </w:r>
          </w:p>
        </w:tc>
        <w:tc>
          <w:tcPr>
            <w:tcW w:w="1260" w:type="dxa"/>
            <w:tcBorders>
              <w:top w:val="nil"/>
              <w:left w:val="nil"/>
              <w:bottom w:val="nil"/>
              <w:right w:val="nil"/>
            </w:tcBorders>
            <w:shd w:val="clear" w:color="auto" w:fill="auto"/>
            <w:noWrap/>
            <w:vAlign w:val="bottom"/>
          </w:tcPr>
          <w:p w14:paraId="7C8618D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(.0537)</w:t>
            </w:r>
          </w:p>
        </w:tc>
        <w:tc>
          <w:tcPr>
            <w:tcW w:w="1260" w:type="dxa"/>
            <w:gridSpan w:val="2"/>
            <w:tcBorders>
              <w:top w:val="nil"/>
              <w:left w:val="nil"/>
              <w:bottom w:val="nil"/>
              <w:right w:val="nil"/>
            </w:tcBorders>
            <w:shd w:val="clear" w:color="auto" w:fill="auto"/>
            <w:noWrap/>
            <w:vAlign w:val="bottom"/>
          </w:tcPr>
          <w:p w14:paraId="3F74959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(.0557)</w:t>
            </w:r>
          </w:p>
        </w:tc>
      </w:tr>
      <w:tr w:rsidR="00890FA4" w:rsidRPr="006E6122" w14:paraId="4E577867" w14:textId="77777777" w:rsidTr="00890FA4">
        <w:tblPrEx>
          <w:jc w:val="left"/>
        </w:tblPrEx>
        <w:trPr>
          <w:gridAfter w:val="1"/>
          <w:wAfter w:w="143" w:type="dxa"/>
          <w:trHeight w:val="255"/>
        </w:trPr>
        <w:tc>
          <w:tcPr>
            <w:tcW w:w="1639" w:type="dxa"/>
            <w:tcBorders>
              <w:top w:val="single" w:sz="4" w:space="0" w:color="auto"/>
              <w:left w:val="nil"/>
              <w:bottom w:val="nil"/>
              <w:right w:val="nil"/>
            </w:tcBorders>
            <w:shd w:val="clear" w:color="auto" w:fill="auto"/>
            <w:noWrap/>
            <w:vAlign w:val="bottom"/>
            <w:hideMark/>
          </w:tcPr>
          <w:p w14:paraId="58FEE893"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6177" w:type="dxa"/>
            <w:gridSpan w:val="5"/>
            <w:tcBorders>
              <w:top w:val="single" w:sz="4" w:space="0" w:color="auto"/>
              <w:left w:val="nil"/>
              <w:bottom w:val="nil"/>
              <w:right w:val="nil"/>
            </w:tcBorders>
            <w:shd w:val="clear" w:color="auto" w:fill="auto"/>
            <w:noWrap/>
            <w:vAlign w:val="bottom"/>
            <w:hideMark/>
          </w:tcPr>
          <w:p w14:paraId="462D2E56"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 xml:space="preserve">Probability of </w:t>
            </w:r>
            <w:r>
              <w:rPr>
                <w:rFonts w:ascii="Calibri" w:eastAsia="Times New Roman" w:hAnsi="Calibri" w:cs="Calibri"/>
                <w:sz w:val="20"/>
                <w:szCs w:val="20"/>
              </w:rPr>
              <w:t>p</w:t>
            </w:r>
            <w:r w:rsidRPr="006E6122">
              <w:rPr>
                <w:rFonts w:ascii="Calibri" w:eastAsia="Times New Roman" w:hAnsi="Calibri" w:cs="Calibri"/>
                <w:sz w:val="20"/>
                <w:szCs w:val="20"/>
              </w:rPr>
              <w:t>repayment</w:t>
            </w:r>
          </w:p>
        </w:tc>
      </w:tr>
      <w:tr w:rsidR="00890FA4" w:rsidRPr="006E6122" w14:paraId="5905EDEA" w14:textId="77777777" w:rsidTr="00890FA4">
        <w:tblPrEx>
          <w:jc w:val="left"/>
        </w:tblPrEx>
        <w:trPr>
          <w:trHeight w:val="255"/>
        </w:trPr>
        <w:tc>
          <w:tcPr>
            <w:tcW w:w="1639" w:type="dxa"/>
            <w:tcBorders>
              <w:top w:val="nil"/>
              <w:left w:val="nil"/>
              <w:right w:val="nil"/>
            </w:tcBorders>
            <w:shd w:val="clear" w:color="auto" w:fill="auto"/>
            <w:noWrap/>
            <w:vAlign w:val="bottom"/>
            <w:hideMark/>
          </w:tcPr>
          <w:p w14:paraId="0CB2D51F" w14:textId="77777777" w:rsidR="00890FA4" w:rsidRPr="006E6122" w:rsidRDefault="00890FA4" w:rsidP="00931F65">
            <w:pPr>
              <w:spacing w:after="0" w:line="240" w:lineRule="auto"/>
              <w:jc w:val="center"/>
              <w:rPr>
                <w:rFonts w:ascii="Calibri" w:eastAsia="Times New Roman" w:hAnsi="Calibri" w:cs="Calibri"/>
                <w:sz w:val="18"/>
                <w:szCs w:val="18"/>
              </w:rPr>
            </w:pPr>
            <w:r w:rsidRPr="006E6122">
              <w:rPr>
                <w:rFonts w:ascii="Calibri" w:eastAsia="Times New Roman" w:hAnsi="Calibri" w:cs="Calibri"/>
                <w:sz w:val="18"/>
                <w:szCs w:val="18"/>
              </w:rPr>
              <w:t> </w:t>
            </w:r>
          </w:p>
        </w:tc>
        <w:tc>
          <w:tcPr>
            <w:tcW w:w="1280" w:type="dxa"/>
            <w:tcBorders>
              <w:top w:val="nil"/>
              <w:left w:val="nil"/>
              <w:right w:val="nil"/>
            </w:tcBorders>
            <w:shd w:val="clear" w:color="auto" w:fill="auto"/>
            <w:noWrap/>
            <w:vAlign w:val="bottom"/>
            <w:hideMark/>
          </w:tcPr>
          <w:p w14:paraId="43A6C799"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2008-2010</w:t>
            </w:r>
          </w:p>
        </w:tc>
        <w:tc>
          <w:tcPr>
            <w:tcW w:w="1260" w:type="dxa"/>
            <w:tcBorders>
              <w:top w:val="nil"/>
              <w:left w:val="nil"/>
              <w:right w:val="nil"/>
            </w:tcBorders>
            <w:shd w:val="clear" w:color="auto" w:fill="auto"/>
            <w:noWrap/>
            <w:vAlign w:val="bottom"/>
            <w:hideMark/>
          </w:tcPr>
          <w:p w14:paraId="70442167"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2007-2011</w:t>
            </w:r>
          </w:p>
        </w:tc>
        <w:tc>
          <w:tcPr>
            <w:tcW w:w="1260" w:type="dxa"/>
            <w:tcBorders>
              <w:top w:val="nil"/>
              <w:left w:val="nil"/>
              <w:right w:val="nil"/>
            </w:tcBorders>
            <w:shd w:val="clear" w:color="auto" w:fill="auto"/>
            <w:noWrap/>
            <w:vAlign w:val="bottom"/>
            <w:hideMark/>
          </w:tcPr>
          <w:p w14:paraId="00C2710C"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2006-2012</w:t>
            </w:r>
          </w:p>
        </w:tc>
        <w:tc>
          <w:tcPr>
            <w:tcW w:w="1260" w:type="dxa"/>
            <w:tcBorders>
              <w:top w:val="nil"/>
              <w:left w:val="nil"/>
              <w:right w:val="nil"/>
            </w:tcBorders>
            <w:shd w:val="clear" w:color="auto" w:fill="auto"/>
            <w:noWrap/>
            <w:vAlign w:val="bottom"/>
            <w:hideMark/>
          </w:tcPr>
          <w:p w14:paraId="3E7779F4"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2005-2013</w:t>
            </w:r>
          </w:p>
        </w:tc>
        <w:tc>
          <w:tcPr>
            <w:tcW w:w="1260" w:type="dxa"/>
            <w:gridSpan w:val="2"/>
            <w:tcBorders>
              <w:top w:val="nil"/>
              <w:left w:val="nil"/>
              <w:right w:val="nil"/>
            </w:tcBorders>
            <w:shd w:val="clear" w:color="auto" w:fill="auto"/>
            <w:noWrap/>
            <w:vAlign w:val="bottom"/>
            <w:hideMark/>
          </w:tcPr>
          <w:p w14:paraId="088E6002"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2004-2014</w:t>
            </w:r>
          </w:p>
        </w:tc>
      </w:tr>
      <w:tr w:rsidR="00890FA4" w:rsidRPr="006E6122" w14:paraId="0DD03A9A" w14:textId="77777777" w:rsidTr="00890FA4">
        <w:tblPrEx>
          <w:jc w:val="left"/>
        </w:tblPrEx>
        <w:trPr>
          <w:trHeight w:val="255"/>
        </w:trPr>
        <w:tc>
          <w:tcPr>
            <w:tcW w:w="1639" w:type="dxa"/>
            <w:tcBorders>
              <w:top w:val="nil"/>
              <w:left w:val="nil"/>
              <w:bottom w:val="single" w:sz="4" w:space="0" w:color="auto"/>
              <w:right w:val="nil"/>
            </w:tcBorders>
            <w:shd w:val="clear" w:color="auto" w:fill="auto"/>
            <w:noWrap/>
            <w:vAlign w:val="bottom"/>
            <w:hideMark/>
          </w:tcPr>
          <w:p w14:paraId="538504E5"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single" w:sz="4" w:space="0" w:color="auto"/>
              <w:right w:val="nil"/>
            </w:tcBorders>
            <w:shd w:val="clear" w:color="auto" w:fill="auto"/>
            <w:noWrap/>
            <w:vAlign w:val="bottom"/>
            <w:hideMark/>
          </w:tcPr>
          <w:p w14:paraId="3119ABB2"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(1)</w:t>
            </w:r>
          </w:p>
        </w:tc>
        <w:tc>
          <w:tcPr>
            <w:tcW w:w="1260" w:type="dxa"/>
            <w:tcBorders>
              <w:top w:val="nil"/>
              <w:left w:val="nil"/>
              <w:bottom w:val="single" w:sz="4" w:space="0" w:color="auto"/>
              <w:right w:val="nil"/>
            </w:tcBorders>
            <w:shd w:val="clear" w:color="auto" w:fill="auto"/>
            <w:noWrap/>
            <w:vAlign w:val="bottom"/>
            <w:hideMark/>
          </w:tcPr>
          <w:p w14:paraId="40DC91B9"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(2)</w:t>
            </w:r>
          </w:p>
        </w:tc>
        <w:tc>
          <w:tcPr>
            <w:tcW w:w="1260" w:type="dxa"/>
            <w:tcBorders>
              <w:top w:val="nil"/>
              <w:left w:val="nil"/>
              <w:bottom w:val="single" w:sz="4" w:space="0" w:color="auto"/>
              <w:right w:val="nil"/>
            </w:tcBorders>
            <w:shd w:val="clear" w:color="auto" w:fill="auto"/>
            <w:noWrap/>
            <w:vAlign w:val="bottom"/>
            <w:hideMark/>
          </w:tcPr>
          <w:p w14:paraId="68CF39AD"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(3)</w:t>
            </w:r>
          </w:p>
        </w:tc>
        <w:tc>
          <w:tcPr>
            <w:tcW w:w="1260" w:type="dxa"/>
            <w:tcBorders>
              <w:top w:val="nil"/>
              <w:left w:val="nil"/>
              <w:bottom w:val="single" w:sz="4" w:space="0" w:color="auto"/>
              <w:right w:val="nil"/>
            </w:tcBorders>
            <w:shd w:val="clear" w:color="auto" w:fill="auto"/>
            <w:noWrap/>
            <w:vAlign w:val="bottom"/>
            <w:hideMark/>
          </w:tcPr>
          <w:p w14:paraId="70E48905"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(4)</w:t>
            </w:r>
          </w:p>
        </w:tc>
        <w:tc>
          <w:tcPr>
            <w:tcW w:w="1260" w:type="dxa"/>
            <w:gridSpan w:val="2"/>
            <w:tcBorders>
              <w:top w:val="nil"/>
              <w:left w:val="nil"/>
              <w:bottom w:val="single" w:sz="4" w:space="0" w:color="auto"/>
              <w:right w:val="nil"/>
            </w:tcBorders>
            <w:shd w:val="clear" w:color="auto" w:fill="auto"/>
            <w:noWrap/>
            <w:vAlign w:val="bottom"/>
            <w:hideMark/>
          </w:tcPr>
          <w:p w14:paraId="0A698998"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(5)</w:t>
            </w:r>
          </w:p>
        </w:tc>
      </w:tr>
      <w:tr w:rsidR="00890FA4" w:rsidRPr="006E6122" w14:paraId="2A8925FB" w14:textId="77777777" w:rsidTr="00890FA4">
        <w:tblPrEx>
          <w:jc w:val="left"/>
        </w:tblPrEx>
        <w:trPr>
          <w:trHeight w:val="255"/>
        </w:trPr>
        <w:tc>
          <w:tcPr>
            <w:tcW w:w="1639" w:type="dxa"/>
            <w:tcBorders>
              <w:top w:val="single" w:sz="4" w:space="0" w:color="auto"/>
              <w:left w:val="nil"/>
              <w:bottom w:val="nil"/>
              <w:right w:val="nil"/>
            </w:tcBorders>
            <w:shd w:val="clear" w:color="auto" w:fill="auto"/>
            <w:noWrap/>
            <w:vAlign w:val="bottom"/>
            <w:hideMark/>
          </w:tcPr>
          <w:p w14:paraId="0864EA22"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280" w:type="dxa"/>
            <w:tcBorders>
              <w:top w:val="single" w:sz="4" w:space="0" w:color="auto"/>
              <w:left w:val="nil"/>
              <w:bottom w:val="nil"/>
              <w:right w:val="nil"/>
            </w:tcBorders>
            <w:shd w:val="clear" w:color="auto" w:fill="auto"/>
            <w:noWrap/>
            <w:vAlign w:val="bottom"/>
          </w:tcPr>
          <w:p w14:paraId="2276D91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-.0254</w:t>
            </w:r>
          </w:p>
        </w:tc>
        <w:tc>
          <w:tcPr>
            <w:tcW w:w="1260" w:type="dxa"/>
            <w:tcBorders>
              <w:top w:val="single" w:sz="4" w:space="0" w:color="auto"/>
              <w:left w:val="nil"/>
              <w:bottom w:val="nil"/>
              <w:right w:val="nil"/>
            </w:tcBorders>
            <w:shd w:val="clear" w:color="auto" w:fill="auto"/>
            <w:noWrap/>
            <w:vAlign w:val="bottom"/>
          </w:tcPr>
          <w:p w14:paraId="44723C4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-.0303*</w:t>
            </w:r>
          </w:p>
        </w:tc>
        <w:tc>
          <w:tcPr>
            <w:tcW w:w="1260" w:type="dxa"/>
            <w:tcBorders>
              <w:top w:val="single" w:sz="4" w:space="0" w:color="auto"/>
              <w:left w:val="nil"/>
              <w:bottom w:val="nil"/>
              <w:right w:val="nil"/>
            </w:tcBorders>
            <w:shd w:val="clear" w:color="auto" w:fill="auto"/>
            <w:noWrap/>
            <w:vAlign w:val="bottom"/>
          </w:tcPr>
          <w:p w14:paraId="6D7FB7E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-.083</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single" w:sz="4" w:space="0" w:color="auto"/>
              <w:left w:val="nil"/>
              <w:bottom w:val="nil"/>
              <w:right w:val="nil"/>
            </w:tcBorders>
            <w:shd w:val="clear" w:color="auto" w:fill="auto"/>
            <w:noWrap/>
            <w:vAlign w:val="bottom"/>
          </w:tcPr>
          <w:p w14:paraId="57BFDF2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-.0866***</w:t>
            </w:r>
          </w:p>
        </w:tc>
        <w:tc>
          <w:tcPr>
            <w:tcW w:w="1260" w:type="dxa"/>
            <w:gridSpan w:val="2"/>
            <w:tcBorders>
              <w:top w:val="single" w:sz="4" w:space="0" w:color="auto"/>
              <w:left w:val="nil"/>
              <w:bottom w:val="nil"/>
              <w:right w:val="nil"/>
            </w:tcBorders>
            <w:shd w:val="clear" w:color="auto" w:fill="auto"/>
            <w:noWrap/>
            <w:vAlign w:val="bottom"/>
          </w:tcPr>
          <w:p w14:paraId="76E0D64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-.106***</w:t>
            </w:r>
          </w:p>
        </w:tc>
      </w:tr>
      <w:tr w:rsidR="00890FA4" w:rsidRPr="006E6122" w14:paraId="2D10593B"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6A82CD0C"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7012E6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(.0167)</w:t>
            </w:r>
          </w:p>
        </w:tc>
        <w:tc>
          <w:tcPr>
            <w:tcW w:w="1260" w:type="dxa"/>
            <w:tcBorders>
              <w:top w:val="nil"/>
              <w:left w:val="nil"/>
              <w:bottom w:val="nil"/>
              <w:right w:val="nil"/>
            </w:tcBorders>
            <w:shd w:val="clear" w:color="auto" w:fill="auto"/>
            <w:noWrap/>
            <w:vAlign w:val="bottom"/>
          </w:tcPr>
          <w:p w14:paraId="435E3EF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(.0172)</w:t>
            </w:r>
          </w:p>
        </w:tc>
        <w:tc>
          <w:tcPr>
            <w:tcW w:w="1260" w:type="dxa"/>
            <w:tcBorders>
              <w:top w:val="nil"/>
              <w:left w:val="nil"/>
              <w:bottom w:val="nil"/>
              <w:right w:val="nil"/>
            </w:tcBorders>
            <w:shd w:val="clear" w:color="auto" w:fill="auto"/>
            <w:noWrap/>
            <w:vAlign w:val="bottom"/>
          </w:tcPr>
          <w:p w14:paraId="11A1AAB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(.0202)</w:t>
            </w:r>
          </w:p>
        </w:tc>
        <w:tc>
          <w:tcPr>
            <w:tcW w:w="1260" w:type="dxa"/>
            <w:tcBorders>
              <w:top w:val="nil"/>
              <w:left w:val="nil"/>
              <w:bottom w:val="nil"/>
              <w:right w:val="nil"/>
            </w:tcBorders>
            <w:shd w:val="clear" w:color="auto" w:fill="auto"/>
            <w:noWrap/>
            <w:vAlign w:val="bottom"/>
          </w:tcPr>
          <w:p w14:paraId="021F48C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(.0206)</w:t>
            </w:r>
          </w:p>
        </w:tc>
        <w:tc>
          <w:tcPr>
            <w:tcW w:w="1260" w:type="dxa"/>
            <w:gridSpan w:val="2"/>
            <w:tcBorders>
              <w:top w:val="nil"/>
              <w:left w:val="nil"/>
              <w:bottom w:val="nil"/>
              <w:right w:val="nil"/>
            </w:tcBorders>
            <w:shd w:val="clear" w:color="auto" w:fill="auto"/>
            <w:noWrap/>
            <w:vAlign w:val="bottom"/>
          </w:tcPr>
          <w:p w14:paraId="0537143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(.0216)</w:t>
            </w:r>
          </w:p>
        </w:tc>
      </w:tr>
      <w:tr w:rsidR="00890FA4" w:rsidRPr="006E6122" w14:paraId="22C34378"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673BFA9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280" w:type="dxa"/>
            <w:tcBorders>
              <w:top w:val="nil"/>
              <w:left w:val="nil"/>
              <w:bottom w:val="nil"/>
              <w:right w:val="nil"/>
            </w:tcBorders>
            <w:shd w:val="clear" w:color="auto" w:fill="auto"/>
            <w:noWrap/>
            <w:vAlign w:val="bottom"/>
          </w:tcPr>
          <w:p w14:paraId="0308B54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.105***</w:t>
            </w:r>
          </w:p>
        </w:tc>
        <w:tc>
          <w:tcPr>
            <w:tcW w:w="1260" w:type="dxa"/>
            <w:tcBorders>
              <w:top w:val="nil"/>
              <w:left w:val="nil"/>
              <w:bottom w:val="nil"/>
              <w:right w:val="nil"/>
            </w:tcBorders>
            <w:shd w:val="clear" w:color="auto" w:fill="auto"/>
            <w:noWrap/>
            <w:vAlign w:val="bottom"/>
          </w:tcPr>
          <w:p w14:paraId="00202FA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.0967***</w:t>
            </w:r>
          </w:p>
        </w:tc>
        <w:tc>
          <w:tcPr>
            <w:tcW w:w="1260" w:type="dxa"/>
            <w:tcBorders>
              <w:top w:val="nil"/>
              <w:left w:val="nil"/>
              <w:bottom w:val="nil"/>
              <w:right w:val="nil"/>
            </w:tcBorders>
            <w:shd w:val="clear" w:color="auto" w:fill="auto"/>
            <w:noWrap/>
            <w:vAlign w:val="bottom"/>
          </w:tcPr>
          <w:p w14:paraId="6DD1DE7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.083</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2751155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.0822**</w:t>
            </w:r>
          </w:p>
        </w:tc>
        <w:tc>
          <w:tcPr>
            <w:tcW w:w="1260" w:type="dxa"/>
            <w:gridSpan w:val="2"/>
            <w:tcBorders>
              <w:top w:val="nil"/>
              <w:left w:val="nil"/>
              <w:bottom w:val="nil"/>
              <w:right w:val="nil"/>
            </w:tcBorders>
            <w:shd w:val="clear" w:color="auto" w:fill="auto"/>
            <w:noWrap/>
            <w:vAlign w:val="bottom"/>
          </w:tcPr>
          <w:p w14:paraId="6CAC22E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.116***</w:t>
            </w:r>
          </w:p>
        </w:tc>
      </w:tr>
      <w:tr w:rsidR="00890FA4" w:rsidRPr="006E6122" w14:paraId="4ABFD38D"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380026B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78DAF9D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(.0292)</w:t>
            </w:r>
          </w:p>
        </w:tc>
        <w:tc>
          <w:tcPr>
            <w:tcW w:w="1260" w:type="dxa"/>
            <w:tcBorders>
              <w:top w:val="nil"/>
              <w:left w:val="nil"/>
              <w:bottom w:val="nil"/>
              <w:right w:val="nil"/>
            </w:tcBorders>
            <w:shd w:val="clear" w:color="auto" w:fill="auto"/>
            <w:noWrap/>
            <w:vAlign w:val="bottom"/>
          </w:tcPr>
          <w:p w14:paraId="03AEF35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(.0332)</w:t>
            </w:r>
          </w:p>
        </w:tc>
        <w:tc>
          <w:tcPr>
            <w:tcW w:w="1260" w:type="dxa"/>
            <w:tcBorders>
              <w:top w:val="nil"/>
              <w:left w:val="nil"/>
              <w:bottom w:val="nil"/>
              <w:right w:val="nil"/>
            </w:tcBorders>
            <w:shd w:val="clear" w:color="auto" w:fill="auto"/>
            <w:noWrap/>
            <w:vAlign w:val="bottom"/>
          </w:tcPr>
          <w:p w14:paraId="69BA026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(.0355)</w:t>
            </w:r>
          </w:p>
        </w:tc>
        <w:tc>
          <w:tcPr>
            <w:tcW w:w="1260" w:type="dxa"/>
            <w:tcBorders>
              <w:top w:val="nil"/>
              <w:left w:val="nil"/>
              <w:bottom w:val="nil"/>
              <w:right w:val="nil"/>
            </w:tcBorders>
            <w:shd w:val="clear" w:color="auto" w:fill="auto"/>
            <w:noWrap/>
            <w:vAlign w:val="bottom"/>
          </w:tcPr>
          <w:p w14:paraId="1FFC2E2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(.0365)</w:t>
            </w:r>
          </w:p>
        </w:tc>
        <w:tc>
          <w:tcPr>
            <w:tcW w:w="1260" w:type="dxa"/>
            <w:gridSpan w:val="2"/>
            <w:tcBorders>
              <w:top w:val="nil"/>
              <w:left w:val="nil"/>
              <w:bottom w:val="nil"/>
              <w:right w:val="nil"/>
            </w:tcBorders>
            <w:shd w:val="clear" w:color="auto" w:fill="auto"/>
            <w:noWrap/>
            <w:vAlign w:val="bottom"/>
          </w:tcPr>
          <w:p w14:paraId="288328C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(.0387)</w:t>
            </w:r>
          </w:p>
        </w:tc>
      </w:tr>
      <w:tr w:rsidR="00890FA4" w:rsidRPr="006E6122" w14:paraId="5CDD4050"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3C2394B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280" w:type="dxa"/>
            <w:tcBorders>
              <w:top w:val="nil"/>
              <w:left w:val="nil"/>
              <w:bottom w:val="nil"/>
              <w:right w:val="nil"/>
            </w:tcBorders>
            <w:shd w:val="clear" w:color="auto" w:fill="auto"/>
            <w:noWrap/>
            <w:vAlign w:val="bottom"/>
          </w:tcPr>
          <w:p w14:paraId="3C0D688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.0219</w:t>
            </w:r>
          </w:p>
        </w:tc>
        <w:tc>
          <w:tcPr>
            <w:tcW w:w="1260" w:type="dxa"/>
            <w:tcBorders>
              <w:top w:val="nil"/>
              <w:left w:val="nil"/>
              <w:bottom w:val="nil"/>
              <w:right w:val="nil"/>
            </w:tcBorders>
            <w:shd w:val="clear" w:color="auto" w:fill="auto"/>
            <w:noWrap/>
            <w:vAlign w:val="bottom"/>
          </w:tcPr>
          <w:p w14:paraId="696EFAE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.0462**</w:t>
            </w:r>
          </w:p>
        </w:tc>
        <w:tc>
          <w:tcPr>
            <w:tcW w:w="1260" w:type="dxa"/>
            <w:tcBorders>
              <w:top w:val="nil"/>
              <w:left w:val="nil"/>
              <w:bottom w:val="nil"/>
              <w:right w:val="nil"/>
            </w:tcBorders>
            <w:shd w:val="clear" w:color="auto" w:fill="auto"/>
            <w:noWrap/>
            <w:vAlign w:val="bottom"/>
          </w:tcPr>
          <w:p w14:paraId="619C21D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.0946***</w:t>
            </w:r>
          </w:p>
        </w:tc>
        <w:tc>
          <w:tcPr>
            <w:tcW w:w="1260" w:type="dxa"/>
            <w:tcBorders>
              <w:top w:val="nil"/>
              <w:left w:val="nil"/>
              <w:bottom w:val="nil"/>
              <w:right w:val="nil"/>
            </w:tcBorders>
            <w:shd w:val="clear" w:color="auto" w:fill="auto"/>
            <w:noWrap/>
            <w:vAlign w:val="bottom"/>
          </w:tcPr>
          <w:p w14:paraId="3DCA4E1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.0921***</w:t>
            </w:r>
          </w:p>
        </w:tc>
        <w:tc>
          <w:tcPr>
            <w:tcW w:w="1260" w:type="dxa"/>
            <w:gridSpan w:val="2"/>
            <w:tcBorders>
              <w:top w:val="nil"/>
              <w:left w:val="nil"/>
              <w:bottom w:val="nil"/>
              <w:right w:val="nil"/>
            </w:tcBorders>
            <w:shd w:val="clear" w:color="auto" w:fill="auto"/>
            <w:noWrap/>
            <w:vAlign w:val="bottom"/>
          </w:tcPr>
          <w:p w14:paraId="1522387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.112***</w:t>
            </w:r>
          </w:p>
        </w:tc>
      </w:tr>
      <w:tr w:rsidR="00890FA4" w:rsidRPr="006E6122" w14:paraId="1B086123"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2EF92C68"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829687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(.0193)</w:t>
            </w:r>
          </w:p>
        </w:tc>
        <w:tc>
          <w:tcPr>
            <w:tcW w:w="1260" w:type="dxa"/>
            <w:tcBorders>
              <w:top w:val="nil"/>
              <w:left w:val="nil"/>
              <w:bottom w:val="nil"/>
              <w:right w:val="nil"/>
            </w:tcBorders>
            <w:shd w:val="clear" w:color="auto" w:fill="auto"/>
            <w:noWrap/>
            <w:vAlign w:val="bottom"/>
          </w:tcPr>
          <w:p w14:paraId="5799C9D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w:t>
            </w:r>
            <w:r>
              <w:rPr>
                <w:rFonts w:ascii="Calibri" w:eastAsia="Times New Roman" w:hAnsi="Calibri" w:cs="Calibri"/>
                <w:sz w:val="20"/>
                <w:szCs w:val="20"/>
              </w:rPr>
              <w:t>00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41E2104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(.0228)</w:t>
            </w:r>
          </w:p>
        </w:tc>
        <w:tc>
          <w:tcPr>
            <w:tcW w:w="1260" w:type="dxa"/>
            <w:tcBorders>
              <w:top w:val="nil"/>
              <w:left w:val="nil"/>
              <w:bottom w:val="nil"/>
              <w:right w:val="nil"/>
            </w:tcBorders>
            <w:shd w:val="clear" w:color="auto" w:fill="auto"/>
            <w:noWrap/>
            <w:vAlign w:val="bottom"/>
          </w:tcPr>
          <w:p w14:paraId="1898653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(.0231)</w:t>
            </w:r>
          </w:p>
        </w:tc>
        <w:tc>
          <w:tcPr>
            <w:tcW w:w="1260" w:type="dxa"/>
            <w:gridSpan w:val="2"/>
            <w:tcBorders>
              <w:top w:val="nil"/>
              <w:left w:val="nil"/>
              <w:bottom w:val="nil"/>
              <w:right w:val="nil"/>
            </w:tcBorders>
            <w:shd w:val="clear" w:color="auto" w:fill="auto"/>
            <w:noWrap/>
            <w:vAlign w:val="bottom"/>
          </w:tcPr>
          <w:p w14:paraId="296ECF0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(.0242)</w:t>
            </w:r>
          </w:p>
        </w:tc>
      </w:tr>
      <w:tr w:rsidR="00890FA4" w:rsidRPr="006E6122" w14:paraId="43F27E89"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2B83344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280" w:type="dxa"/>
            <w:tcBorders>
              <w:top w:val="nil"/>
              <w:left w:val="nil"/>
              <w:bottom w:val="nil"/>
              <w:right w:val="nil"/>
            </w:tcBorders>
            <w:shd w:val="clear" w:color="auto" w:fill="auto"/>
            <w:noWrap/>
            <w:vAlign w:val="bottom"/>
          </w:tcPr>
          <w:p w14:paraId="6379B3A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.0013</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4EEEE7E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.00123***</w:t>
            </w:r>
          </w:p>
        </w:tc>
        <w:tc>
          <w:tcPr>
            <w:tcW w:w="1260" w:type="dxa"/>
            <w:tcBorders>
              <w:top w:val="nil"/>
              <w:left w:val="nil"/>
              <w:bottom w:val="nil"/>
              <w:right w:val="nil"/>
            </w:tcBorders>
            <w:shd w:val="clear" w:color="auto" w:fill="auto"/>
            <w:noWrap/>
            <w:vAlign w:val="bottom"/>
          </w:tcPr>
          <w:p w14:paraId="3E43BD5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.00125***</w:t>
            </w:r>
          </w:p>
        </w:tc>
        <w:tc>
          <w:tcPr>
            <w:tcW w:w="1260" w:type="dxa"/>
            <w:tcBorders>
              <w:top w:val="nil"/>
              <w:left w:val="nil"/>
              <w:bottom w:val="nil"/>
              <w:right w:val="nil"/>
            </w:tcBorders>
            <w:shd w:val="clear" w:color="auto" w:fill="auto"/>
            <w:noWrap/>
            <w:vAlign w:val="bottom"/>
          </w:tcPr>
          <w:p w14:paraId="47C3C1C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.00122***</w:t>
            </w:r>
          </w:p>
        </w:tc>
        <w:tc>
          <w:tcPr>
            <w:tcW w:w="1260" w:type="dxa"/>
            <w:gridSpan w:val="2"/>
            <w:tcBorders>
              <w:top w:val="nil"/>
              <w:left w:val="nil"/>
              <w:bottom w:val="nil"/>
              <w:right w:val="nil"/>
            </w:tcBorders>
            <w:shd w:val="clear" w:color="auto" w:fill="auto"/>
            <w:noWrap/>
            <w:vAlign w:val="bottom"/>
          </w:tcPr>
          <w:p w14:paraId="3BEE670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.00115***</w:t>
            </w:r>
          </w:p>
        </w:tc>
      </w:tr>
      <w:tr w:rsidR="00890FA4" w:rsidRPr="006E6122" w14:paraId="4FB44AD5"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48ED1A32"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B12D47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(.000107)</w:t>
            </w:r>
          </w:p>
        </w:tc>
        <w:tc>
          <w:tcPr>
            <w:tcW w:w="1260" w:type="dxa"/>
            <w:tcBorders>
              <w:top w:val="nil"/>
              <w:left w:val="nil"/>
              <w:bottom w:val="nil"/>
              <w:right w:val="nil"/>
            </w:tcBorders>
            <w:shd w:val="clear" w:color="auto" w:fill="auto"/>
            <w:noWrap/>
            <w:vAlign w:val="bottom"/>
          </w:tcPr>
          <w:p w14:paraId="2C6EC7E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(.000112)</w:t>
            </w:r>
          </w:p>
        </w:tc>
        <w:tc>
          <w:tcPr>
            <w:tcW w:w="1260" w:type="dxa"/>
            <w:tcBorders>
              <w:top w:val="nil"/>
              <w:left w:val="nil"/>
              <w:bottom w:val="nil"/>
              <w:right w:val="nil"/>
            </w:tcBorders>
            <w:shd w:val="clear" w:color="auto" w:fill="auto"/>
            <w:noWrap/>
            <w:vAlign w:val="bottom"/>
          </w:tcPr>
          <w:p w14:paraId="30F8CD5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(.00012</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3EAD20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(.000123)</w:t>
            </w:r>
          </w:p>
        </w:tc>
        <w:tc>
          <w:tcPr>
            <w:tcW w:w="1260" w:type="dxa"/>
            <w:gridSpan w:val="2"/>
            <w:tcBorders>
              <w:top w:val="nil"/>
              <w:left w:val="nil"/>
              <w:bottom w:val="nil"/>
              <w:right w:val="nil"/>
            </w:tcBorders>
            <w:shd w:val="clear" w:color="auto" w:fill="auto"/>
            <w:noWrap/>
            <w:vAlign w:val="bottom"/>
          </w:tcPr>
          <w:p w14:paraId="7287682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(.000126)</w:t>
            </w:r>
          </w:p>
        </w:tc>
      </w:tr>
      <w:tr w:rsidR="00890FA4" w:rsidRPr="006E6122" w14:paraId="3B20DE92"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52A7A81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1280" w:type="dxa"/>
            <w:tcBorders>
              <w:top w:val="nil"/>
              <w:left w:val="nil"/>
              <w:bottom w:val="nil"/>
              <w:right w:val="nil"/>
            </w:tcBorders>
            <w:shd w:val="clear" w:color="auto" w:fill="auto"/>
            <w:noWrap/>
            <w:vAlign w:val="bottom"/>
          </w:tcPr>
          <w:p w14:paraId="04E95F7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-.0103***</w:t>
            </w:r>
          </w:p>
        </w:tc>
        <w:tc>
          <w:tcPr>
            <w:tcW w:w="1260" w:type="dxa"/>
            <w:tcBorders>
              <w:top w:val="nil"/>
              <w:left w:val="nil"/>
              <w:bottom w:val="nil"/>
              <w:right w:val="nil"/>
            </w:tcBorders>
            <w:shd w:val="clear" w:color="auto" w:fill="auto"/>
            <w:noWrap/>
            <w:vAlign w:val="bottom"/>
          </w:tcPr>
          <w:p w14:paraId="0800268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-.0105***</w:t>
            </w:r>
          </w:p>
        </w:tc>
        <w:tc>
          <w:tcPr>
            <w:tcW w:w="1260" w:type="dxa"/>
            <w:tcBorders>
              <w:top w:val="nil"/>
              <w:left w:val="nil"/>
              <w:bottom w:val="nil"/>
              <w:right w:val="nil"/>
            </w:tcBorders>
            <w:shd w:val="clear" w:color="auto" w:fill="auto"/>
            <w:noWrap/>
            <w:vAlign w:val="bottom"/>
          </w:tcPr>
          <w:p w14:paraId="08D3022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-.0102***</w:t>
            </w:r>
          </w:p>
        </w:tc>
        <w:tc>
          <w:tcPr>
            <w:tcW w:w="1260" w:type="dxa"/>
            <w:tcBorders>
              <w:top w:val="nil"/>
              <w:left w:val="nil"/>
              <w:bottom w:val="nil"/>
              <w:right w:val="nil"/>
            </w:tcBorders>
            <w:shd w:val="clear" w:color="auto" w:fill="auto"/>
            <w:noWrap/>
            <w:vAlign w:val="bottom"/>
          </w:tcPr>
          <w:p w14:paraId="220573D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-.0103***</w:t>
            </w:r>
          </w:p>
        </w:tc>
        <w:tc>
          <w:tcPr>
            <w:tcW w:w="1260" w:type="dxa"/>
            <w:gridSpan w:val="2"/>
            <w:tcBorders>
              <w:top w:val="nil"/>
              <w:left w:val="nil"/>
              <w:bottom w:val="nil"/>
              <w:right w:val="nil"/>
            </w:tcBorders>
            <w:shd w:val="clear" w:color="auto" w:fill="auto"/>
            <w:noWrap/>
            <w:vAlign w:val="bottom"/>
          </w:tcPr>
          <w:p w14:paraId="463A06B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-.0102***</w:t>
            </w:r>
          </w:p>
        </w:tc>
      </w:tr>
      <w:tr w:rsidR="00890FA4" w:rsidRPr="006E6122" w14:paraId="514002AA"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7707481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6D64F43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(.000359)</w:t>
            </w:r>
          </w:p>
        </w:tc>
        <w:tc>
          <w:tcPr>
            <w:tcW w:w="1260" w:type="dxa"/>
            <w:tcBorders>
              <w:top w:val="nil"/>
              <w:left w:val="nil"/>
              <w:bottom w:val="nil"/>
              <w:right w:val="nil"/>
            </w:tcBorders>
            <w:shd w:val="clear" w:color="auto" w:fill="auto"/>
            <w:noWrap/>
            <w:vAlign w:val="bottom"/>
          </w:tcPr>
          <w:p w14:paraId="54F9D0C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(.000385)</w:t>
            </w:r>
          </w:p>
        </w:tc>
        <w:tc>
          <w:tcPr>
            <w:tcW w:w="1260" w:type="dxa"/>
            <w:tcBorders>
              <w:top w:val="nil"/>
              <w:left w:val="nil"/>
              <w:bottom w:val="nil"/>
              <w:right w:val="nil"/>
            </w:tcBorders>
            <w:shd w:val="clear" w:color="auto" w:fill="auto"/>
            <w:noWrap/>
            <w:vAlign w:val="bottom"/>
          </w:tcPr>
          <w:p w14:paraId="0ECC14D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(.000431)</w:t>
            </w:r>
          </w:p>
        </w:tc>
        <w:tc>
          <w:tcPr>
            <w:tcW w:w="1260" w:type="dxa"/>
            <w:tcBorders>
              <w:top w:val="nil"/>
              <w:left w:val="nil"/>
              <w:bottom w:val="nil"/>
              <w:right w:val="nil"/>
            </w:tcBorders>
            <w:shd w:val="clear" w:color="auto" w:fill="auto"/>
            <w:noWrap/>
            <w:vAlign w:val="bottom"/>
          </w:tcPr>
          <w:p w14:paraId="4647C00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(.000433)</w:t>
            </w:r>
          </w:p>
        </w:tc>
        <w:tc>
          <w:tcPr>
            <w:tcW w:w="1260" w:type="dxa"/>
            <w:gridSpan w:val="2"/>
            <w:tcBorders>
              <w:top w:val="nil"/>
              <w:left w:val="nil"/>
              <w:bottom w:val="nil"/>
              <w:right w:val="nil"/>
            </w:tcBorders>
            <w:shd w:val="clear" w:color="auto" w:fill="auto"/>
            <w:noWrap/>
            <w:vAlign w:val="bottom"/>
          </w:tcPr>
          <w:p w14:paraId="499E195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(.000457)</w:t>
            </w:r>
          </w:p>
        </w:tc>
      </w:tr>
      <w:tr w:rsidR="00890FA4" w:rsidRPr="006E6122" w14:paraId="35C730EB"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1FB31398"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1280" w:type="dxa"/>
            <w:tcBorders>
              <w:top w:val="nil"/>
              <w:left w:val="nil"/>
              <w:bottom w:val="nil"/>
              <w:right w:val="nil"/>
            </w:tcBorders>
            <w:shd w:val="clear" w:color="auto" w:fill="auto"/>
            <w:noWrap/>
            <w:vAlign w:val="bottom"/>
          </w:tcPr>
          <w:p w14:paraId="34036DE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.0433***</w:t>
            </w:r>
          </w:p>
        </w:tc>
        <w:tc>
          <w:tcPr>
            <w:tcW w:w="1260" w:type="dxa"/>
            <w:tcBorders>
              <w:top w:val="nil"/>
              <w:left w:val="nil"/>
              <w:bottom w:val="nil"/>
              <w:right w:val="nil"/>
            </w:tcBorders>
            <w:shd w:val="clear" w:color="auto" w:fill="auto"/>
            <w:noWrap/>
            <w:vAlign w:val="bottom"/>
          </w:tcPr>
          <w:p w14:paraId="029C464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.0432***</w:t>
            </w:r>
          </w:p>
        </w:tc>
        <w:tc>
          <w:tcPr>
            <w:tcW w:w="1260" w:type="dxa"/>
            <w:tcBorders>
              <w:top w:val="nil"/>
              <w:left w:val="nil"/>
              <w:bottom w:val="nil"/>
              <w:right w:val="nil"/>
            </w:tcBorders>
            <w:shd w:val="clear" w:color="auto" w:fill="auto"/>
            <w:noWrap/>
            <w:vAlign w:val="bottom"/>
          </w:tcPr>
          <w:p w14:paraId="404017C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.0467***</w:t>
            </w:r>
          </w:p>
        </w:tc>
        <w:tc>
          <w:tcPr>
            <w:tcW w:w="1260" w:type="dxa"/>
            <w:tcBorders>
              <w:top w:val="nil"/>
              <w:left w:val="nil"/>
              <w:bottom w:val="nil"/>
              <w:right w:val="nil"/>
            </w:tcBorders>
            <w:shd w:val="clear" w:color="auto" w:fill="auto"/>
            <w:noWrap/>
            <w:vAlign w:val="bottom"/>
          </w:tcPr>
          <w:p w14:paraId="75DE452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.0468***</w:t>
            </w:r>
          </w:p>
        </w:tc>
        <w:tc>
          <w:tcPr>
            <w:tcW w:w="1260" w:type="dxa"/>
            <w:gridSpan w:val="2"/>
            <w:tcBorders>
              <w:top w:val="nil"/>
              <w:left w:val="nil"/>
              <w:bottom w:val="nil"/>
              <w:right w:val="nil"/>
            </w:tcBorders>
            <w:shd w:val="clear" w:color="auto" w:fill="auto"/>
            <w:noWrap/>
            <w:vAlign w:val="bottom"/>
          </w:tcPr>
          <w:p w14:paraId="6B0EE72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.0462***</w:t>
            </w:r>
          </w:p>
        </w:tc>
      </w:tr>
      <w:tr w:rsidR="00890FA4" w:rsidRPr="006E6122" w14:paraId="032FA6B7"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35AC682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225B17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(.000501)</w:t>
            </w:r>
          </w:p>
        </w:tc>
        <w:tc>
          <w:tcPr>
            <w:tcW w:w="1260" w:type="dxa"/>
            <w:tcBorders>
              <w:top w:val="nil"/>
              <w:left w:val="nil"/>
              <w:bottom w:val="nil"/>
              <w:right w:val="nil"/>
            </w:tcBorders>
            <w:shd w:val="clear" w:color="auto" w:fill="auto"/>
            <w:noWrap/>
            <w:vAlign w:val="bottom"/>
          </w:tcPr>
          <w:p w14:paraId="6B16B6C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(.000534)</w:t>
            </w:r>
          </w:p>
        </w:tc>
        <w:tc>
          <w:tcPr>
            <w:tcW w:w="1260" w:type="dxa"/>
            <w:tcBorders>
              <w:top w:val="nil"/>
              <w:left w:val="nil"/>
              <w:bottom w:val="nil"/>
              <w:right w:val="nil"/>
            </w:tcBorders>
            <w:shd w:val="clear" w:color="auto" w:fill="auto"/>
            <w:noWrap/>
            <w:vAlign w:val="bottom"/>
          </w:tcPr>
          <w:p w14:paraId="616F4DE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(.000595)</w:t>
            </w:r>
          </w:p>
        </w:tc>
        <w:tc>
          <w:tcPr>
            <w:tcW w:w="1260" w:type="dxa"/>
            <w:tcBorders>
              <w:top w:val="nil"/>
              <w:left w:val="nil"/>
              <w:bottom w:val="nil"/>
              <w:right w:val="nil"/>
            </w:tcBorders>
            <w:shd w:val="clear" w:color="auto" w:fill="auto"/>
            <w:noWrap/>
            <w:vAlign w:val="bottom"/>
          </w:tcPr>
          <w:p w14:paraId="060D88B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(.000612)</w:t>
            </w:r>
          </w:p>
        </w:tc>
        <w:tc>
          <w:tcPr>
            <w:tcW w:w="1260" w:type="dxa"/>
            <w:gridSpan w:val="2"/>
            <w:tcBorders>
              <w:top w:val="nil"/>
              <w:left w:val="nil"/>
              <w:bottom w:val="nil"/>
              <w:right w:val="nil"/>
            </w:tcBorders>
            <w:shd w:val="clear" w:color="auto" w:fill="auto"/>
            <w:noWrap/>
            <w:vAlign w:val="bottom"/>
          </w:tcPr>
          <w:p w14:paraId="5041B0F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(.000629)</w:t>
            </w:r>
          </w:p>
        </w:tc>
      </w:tr>
      <w:tr w:rsidR="00890FA4" w:rsidRPr="006E6122" w14:paraId="66D93A05"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561B74EC"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1280" w:type="dxa"/>
            <w:tcBorders>
              <w:top w:val="nil"/>
              <w:left w:val="nil"/>
              <w:bottom w:val="nil"/>
              <w:right w:val="nil"/>
            </w:tcBorders>
            <w:shd w:val="clear" w:color="auto" w:fill="auto"/>
            <w:noWrap/>
            <w:vAlign w:val="bottom"/>
          </w:tcPr>
          <w:p w14:paraId="766175A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-.000276***</w:t>
            </w:r>
          </w:p>
        </w:tc>
        <w:tc>
          <w:tcPr>
            <w:tcW w:w="1260" w:type="dxa"/>
            <w:tcBorders>
              <w:top w:val="nil"/>
              <w:left w:val="nil"/>
              <w:bottom w:val="nil"/>
              <w:right w:val="nil"/>
            </w:tcBorders>
            <w:shd w:val="clear" w:color="auto" w:fill="auto"/>
            <w:noWrap/>
            <w:vAlign w:val="bottom"/>
          </w:tcPr>
          <w:p w14:paraId="13EB521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-.000279***</w:t>
            </w:r>
          </w:p>
        </w:tc>
        <w:tc>
          <w:tcPr>
            <w:tcW w:w="1260" w:type="dxa"/>
            <w:tcBorders>
              <w:top w:val="nil"/>
              <w:left w:val="nil"/>
              <w:bottom w:val="nil"/>
              <w:right w:val="nil"/>
            </w:tcBorders>
            <w:shd w:val="clear" w:color="auto" w:fill="auto"/>
            <w:noWrap/>
            <w:vAlign w:val="bottom"/>
          </w:tcPr>
          <w:p w14:paraId="45B8649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-.000304***</w:t>
            </w:r>
          </w:p>
        </w:tc>
        <w:tc>
          <w:tcPr>
            <w:tcW w:w="1260" w:type="dxa"/>
            <w:tcBorders>
              <w:top w:val="nil"/>
              <w:left w:val="nil"/>
              <w:bottom w:val="nil"/>
              <w:right w:val="nil"/>
            </w:tcBorders>
            <w:shd w:val="clear" w:color="auto" w:fill="auto"/>
            <w:noWrap/>
            <w:vAlign w:val="bottom"/>
          </w:tcPr>
          <w:p w14:paraId="4DF8C05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-.000307***</w:t>
            </w:r>
          </w:p>
        </w:tc>
        <w:tc>
          <w:tcPr>
            <w:tcW w:w="1260" w:type="dxa"/>
            <w:gridSpan w:val="2"/>
            <w:tcBorders>
              <w:top w:val="nil"/>
              <w:left w:val="nil"/>
              <w:bottom w:val="nil"/>
              <w:right w:val="nil"/>
            </w:tcBorders>
            <w:shd w:val="clear" w:color="auto" w:fill="auto"/>
            <w:noWrap/>
            <w:vAlign w:val="bottom"/>
          </w:tcPr>
          <w:p w14:paraId="5AF7934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-.000304***</w:t>
            </w:r>
          </w:p>
        </w:tc>
      </w:tr>
      <w:tr w:rsidR="00890FA4" w:rsidRPr="006E6122" w14:paraId="27F0DACA"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3693B300"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5B46D10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(4.21e-06)</w:t>
            </w:r>
          </w:p>
        </w:tc>
        <w:tc>
          <w:tcPr>
            <w:tcW w:w="1260" w:type="dxa"/>
            <w:tcBorders>
              <w:top w:val="nil"/>
              <w:left w:val="nil"/>
              <w:bottom w:val="nil"/>
              <w:right w:val="nil"/>
            </w:tcBorders>
            <w:shd w:val="clear" w:color="auto" w:fill="auto"/>
            <w:noWrap/>
            <w:vAlign w:val="bottom"/>
          </w:tcPr>
          <w:p w14:paraId="46CDE51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(4.48e-06)</w:t>
            </w:r>
          </w:p>
        </w:tc>
        <w:tc>
          <w:tcPr>
            <w:tcW w:w="1260" w:type="dxa"/>
            <w:tcBorders>
              <w:top w:val="nil"/>
              <w:left w:val="nil"/>
              <w:bottom w:val="nil"/>
              <w:right w:val="nil"/>
            </w:tcBorders>
            <w:shd w:val="clear" w:color="auto" w:fill="auto"/>
            <w:noWrap/>
            <w:vAlign w:val="bottom"/>
          </w:tcPr>
          <w:p w14:paraId="63D989C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(5.03e-06)</w:t>
            </w:r>
          </w:p>
        </w:tc>
        <w:tc>
          <w:tcPr>
            <w:tcW w:w="1260" w:type="dxa"/>
            <w:tcBorders>
              <w:top w:val="nil"/>
              <w:left w:val="nil"/>
              <w:bottom w:val="nil"/>
              <w:right w:val="nil"/>
            </w:tcBorders>
            <w:shd w:val="clear" w:color="auto" w:fill="auto"/>
            <w:noWrap/>
            <w:vAlign w:val="bottom"/>
          </w:tcPr>
          <w:p w14:paraId="2B867D0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(5.20e-06)</w:t>
            </w:r>
          </w:p>
        </w:tc>
        <w:tc>
          <w:tcPr>
            <w:tcW w:w="1260" w:type="dxa"/>
            <w:gridSpan w:val="2"/>
            <w:tcBorders>
              <w:top w:val="nil"/>
              <w:left w:val="nil"/>
              <w:bottom w:val="nil"/>
              <w:right w:val="nil"/>
            </w:tcBorders>
            <w:shd w:val="clear" w:color="auto" w:fill="auto"/>
            <w:noWrap/>
            <w:vAlign w:val="bottom"/>
          </w:tcPr>
          <w:p w14:paraId="6176DC5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(5.32e-06)</w:t>
            </w:r>
          </w:p>
        </w:tc>
      </w:tr>
      <w:tr w:rsidR="00890FA4" w:rsidRPr="006E6122" w14:paraId="47203D35"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5E064CA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1280" w:type="dxa"/>
            <w:tcBorders>
              <w:top w:val="nil"/>
              <w:left w:val="nil"/>
              <w:bottom w:val="nil"/>
              <w:right w:val="nil"/>
            </w:tcBorders>
            <w:shd w:val="clear" w:color="auto" w:fill="auto"/>
            <w:noWrap/>
            <w:vAlign w:val="bottom"/>
          </w:tcPr>
          <w:p w14:paraId="32B7714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-1.6</w:t>
            </w:r>
            <w:r>
              <w:rPr>
                <w:rFonts w:ascii="Calibri" w:eastAsia="Times New Roman" w:hAnsi="Calibri" w:cs="Calibri"/>
                <w:sz w:val="20"/>
                <w:szCs w:val="20"/>
              </w:rPr>
              <w:t>00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42812C4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-1.61</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708D3D5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-1.522***</w:t>
            </w:r>
          </w:p>
        </w:tc>
        <w:tc>
          <w:tcPr>
            <w:tcW w:w="1260" w:type="dxa"/>
            <w:tcBorders>
              <w:top w:val="nil"/>
              <w:left w:val="nil"/>
              <w:bottom w:val="nil"/>
              <w:right w:val="nil"/>
            </w:tcBorders>
            <w:shd w:val="clear" w:color="auto" w:fill="auto"/>
            <w:noWrap/>
            <w:vAlign w:val="bottom"/>
          </w:tcPr>
          <w:p w14:paraId="75773BB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-1.54</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gridSpan w:val="2"/>
            <w:tcBorders>
              <w:top w:val="nil"/>
              <w:left w:val="nil"/>
              <w:bottom w:val="nil"/>
              <w:right w:val="nil"/>
            </w:tcBorders>
            <w:shd w:val="clear" w:color="auto" w:fill="auto"/>
            <w:noWrap/>
            <w:vAlign w:val="bottom"/>
          </w:tcPr>
          <w:p w14:paraId="7A3B11A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-1.544***</w:t>
            </w:r>
          </w:p>
        </w:tc>
      </w:tr>
      <w:tr w:rsidR="00890FA4" w:rsidRPr="006E6122" w14:paraId="52AC5125"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3AD8ED80"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F1C19C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(.0472)</w:t>
            </w:r>
          </w:p>
        </w:tc>
        <w:tc>
          <w:tcPr>
            <w:tcW w:w="1260" w:type="dxa"/>
            <w:tcBorders>
              <w:top w:val="nil"/>
              <w:left w:val="nil"/>
              <w:bottom w:val="nil"/>
              <w:right w:val="nil"/>
            </w:tcBorders>
            <w:shd w:val="clear" w:color="auto" w:fill="auto"/>
            <w:noWrap/>
            <w:vAlign w:val="bottom"/>
          </w:tcPr>
          <w:p w14:paraId="6415855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(.0502)</w:t>
            </w:r>
          </w:p>
        </w:tc>
        <w:tc>
          <w:tcPr>
            <w:tcW w:w="1260" w:type="dxa"/>
            <w:tcBorders>
              <w:top w:val="nil"/>
              <w:left w:val="nil"/>
              <w:bottom w:val="nil"/>
              <w:right w:val="nil"/>
            </w:tcBorders>
            <w:shd w:val="clear" w:color="auto" w:fill="auto"/>
            <w:noWrap/>
            <w:vAlign w:val="bottom"/>
          </w:tcPr>
          <w:p w14:paraId="28A92E3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(.0528)</w:t>
            </w:r>
          </w:p>
        </w:tc>
        <w:tc>
          <w:tcPr>
            <w:tcW w:w="1260" w:type="dxa"/>
            <w:tcBorders>
              <w:top w:val="nil"/>
              <w:left w:val="nil"/>
              <w:bottom w:val="nil"/>
              <w:right w:val="nil"/>
            </w:tcBorders>
            <w:shd w:val="clear" w:color="auto" w:fill="auto"/>
            <w:noWrap/>
            <w:vAlign w:val="bottom"/>
          </w:tcPr>
          <w:p w14:paraId="7D5F35D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(.0539)</w:t>
            </w:r>
          </w:p>
        </w:tc>
        <w:tc>
          <w:tcPr>
            <w:tcW w:w="1260" w:type="dxa"/>
            <w:gridSpan w:val="2"/>
            <w:tcBorders>
              <w:top w:val="nil"/>
              <w:left w:val="nil"/>
              <w:bottom w:val="nil"/>
              <w:right w:val="nil"/>
            </w:tcBorders>
            <w:shd w:val="clear" w:color="auto" w:fill="auto"/>
            <w:noWrap/>
            <w:vAlign w:val="bottom"/>
          </w:tcPr>
          <w:p w14:paraId="48A08F7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(.0557)</w:t>
            </w:r>
          </w:p>
        </w:tc>
      </w:tr>
      <w:tr w:rsidR="00890FA4" w:rsidRPr="006E6122" w14:paraId="28FB8202"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37B1E9E2"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1280" w:type="dxa"/>
            <w:tcBorders>
              <w:top w:val="nil"/>
              <w:left w:val="nil"/>
              <w:bottom w:val="nil"/>
              <w:right w:val="nil"/>
            </w:tcBorders>
            <w:shd w:val="clear" w:color="auto" w:fill="auto"/>
            <w:noWrap/>
            <w:vAlign w:val="bottom"/>
          </w:tcPr>
          <w:p w14:paraId="3F665D1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.373***</w:t>
            </w:r>
          </w:p>
        </w:tc>
        <w:tc>
          <w:tcPr>
            <w:tcW w:w="1260" w:type="dxa"/>
            <w:tcBorders>
              <w:top w:val="nil"/>
              <w:left w:val="nil"/>
              <w:bottom w:val="nil"/>
              <w:right w:val="nil"/>
            </w:tcBorders>
            <w:shd w:val="clear" w:color="auto" w:fill="auto"/>
            <w:noWrap/>
            <w:vAlign w:val="bottom"/>
          </w:tcPr>
          <w:p w14:paraId="550E1AF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.369***</w:t>
            </w:r>
          </w:p>
        </w:tc>
        <w:tc>
          <w:tcPr>
            <w:tcW w:w="1260" w:type="dxa"/>
            <w:tcBorders>
              <w:top w:val="nil"/>
              <w:left w:val="nil"/>
              <w:bottom w:val="nil"/>
              <w:right w:val="nil"/>
            </w:tcBorders>
            <w:shd w:val="clear" w:color="auto" w:fill="auto"/>
            <w:noWrap/>
            <w:vAlign w:val="bottom"/>
          </w:tcPr>
          <w:p w14:paraId="192D46E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.373***</w:t>
            </w:r>
          </w:p>
        </w:tc>
        <w:tc>
          <w:tcPr>
            <w:tcW w:w="1260" w:type="dxa"/>
            <w:tcBorders>
              <w:top w:val="nil"/>
              <w:left w:val="nil"/>
              <w:bottom w:val="nil"/>
              <w:right w:val="nil"/>
            </w:tcBorders>
            <w:shd w:val="clear" w:color="auto" w:fill="auto"/>
            <w:noWrap/>
            <w:vAlign w:val="bottom"/>
          </w:tcPr>
          <w:p w14:paraId="7904F4B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.376***</w:t>
            </w:r>
          </w:p>
        </w:tc>
        <w:tc>
          <w:tcPr>
            <w:tcW w:w="1260" w:type="dxa"/>
            <w:gridSpan w:val="2"/>
            <w:tcBorders>
              <w:top w:val="nil"/>
              <w:left w:val="nil"/>
              <w:bottom w:val="nil"/>
              <w:right w:val="nil"/>
            </w:tcBorders>
            <w:shd w:val="clear" w:color="auto" w:fill="auto"/>
            <w:noWrap/>
            <w:vAlign w:val="bottom"/>
          </w:tcPr>
          <w:p w14:paraId="4E2CD53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.381***</w:t>
            </w:r>
          </w:p>
        </w:tc>
      </w:tr>
      <w:tr w:rsidR="00890FA4" w:rsidRPr="006E6122" w14:paraId="573BDBEE"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53B74BF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9E9EFE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(.0124)</w:t>
            </w:r>
          </w:p>
        </w:tc>
        <w:tc>
          <w:tcPr>
            <w:tcW w:w="1260" w:type="dxa"/>
            <w:tcBorders>
              <w:top w:val="nil"/>
              <w:left w:val="nil"/>
              <w:bottom w:val="nil"/>
              <w:right w:val="nil"/>
            </w:tcBorders>
            <w:shd w:val="clear" w:color="auto" w:fill="auto"/>
            <w:noWrap/>
            <w:vAlign w:val="bottom"/>
          </w:tcPr>
          <w:p w14:paraId="5EA5ABC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(.0129)</w:t>
            </w:r>
          </w:p>
        </w:tc>
        <w:tc>
          <w:tcPr>
            <w:tcW w:w="1260" w:type="dxa"/>
            <w:tcBorders>
              <w:top w:val="nil"/>
              <w:left w:val="nil"/>
              <w:bottom w:val="nil"/>
              <w:right w:val="nil"/>
            </w:tcBorders>
            <w:shd w:val="clear" w:color="auto" w:fill="auto"/>
            <w:noWrap/>
            <w:vAlign w:val="bottom"/>
          </w:tcPr>
          <w:p w14:paraId="14BC3EA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(.014</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14BD219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(.0143)</w:t>
            </w:r>
          </w:p>
        </w:tc>
        <w:tc>
          <w:tcPr>
            <w:tcW w:w="1260" w:type="dxa"/>
            <w:gridSpan w:val="2"/>
            <w:tcBorders>
              <w:top w:val="nil"/>
              <w:left w:val="nil"/>
              <w:bottom w:val="nil"/>
              <w:right w:val="nil"/>
            </w:tcBorders>
            <w:shd w:val="clear" w:color="auto" w:fill="auto"/>
            <w:noWrap/>
            <w:vAlign w:val="bottom"/>
          </w:tcPr>
          <w:p w14:paraId="36BEF7F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(.0146)</w:t>
            </w:r>
          </w:p>
        </w:tc>
      </w:tr>
      <w:tr w:rsidR="00890FA4" w:rsidRPr="006E6122" w14:paraId="28F50141"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2E71167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280" w:type="dxa"/>
            <w:tcBorders>
              <w:top w:val="nil"/>
              <w:left w:val="nil"/>
              <w:bottom w:val="nil"/>
              <w:right w:val="nil"/>
            </w:tcBorders>
            <w:shd w:val="clear" w:color="auto" w:fill="auto"/>
            <w:noWrap/>
            <w:vAlign w:val="bottom"/>
          </w:tcPr>
          <w:p w14:paraId="4376FD3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.388***</w:t>
            </w:r>
          </w:p>
        </w:tc>
        <w:tc>
          <w:tcPr>
            <w:tcW w:w="1260" w:type="dxa"/>
            <w:tcBorders>
              <w:top w:val="nil"/>
              <w:left w:val="nil"/>
              <w:bottom w:val="nil"/>
              <w:right w:val="nil"/>
            </w:tcBorders>
            <w:shd w:val="clear" w:color="auto" w:fill="auto"/>
            <w:noWrap/>
            <w:vAlign w:val="bottom"/>
          </w:tcPr>
          <w:p w14:paraId="46DCECB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.384***</w:t>
            </w:r>
          </w:p>
        </w:tc>
        <w:tc>
          <w:tcPr>
            <w:tcW w:w="1260" w:type="dxa"/>
            <w:tcBorders>
              <w:top w:val="nil"/>
              <w:left w:val="nil"/>
              <w:bottom w:val="nil"/>
              <w:right w:val="nil"/>
            </w:tcBorders>
            <w:shd w:val="clear" w:color="auto" w:fill="auto"/>
            <w:noWrap/>
            <w:vAlign w:val="bottom"/>
          </w:tcPr>
          <w:p w14:paraId="2472EC9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.384***</w:t>
            </w:r>
          </w:p>
        </w:tc>
        <w:tc>
          <w:tcPr>
            <w:tcW w:w="1260" w:type="dxa"/>
            <w:tcBorders>
              <w:top w:val="nil"/>
              <w:left w:val="nil"/>
              <w:bottom w:val="nil"/>
              <w:right w:val="nil"/>
            </w:tcBorders>
            <w:shd w:val="clear" w:color="auto" w:fill="auto"/>
            <w:noWrap/>
            <w:vAlign w:val="bottom"/>
          </w:tcPr>
          <w:p w14:paraId="67EC610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.381***</w:t>
            </w:r>
          </w:p>
        </w:tc>
        <w:tc>
          <w:tcPr>
            <w:tcW w:w="1260" w:type="dxa"/>
            <w:gridSpan w:val="2"/>
            <w:tcBorders>
              <w:top w:val="nil"/>
              <w:left w:val="nil"/>
              <w:bottom w:val="nil"/>
              <w:right w:val="nil"/>
            </w:tcBorders>
            <w:shd w:val="clear" w:color="auto" w:fill="auto"/>
            <w:noWrap/>
            <w:vAlign w:val="bottom"/>
          </w:tcPr>
          <w:p w14:paraId="7254595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.38</w:t>
            </w:r>
            <w:r>
              <w:rPr>
                <w:rFonts w:ascii="Calibri" w:eastAsia="Times New Roman" w:hAnsi="Calibri" w:cs="Calibri"/>
                <w:sz w:val="20"/>
                <w:szCs w:val="20"/>
              </w:rPr>
              <w:t>0</w:t>
            </w:r>
            <w:r w:rsidRPr="00533AA5">
              <w:rPr>
                <w:rFonts w:ascii="Calibri" w:eastAsia="Times New Roman" w:hAnsi="Calibri" w:cs="Calibri"/>
                <w:sz w:val="20"/>
                <w:szCs w:val="20"/>
              </w:rPr>
              <w:t>***</w:t>
            </w:r>
          </w:p>
        </w:tc>
      </w:tr>
      <w:tr w:rsidR="00890FA4" w:rsidRPr="006E6122" w14:paraId="559306D4"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5A3DE49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376733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(.0118)</w:t>
            </w:r>
          </w:p>
        </w:tc>
        <w:tc>
          <w:tcPr>
            <w:tcW w:w="1260" w:type="dxa"/>
            <w:tcBorders>
              <w:top w:val="nil"/>
              <w:left w:val="nil"/>
              <w:bottom w:val="nil"/>
              <w:right w:val="nil"/>
            </w:tcBorders>
            <w:shd w:val="clear" w:color="auto" w:fill="auto"/>
            <w:noWrap/>
            <w:vAlign w:val="bottom"/>
          </w:tcPr>
          <w:p w14:paraId="422F6F2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(.0126)</w:t>
            </w:r>
          </w:p>
        </w:tc>
        <w:tc>
          <w:tcPr>
            <w:tcW w:w="1260" w:type="dxa"/>
            <w:tcBorders>
              <w:top w:val="nil"/>
              <w:left w:val="nil"/>
              <w:bottom w:val="nil"/>
              <w:right w:val="nil"/>
            </w:tcBorders>
            <w:shd w:val="clear" w:color="auto" w:fill="auto"/>
            <w:noWrap/>
            <w:vAlign w:val="bottom"/>
          </w:tcPr>
          <w:p w14:paraId="30C736E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(.0134)</w:t>
            </w:r>
          </w:p>
        </w:tc>
        <w:tc>
          <w:tcPr>
            <w:tcW w:w="1260" w:type="dxa"/>
            <w:tcBorders>
              <w:top w:val="nil"/>
              <w:left w:val="nil"/>
              <w:bottom w:val="nil"/>
              <w:right w:val="nil"/>
            </w:tcBorders>
            <w:shd w:val="clear" w:color="auto" w:fill="auto"/>
            <w:noWrap/>
            <w:vAlign w:val="bottom"/>
          </w:tcPr>
          <w:p w14:paraId="6591332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(.0136)</w:t>
            </w:r>
          </w:p>
        </w:tc>
        <w:tc>
          <w:tcPr>
            <w:tcW w:w="1260" w:type="dxa"/>
            <w:gridSpan w:val="2"/>
            <w:tcBorders>
              <w:top w:val="nil"/>
              <w:left w:val="nil"/>
              <w:bottom w:val="nil"/>
              <w:right w:val="nil"/>
            </w:tcBorders>
            <w:shd w:val="clear" w:color="auto" w:fill="auto"/>
            <w:noWrap/>
            <w:vAlign w:val="bottom"/>
          </w:tcPr>
          <w:p w14:paraId="0E650C3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(.0139)</w:t>
            </w:r>
          </w:p>
        </w:tc>
      </w:tr>
      <w:tr w:rsidR="00890FA4" w:rsidRPr="006E6122" w14:paraId="638C92F9"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0479D33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1280" w:type="dxa"/>
            <w:tcBorders>
              <w:top w:val="nil"/>
              <w:left w:val="nil"/>
              <w:bottom w:val="nil"/>
              <w:right w:val="nil"/>
            </w:tcBorders>
            <w:shd w:val="clear" w:color="auto" w:fill="auto"/>
            <w:noWrap/>
            <w:vAlign w:val="bottom"/>
          </w:tcPr>
          <w:p w14:paraId="50A9143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-.0262***</w:t>
            </w:r>
          </w:p>
        </w:tc>
        <w:tc>
          <w:tcPr>
            <w:tcW w:w="1260" w:type="dxa"/>
            <w:tcBorders>
              <w:top w:val="nil"/>
              <w:left w:val="nil"/>
              <w:bottom w:val="nil"/>
              <w:right w:val="nil"/>
            </w:tcBorders>
            <w:shd w:val="clear" w:color="auto" w:fill="auto"/>
            <w:noWrap/>
            <w:vAlign w:val="bottom"/>
          </w:tcPr>
          <w:p w14:paraId="017A3C8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-.0282***</w:t>
            </w:r>
          </w:p>
        </w:tc>
        <w:tc>
          <w:tcPr>
            <w:tcW w:w="1260" w:type="dxa"/>
            <w:tcBorders>
              <w:top w:val="nil"/>
              <w:left w:val="nil"/>
              <w:bottom w:val="nil"/>
              <w:right w:val="nil"/>
            </w:tcBorders>
            <w:shd w:val="clear" w:color="auto" w:fill="auto"/>
            <w:noWrap/>
            <w:vAlign w:val="bottom"/>
          </w:tcPr>
          <w:p w14:paraId="4970F51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-.0297***</w:t>
            </w:r>
          </w:p>
        </w:tc>
        <w:tc>
          <w:tcPr>
            <w:tcW w:w="1260" w:type="dxa"/>
            <w:tcBorders>
              <w:top w:val="nil"/>
              <w:left w:val="nil"/>
              <w:bottom w:val="nil"/>
              <w:right w:val="nil"/>
            </w:tcBorders>
            <w:shd w:val="clear" w:color="auto" w:fill="auto"/>
            <w:noWrap/>
            <w:vAlign w:val="bottom"/>
          </w:tcPr>
          <w:p w14:paraId="0D782CD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-.0302***</w:t>
            </w:r>
          </w:p>
        </w:tc>
        <w:tc>
          <w:tcPr>
            <w:tcW w:w="1260" w:type="dxa"/>
            <w:gridSpan w:val="2"/>
            <w:tcBorders>
              <w:top w:val="nil"/>
              <w:left w:val="nil"/>
              <w:bottom w:val="nil"/>
              <w:right w:val="nil"/>
            </w:tcBorders>
            <w:shd w:val="clear" w:color="auto" w:fill="auto"/>
            <w:noWrap/>
            <w:vAlign w:val="bottom"/>
          </w:tcPr>
          <w:p w14:paraId="565DB24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-.0338***</w:t>
            </w:r>
          </w:p>
        </w:tc>
      </w:tr>
      <w:tr w:rsidR="00890FA4" w:rsidRPr="006E6122" w14:paraId="1D434443"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22EF441C"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50149DF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(.00258)</w:t>
            </w:r>
          </w:p>
        </w:tc>
        <w:tc>
          <w:tcPr>
            <w:tcW w:w="1260" w:type="dxa"/>
            <w:tcBorders>
              <w:top w:val="nil"/>
              <w:left w:val="nil"/>
              <w:bottom w:val="nil"/>
              <w:right w:val="nil"/>
            </w:tcBorders>
            <w:shd w:val="clear" w:color="auto" w:fill="auto"/>
            <w:noWrap/>
            <w:vAlign w:val="bottom"/>
          </w:tcPr>
          <w:p w14:paraId="41FDFF7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(.00268)</w:t>
            </w:r>
          </w:p>
        </w:tc>
        <w:tc>
          <w:tcPr>
            <w:tcW w:w="1260" w:type="dxa"/>
            <w:tcBorders>
              <w:top w:val="nil"/>
              <w:left w:val="nil"/>
              <w:bottom w:val="nil"/>
              <w:right w:val="nil"/>
            </w:tcBorders>
            <w:shd w:val="clear" w:color="auto" w:fill="auto"/>
            <w:noWrap/>
            <w:vAlign w:val="bottom"/>
          </w:tcPr>
          <w:p w14:paraId="483EBBD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(.00293)</w:t>
            </w:r>
          </w:p>
        </w:tc>
        <w:tc>
          <w:tcPr>
            <w:tcW w:w="1260" w:type="dxa"/>
            <w:tcBorders>
              <w:top w:val="nil"/>
              <w:left w:val="nil"/>
              <w:bottom w:val="nil"/>
              <w:right w:val="nil"/>
            </w:tcBorders>
            <w:shd w:val="clear" w:color="auto" w:fill="auto"/>
            <w:noWrap/>
            <w:vAlign w:val="bottom"/>
          </w:tcPr>
          <w:p w14:paraId="29BA179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(.00298)</w:t>
            </w:r>
          </w:p>
        </w:tc>
        <w:tc>
          <w:tcPr>
            <w:tcW w:w="1260" w:type="dxa"/>
            <w:gridSpan w:val="2"/>
            <w:tcBorders>
              <w:top w:val="nil"/>
              <w:left w:val="nil"/>
              <w:bottom w:val="nil"/>
              <w:right w:val="nil"/>
            </w:tcBorders>
            <w:shd w:val="clear" w:color="auto" w:fill="auto"/>
            <w:noWrap/>
            <w:vAlign w:val="bottom"/>
          </w:tcPr>
          <w:p w14:paraId="6328549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(.00305)</w:t>
            </w:r>
          </w:p>
        </w:tc>
      </w:tr>
      <w:tr w:rsidR="00890FA4" w:rsidRPr="006E6122" w14:paraId="7603D6C2"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389E726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HPI</w:t>
            </w:r>
          </w:p>
        </w:tc>
        <w:tc>
          <w:tcPr>
            <w:tcW w:w="1280" w:type="dxa"/>
            <w:tcBorders>
              <w:top w:val="nil"/>
              <w:left w:val="nil"/>
              <w:bottom w:val="nil"/>
              <w:right w:val="nil"/>
            </w:tcBorders>
            <w:shd w:val="clear" w:color="auto" w:fill="auto"/>
            <w:noWrap/>
            <w:vAlign w:val="bottom"/>
          </w:tcPr>
          <w:p w14:paraId="31982F9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-.0113***</w:t>
            </w:r>
          </w:p>
        </w:tc>
        <w:tc>
          <w:tcPr>
            <w:tcW w:w="1260" w:type="dxa"/>
            <w:tcBorders>
              <w:top w:val="nil"/>
              <w:left w:val="nil"/>
              <w:bottom w:val="nil"/>
              <w:right w:val="nil"/>
            </w:tcBorders>
            <w:shd w:val="clear" w:color="auto" w:fill="auto"/>
            <w:noWrap/>
            <w:vAlign w:val="bottom"/>
          </w:tcPr>
          <w:p w14:paraId="3665861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-.0114***</w:t>
            </w:r>
          </w:p>
        </w:tc>
        <w:tc>
          <w:tcPr>
            <w:tcW w:w="1260" w:type="dxa"/>
            <w:tcBorders>
              <w:top w:val="nil"/>
              <w:left w:val="nil"/>
              <w:bottom w:val="nil"/>
              <w:right w:val="nil"/>
            </w:tcBorders>
            <w:shd w:val="clear" w:color="auto" w:fill="auto"/>
            <w:noWrap/>
            <w:vAlign w:val="bottom"/>
          </w:tcPr>
          <w:p w14:paraId="6FD63E4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-.0129***</w:t>
            </w:r>
          </w:p>
        </w:tc>
        <w:tc>
          <w:tcPr>
            <w:tcW w:w="1260" w:type="dxa"/>
            <w:tcBorders>
              <w:top w:val="nil"/>
              <w:left w:val="nil"/>
              <w:bottom w:val="nil"/>
              <w:right w:val="nil"/>
            </w:tcBorders>
            <w:shd w:val="clear" w:color="auto" w:fill="auto"/>
            <w:noWrap/>
            <w:vAlign w:val="bottom"/>
          </w:tcPr>
          <w:p w14:paraId="09210C4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-.0131***</w:t>
            </w:r>
          </w:p>
        </w:tc>
        <w:tc>
          <w:tcPr>
            <w:tcW w:w="1260" w:type="dxa"/>
            <w:gridSpan w:val="2"/>
            <w:tcBorders>
              <w:top w:val="nil"/>
              <w:left w:val="nil"/>
              <w:bottom w:val="nil"/>
              <w:right w:val="nil"/>
            </w:tcBorders>
            <w:shd w:val="clear" w:color="auto" w:fill="auto"/>
            <w:noWrap/>
            <w:vAlign w:val="bottom"/>
          </w:tcPr>
          <w:p w14:paraId="53E0E6D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-.0133***</w:t>
            </w:r>
          </w:p>
        </w:tc>
      </w:tr>
      <w:tr w:rsidR="00890FA4" w:rsidRPr="006E6122" w14:paraId="35AA92A2"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0C52D3D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60952F8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(.000556)</w:t>
            </w:r>
          </w:p>
        </w:tc>
        <w:tc>
          <w:tcPr>
            <w:tcW w:w="1260" w:type="dxa"/>
            <w:tcBorders>
              <w:top w:val="nil"/>
              <w:left w:val="nil"/>
              <w:bottom w:val="nil"/>
              <w:right w:val="nil"/>
            </w:tcBorders>
            <w:shd w:val="clear" w:color="auto" w:fill="auto"/>
            <w:noWrap/>
            <w:vAlign w:val="bottom"/>
          </w:tcPr>
          <w:p w14:paraId="564D1AC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(.000574)</w:t>
            </w:r>
          </w:p>
        </w:tc>
        <w:tc>
          <w:tcPr>
            <w:tcW w:w="1260" w:type="dxa"/>
            <w:tcBorders>
              <w:top w:val="nil"/>
              <w:left w:val="nil"/>
              <w:bottom w:val="nil"/>
              <w:right w:val="nil"/>
            </w:tcBorders>
            <w:shd w:val="clear" w:color="auto" w:fill="auto"/>
            <w:noWrap/>
            <w:vAlign w:val="bottom"/>
          </w:tcPr>
          <w:p w14:paraId="6708D16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(.000606)</w:t>
            </w:r>
          </w:p>
        </w:tc>
        <w:tc>
          <w:tcPr>
            <w:tcW w:w="1260" w:type="dxa"/>
            <w:tcBorders>
              <w:top w:val="nil"/>
              <w:left w:val="nil"/>
              <w:bottom w:val="nil"/>
              <w:right w:val="nil"/>
            </w:tcBorders>
            <w:shd w:val="clear" w:color="auto" w:fill="auto"/>
            <w:noWrap/>
            <w:vAlign w:val="bottom"/>
          </w:tcPr>
          <w:p w14:paraId="5856547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(.000613)</w:t>
            </w:r>
          </w:p>
        </w:tc>
        <w:tc>
          <w:tcPr>
            <w:tcW w:w="1260" w:type="dxa"/>
            <w:gridSpan w:val="2"/>
            <w:tcBorders>
              <w:top w:val="nil"/>
              <w:left w:val="nil"/>
              <w:bottom w:val="nil"/>
              <w:right w:val="nil"/>
            </w:tcBorders>
            <w:shd w:val="clear" w:color="auto" w:fill="auto"/>
            <w:noWrap/>
            <w:vAlign w:val="bottom"/>
          </w:tcPr>
          <w:p w14:paraId="02F2BF8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(.000617)</w:t>
            </w:r>
          </w:p>
        </w:tc>
      </w:tr>
      <w:tr w:rsidR="00890FA4" w:rsidRPr="006E6122" w14:paraId="08564A6C"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6BC81C9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1280" w:type="dxa"/>
            <w:tcBorders>
              <w:top w:val="nil"/>
              <w:left w:val="nil"/>
              <w:bottom w:val="nil"/>
              <w:right w:val="nil"/>
            </w:tcBorders>
            <w:shd w:val="clear" w:color="auto" w:fill="auto"/>
            <w:noWrap/>
            <w:vAlign w:val="bottom"/>
          </w:tcPr>
          <w:p w14:paraId="76FE494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-.102***</w:t>
            </w:r>
          </w:p>
        </w:tc>
        <w:tc>
          <w:tcPr>
            <w:tcW w:w="1260" w:type="dxa"/>
            <w:tcBorders>
              <w:top w:val="nil"/>
              <w:left w:val="nil"/>
              <w:bottom w:val="nil"/>
              <w:right w:val="nil"/>
            </w:tcBorders>
            <w:shd w:val="clear" w:color="auto" w:fill="auto"/>
            <w:noWrap/>
            <w:vAlign w:val="bottom"/>
          </w:tcPr>
          <w:p w14:paraId="144E73C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w:t>
            </w:r>
            <w:r>
              <w:rPr>
                <w:rFonts w:ascii="Calibri" w:eastAsia="Times New Roman" w:hAnsi="Calibri" w:cs="Calibri"/>
                <w:sz w:val="20"/>
                <w:szCs w:val="20"/>
              </w:rPr>
              <w:t>00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20BC4F5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-.0934***</w:t>
            </w:r>
          </w:p>
        </w:tc>
        <w:tc>
          <w:tcPr>
            <w:tcW w:w="1260" w:type="dxa"/>
            <w:tcBorders>
              <w:top w:val="nil"/>
              <w:left w:val="nil"/>
              <w:bottom w:val="nil"/>
              <w:right w:val="nil"/>
            </w:tcBorders>
            <w:shd w:val="clear" w:color="auto" w:fill="auto"/>
            <w:noWrap/>
            <w:vAlign w:val="bottom"/>
          </w:tcPr>
          <w:p w14:paraId="733BAED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-.0938***</w:t>
            </w:r>
          </w:p>
        </w:tc>
        <w:tc>
          <w:tcPr>
            <w:tcW w:w="1260" w:type="dxa"/>
            <w:gridSpan w:val="2"/>
            <w:tcBorders>
              <w:top w:val="nil"/>
              <w:left w:val="nil"/>
              <w:bottom w:val="nil"/>
              <w:right w:val="nil"/>
            </w:tcBorders>
            <w:shd w:val="clear" w:color="auto" w:fill="auto"/>
            <w:noWrap/>
            <w:vAlign w:val="bottom"/>
          </w:tcPr>
          <w:p w14:paraId="53AF54D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-.0948***</w:t>
            </w:r>
          </w:p>
        </w:tc>
      </w:tr>
      <w:tr w:rsidR="00890FA4" w:rsidRPr="006E6122" w14:paraId="75381D23"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7171B8F2" w14:textId="77777777" w:rsidR="00890FA4" w:rsidRPr="006E6122" w:rsidRDefault="00890FA4" w:rsidP="00931F65">
            <w:pPr>
              <w:spacing w:after="0" w:line="240" w:lineRule="auto"/>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32D1001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(.00981)</w:t>
            </w:r>
          </w:p>
        </w:tc>
        <w:tc>
          <w:tcPr>
            <w:tcW w:w="1260" w:type="dxa"/>
            <w:tcBorders>
              <w:top w:val="nil"/>
              <w:left w:val="nil"/>
              <w:bottom w:val="nil"/>
              <w:right w:val="nil"/>
            </w:tcBorders>
            <w:shd w:val="clear" w:color="auto" w:fill="auto"/>
            <w:noWrap/>
            <w:vAlign w:val="bottom"/>
          </w:tcPr>
          <w:p w14:paraId="16FD6D0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(.0105)</w:t>
            </w:r>
          </w:p>
        </w:tc>
        <w:tc>
          <w:tcPr>
            <w:tcW w:w="1260" w:type="dxa"/>
            <w:tcBorders>
              <w:top w:val="nil"/>
              <w:left w:val="nil"/>
              <w:bottom w:val="nil"/>
              <w:right w:val="nil"/>
            </w:tcBorders>
            <w:shd w:val="clear" w:color="auto" w:fill="auto"/>
            <w:noWrap/>
            <w:vAlign w:val="bottom"/>
          </w:tcPr>
          <w:p w14:paraId="134BF33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(.0111)</w:t>
            </w:r>
          </w:p>
        </w:tc>
        <w:tc>
          <w:tcPr>
            <w:tcW w:w="1260" w:type="dxa"/>
            <w:tcBorders>
              <w:top w:val="nil"/>
              <w:left w:val="nil"/>
              <w:bottom w:val="nil"/>
              <w:right w:val="nil"/>
            </w:tcBorders>
            <w:shd w:val="clear" w:color="auto" w:fill="auto"/>
            <w:noWrap/>
            <w:vAlign w:val="bottom"/>
          </w:tcPr>
          <w:p w14:paraId="63BD763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(.0114)</w:t>
            </w:r>
          </w:p>
        </w:tc>
        <w:tc>
          <w:tcPr>
            <w:tcW w:w="1260" w:type="dxa"/>
            <w:gridSpan w:val="2"/>
            <w:tcBorders>
              <w:top w:val="nil"/>
              <w:left w:val="nil"/>
              <w:bottom w:val="nil"/>
              <w:right w:val="nil"/>
            </w:tcBorders>
            <w:shd w:val="clear" w:color="auto" w:fill="auto"/>
            <w:noWrap/>
            <w:vAlign w:val="bottom"/>
          </w:tcPr>
          <w:p w14:paraId="766E016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(.0117)</w:t>
            </w:r>
          </w:p>
        </w:tc>
      </w:tr>
      <w:tr w:rsidR="00890FA4" w:rsidRPr="006E6122" w14:paraId="5751109A"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04C2B065" w14:textId="77777777" w:rsidR="00890FA4" w:rsidRPr="006E6122" w:rsidRDefault="00890FA4" w:rsidP="00931F65">
            <w:pPr>
              <w:spacing w:after="0" w:line="240" w:lineRule="auto"/>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3BF5BCB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5D56019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4787C56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3EAD38E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 </w:t>
            </w:r>
          </w:p>
        </w:tc>
        <w:tc>
          <w:tcPr>
            <w:tcW w:w="1260" w:type="dxa"/>
            <w:gridSpan w:val="2"/>
            <w:tcBorders>
              <w:top w:val="nil"/>
              <w:left w:val="nil"/>
              <w:bottom w:val="nil"/>
              <w:right w:val="nil"/>
            </w:tcBorders>
            <w:shd w:val="clear" w:color="auto" w:fill="auto"/>
            <w:noWrap/>
            <w:vAlign w:val="bottom"/>
          </w:tcPr>
          <w:p w14:paraId="166C645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 </w:t>
            </w:r>
          </w:p>
        </w:tc>
      </w:tr>
      <w:tr w:rsidR="00890FA4" w:rsidRPr="006E6122" w14:paraId="17DAC338"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5BF6BEFB" w14:textId="77777777" w:rsidR="00890FA4" w:rsidRPr="006E6122" w:rsidRDefault="00890FA4" w:rsidP="00931F65">
            <w:pPr>
              <w:spacing w:after="0" w:line="240" w:lineRule="auto"/>
              <w:rPr>
                <w:rFonts w:ascii="Calibri" w:eastAsia="Times New Roman" w:hAnsi="Calibri" w:cs="Calibri"/>
                <w:sz w:val="20"/>
                <w:szCs w:val="20"/>
              </w:rPr>
            </w:pPr>
            <w:r w:rsidRPr="006E6122">
              <w:rPr>
                <w:rFonts w:ascii="Calibri" w:eastAsia="Times New Roman" w:hAnsi="Calibri" w:cs="Calibri"/>
                <w:sz w:val="20"/>
                <w:szCs w:val="20"/>
              </w:rPr>
              <w:t>Observations</w:t>
            </w:r>
          </w:p>
        </w:tc>
        <w:tc>
          <w:tcPr>
            <w:tcW w:w="1280" w:type="dxa"/>
            <w:tcBorders>
              <w:top w:val="nil"/>
              <w:left w:val="nil"/>
              <w:bottom w:val="nil"/>
              <w:right w:val="nil"/>
            </w:tcBorders>
            <w:shd w:val="clear" w:color="auto" w:fill="auto"/>
            <w:noWrap/>
            <w:vAlign w:val="center"/>
          </w:tcPr>
          <w:p w14:paraId="240997A0"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2,546,937 </w:t>
            </w:r>
          </w:p>
        </w:tc>
        <w:tc>
          <w:tcPr>
            <w:tcW w:w="1260" w:type="dxa"/>
            <w:tcBorders>
              <w:top w:val="nil"/>
              <w:left w:val="nil"/>
              <w:bottom w:val="nil"/>
              <w:right w:val="nil"/>
            </w:tcBorders>
            <w:shd w:val="clear" w:color="auto" w:fill="auto"/>
            <w:noWrap/>
            <w:vAlign w:val="center"/>
          </w:tcPr>
          <w:p w14:paraId="1F0A92F1"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2,269,753 </w:t>
            </w:r>
          </w:p>
        </w:tc>
        <w:tc>
          <w:tcPr>
            <w:tcW w:w="1260" w:type="dxa"/>
            <w:tcBorders>
              <w:top w:val="nil"/>
              <w:left w:val="nil"/>
              <w:bottom w:val="nil"/>
              <w:right w:val="nil"/>
            </w:tcBorders>
            <w:shd w:val="clear" w:color="auto" w:fill="auto"/>
            <w:noWrap/>
            <w:vAlign w:val="center"/>
          </w:tcPr>
          <w:p w14:paraId="73B3FBC4"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1,976,463 </w:t>
            </w:r>
          </w:p>
        </w:tc>
        <w:tc>
          <w:tcPr>
            <w:tcW w:w="1260" w:type="dxa"/>
            <w:tcBorders>
              <w:top w:val="nil"/>
              <w:left w:val="nil"/>
              <w:bottom w:val="nil"/>
              <w:right w:val="nil"/>
            </w:tcBorders>
            <w:shd w:val="clear" w:color="auto" w:fill="auto"/>
            <w:noWrap/>
            <w:vAlign w:val="center"/>
          </w:tcPr>
          <w:p w14:paraId="5ACE94B3"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1,890,188 </w:t>
            </w:r>
          </w:p>
        </w:tc>
        <w:tc>
          <w:tcPr>
            <w:tcW w:w="1260" w:type="dxa"/>
            <w:gridSpan w:val="2"/>
            <w:tcBorders>
              <w:top w:val="nil"/>
              <w:left w:val="nil"/>
              <w:bottom w:val="nil"/>
              <w:right w:val="nil"/>
            </w:tcBorders>
            <w:shd w:val="clear" w:color="auto" w:fill="auto"/>
            <w:noWrap/>
            <w:vAlign w:val="center"/>
          </w:tcPr>
          <w:p w14:paraId="422B72AA"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1,790,327 </w:t>
            </w:r>
          </w:p>
        </w:tc>
      </w:tr>
      <w:tr w:rsidR="00890FA4" w:rsidRPr="006E6122" w14:paraId="1A7B9B32" w14:textId="77777777" w:rsidTr="00890FA4">
        <w:tblPrEx>
          <w:jc w:val="left"/>
        </w:tblPrEx>
        <w:trPr>
          <w:trHeight w:val="255"/>
        </w:trPr>
        <w:tc>
          <w:tcPr>
            <w:tcW w:w="1639" w:type="dxa"/>
            <w:tcBorders>
              <w:top w:val="nil"/>
              <w:left w:val="nil"/>
              <w:bottom w:val="nil"/>
              <w:right w:val="nil"/>
            </w:tcBorders>
            <w:shd w:val="clear" w:color="auto" w:fill="auto"/>
            <w:noWrap/>
            <w:vAlign w:val="bottom"/>
            <w:hideMark/>
          </w:tcPr>
          <w:p w14:paraId="3E7FFE8E" w14:textId="77777777" w:rsidR="00890FA4" w:rsidRPr="006E6122" w:rsidRDefault="00890FA4" w:rsidP="00931F65">
            <w:pPr>
              <w:spacing w:after="0" w:line="240" w:lineRule="auto"/>
              <w:rPr>
                <w:rFonts w:ascii="Calibri" w:eastAsia="Times New Roman" w:hAnsi="Calibri" w:cs="Calibri"/>
                <w:sz w:val="20"/>
                <w:szCs w:val="20"/>
              </w:rPr>
            </w:pPr>
            <w:r w:rsidRPr="006E6122">
              <w:rPr>
                <w:rFonts w:ascii="Calibri" w:eastAsia="Times New Roman" w:hAnsi="Calibri" w:cs="Calibri"/>
                <w:sz w:val="20"/>
                <w:szCs w:val="20"/>
              </w:rPr>
              <w:t>Clusters</w:t>
            </w:r>
          </w:p>
        </w:tc>
        <w:tc>
          <w:tcPr>
            <w:tcW w:w="1280" w:type="dxa"/>
            <w:tcBorders>
              <w:top w:val="nil"/>
              <w:left w:val="nil"/>
              <w:bottom w:val="nil"/>
              <w:right w:val="nil"/>
            </w:tcBorders>
            <w:shd w:val="clear" w:color="auto" w:fill="auto"/>
            <w:noWrap/>
            <w:vAlign w:val="center"/>
          </w:tcPr>
          <w:p w14:paraId="4F5564CD"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64,768 </w:t>
            </w:r>
          </w:p>
        </w:tc>
        <w:tc>
          <w:tcPr>
            <w:tcW w:w="1260" w:type="dxa"/>
            <w:tcBorders>
              <w:top w:val="nil"/>
              <w:left w:val="nil"/>
              <w:bottom w:val="nil"/>
              <w:right w:val="nil"/>
            </w:tcBorders>
            <w:shd w:val="clear" w:color="auto" w:fill="auto"/>
            <w:noWrap/>
            <w:vAlign w:val="center"/>
          </w:tcPr>
          <w:p w14:paraId="1A08F6CC"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58,070 </w:t>
            </w:r>
          </w:p>
        </w:tc>
        <w:tc>
          <w:tcPr>
            <w:tcW w:w="1260" w:type="dxa"/>
            <w:tcBorders>
              <w:top w:val="nil"/>
              <w:left w:val="nil"/>
              <w:bottom w:val="nil"/>
              <w:right w:val="nil"/>
            </w:tcBorders>
            <w:shd w:val="clear" w:color="auto" w:fill="auto"/>
            <w:noWrap/>
            <w:vAlign w:val="center"/>
          </w:tcPr>
          <w:p w14:paraId="64F0C048"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50,806 </w:t>
            </w:r>
          </w:p>
        </w:tc>
        <w:tc>
          <w:tcPr>
            <w:tcW w:w="1260" w:type="dxa"/>
            <w:tcBorders>
              <w:top w:val="nil"/>
              <w:left w:val="nil"/>
              <w:bottom w:val="nil"/>
              <w:right w:val="nil"/>
            </w:tcBorders>
            <w:shd w:val="clear" w:color="auto" w:fill="auto"/>
            <w:noWrap/>
            <w:vAlign w:val="center"/>
          </w:tcPr>
          <w:p w14:paraId="030D71A3"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48,785 </w:t>
            </w:r>
          </w:p>
        </w:tc>
        <w:tc>
          <w:tcPr>
            <w:tcW w:w="1260" w:type="dxa"/>
            <w:gridSpan w:val="2"/>
            <w:tcBorders>
              <w:top w:val="nil"/>
              <w:left w:val="nil"/>
              <w:bottom w:val="nil"/>
              <w:right w:val="nil"/>
            </w:tcBorders>
            <w:shd w:val="clear" w:color="auto" w:fill="auto"/>
            <w:noWrap/>
            <w:vAlign w:val="center"/>
          </w:tcPr>
          <w:p w14:paraId="35CD27C6"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46,118 </w:t>
            </w:r>
          </w:p>
        </w:tc>
      </w:tr>
      <w:tr w:rsidR="00890FA4" w:rsidRPr="006E6122" w14:paraId="25F211C9" w14:textId="77777777" w:rsidTr="00890FA4">
        <w:tblPrEx>
          <w:jc w:val="left"/>
        </w:tblPrEx>
        <w:trPr>
          <w:trHeight w:val="255"/>
        </w:trPr>
        <w:tc>
          <w:tcPr>
            <w:tcW w:w="1639" w:type="dxa"/>
            <w:tcBorders>
              <w:top w:val="nil"/>
              <w:left w:val="nil"/>
              <w:bottom w:val="single" w:sz="4" w:space="0" w:color="auto"/>
              <w:right w:val="nil"/>
            </w:tcBorders>
            <w:shd w:val="clear" w:color="auto" w:fill="auto"/>
            <w:noWrap/>
            <w:vAlign w:val="bottom"/>
            <w:hideMark/>
          </w:tcPr>
          <w:p w14:paraId="12FD837D" w14:textId="77777777" w:rsidR="00890FA4" w:rsidRPr="006E6122" w:rsidRDefault="00890FA4" w:rsidP="00931F65">
            <w:pPr>
              <w:spacing w:after="0" w:line="240" w:lineRule="auto"/>
              <w:rPr>
                <w:rFonts w:ascii="Calibri" w:eastAsia="Times New Roman" w:hAnsi="Calibri" w:cs="Calibri"/>
                <w:sz w:val="20"/>
                <w:szCs w:val="20"/>
                <w:vertAlign w:val="superscript"/>
              </w:rPr>
            </w:pPr>
            <w:r w:rsidRPr="006E6122">
              <w:rPr>
                <w:rFonts w:ascii="Calibri" w:eastAsia="Times New Roman" w:hAnsi="Calibri" w:cs="Calibri"/>
                <w:sz w:val="20"/>
                <w:szCs w:val="20"/>
              </w:rPr>
              <w:t>Pseudo R</w:t>
            </w:r>
            <w:r>
              <w:rPr>
                <w:rFonts w:ascii="Calibri" w:eastAsia="Times New Roman" w:hAnsi="Calibri" w:cs="Calibri"/>
                <w:sz w:val="20"/>
                <w:szCs w:val="20"/>
                <w:vertAlign w:val="superscript"/>
              </w:rPr>
              <w:t>2</w:t>
            </w:r>
          </w:p>
        </w:tc>
        <w:tc>
          <w:tcPr>
            <w:tcW w:w="1280" w:type="dxa"/>
            <w:tcBorders>
              <w:top w:val="nil"/>
              <w:left w:val="nil"/>
              <w:bottom w:val="single" w:sz="4" w:space="0" w:color="auto"/>
              <w:right w:val="nil"/>
            </w:tcBorders>
            <w:shd w:val="clear" w:color="auto" w:fill="auto"/>
            <w:noWrap/>
            <w:vAlign w:val="center"/>
          </w:tcPr>
          <w:p w14:paraId="22AA2056"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0.056</w:t>
            </w:r>
          </w:p>
        </w:tc>
        <w:tc>
          <w:tcPr>
            <w:tcW w:w="1260" w:type="dxa"/>
            <w:tcBorders>
              <w:top w:val="nil"/>
              <w:left w:val="nil"/>
              <w:bottom w:val="single" w:sz="4" w:space="0" w:color="auto"/>
              <w:right w:val="nil"/>
            </w:tcBorders>
            <w:shd w:val="clear" w:color="auto" w:fill="auto"/>
            <w:noWrap/>
            <w:vAlign w:val="bottom"/>
          </w:tcPr>
          <w:p w14:paraId="73A7597B"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0.055</w:t>
            </w:r>
          </w:p>
        </w:tc>
        <w:tc>
          <w:tcPr>
            <w:tcW w:w="1260" w:type="dxa"/>
            <w:tcBorders>
              <w:top w:val="nil"/>
              <w:left w:val="nil"/>
              <w:bottom w:val="single" w:sz="4" w:space="0" w:color="auto"/>
              <w:right w:val="nil"/>
            </w:tcBorders>
            <w:shd w:val="clear" w:color="auto" w:fill="auto"/>
            <w:noWrap/>
            <w:vAlign w:val="bottom"/>
          </w:tcPr>
          <w:p w14:paraId="7620C681"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0.055</w:t>
            </w:r>
          </w:p>
        </w:tc>
        <w:tc>
          <w:tcPr>
            <w:tcW w:w="1260" w:type="dxa"/>
            <w:tcBorders>
              <w:top w:val="nil"/>
              <w:left w:val="nil"/>
              <w:bottom w:val="single" w:sz="4" w:space="0" w:color="auto"/>
              <w:right w:val="nil"/>
            </w:tcBorders>
            <w:shd w:val="clear" w:color="auto" w:fill="auto"/>
            <w:noWrap/>
            <w:vAlign w:val="bottom"/>
          </w:tcPr>
          <w:p w14:paraId="626C48C2"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0.055</w:t>
            </w:r>
          </w:p>
        </w:tc>
        <w:tc>
          <w:tcPr>
            <w:tcW w:w="1260" w:type="dxa"/>
            <w:gridSpan w:val="2"/>
            <w:tcBorders>
              <w:top w:val="nil"/>
              <w:left w:val="nil"/>
              <w:bottom w:val="single" w:sz="4" w:space="0" w:color="auto"/>
              <w:right w:val="nil"/>
            </w:tcBorders>
            <w:shd w:val="clear" w:color="auto" w:fill="auto"/>
            <w:noWrap/>
            <w:vAlign w:val="bottom"/>
          </w:tcPr>
          <w:p w14:paraId="6F302B17"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0.054</w:t>
            </w:r>
          </w:p>
        </w:tc>
      </w:tr>
    </w:tbl>
    <w:p w14:paraId="52A10C62" w14:textId="77777777" w:rsidR="00890FA4" w:rsidRDefault="00890FA4" w:rsidP="00890FA4">
      <w:pPr>
        <w:contextualSpacing/>
      </w:pPr>
    </w:p>
    <w:p w14:paraId="487B9453" w14:textId="77777777" w:rsidR="00890FA4" w:rsidRDefault="00890FA4">
      <w:pPr>
        <w:rPr>
          <w:b/>
        </w:rPr>
      </w:pPr>
      <w:r>
        <w:rPr>
          <w:b/>
        </w:rPr>
        <w:br w:type="page"/>
      </w:r>
    </w:p>
    <w:p w14:paraId="47F601C7" w14:textId="0D2BE631" w:rsidR="00890FA4" w:rsidRPr="008B0DBA" w:rsidRDefault="00890FA4" w:rsidP="00890FA4">
      <w:pPr>
        <w:contextualSpacing/>
        <w:rPr>
          <w:b/>
        </w:rPr>
      </w:pPr>
      <w:r w:rsidRPr="008B0DBA">
        <w:rPr>
          <w:b/>
        </w:rPr>
        <w:lastRenderedPageBreak/>
        <w:t xml:space="preserve">Table </w:t>
      </w:r>
      <w:r>
        <w:rPr>
          <w:b/>
        </w:rPr>
        <w:t>A2</w:t>
      </w:r>
    </w:p>
    <w:p w14:paraId="43AF1007" w14:textId="77777777" w:rsidR="00890FA4" w:rsidRDefault="00890FA4" w:rsidP="00890FA4">
      <w:pPr>
        <w:contextualSpacing/>
      </w:pPr>
      <w:r>
        <w:t xml:space="preserve">Multinomial logit regressions based on monthly observations of first-lien, conventional, amortizing (non-balloon, non-interest only), fixed-rate mortgages for purchases of single-family residences or condominiums in Maryland and Virginia originated by nonbank originators between 2000 and 2015.  The sample is restricted to only the first one, two, three, or four years of each mortgage’s performance observations.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Pr="00EB01F8">
        <w:rPr>
          <w:i/>
        </w:rPr>
        <w:t>FICO</w:t>
      </w:r>
      <w:r>
        <w:t xml:space="preserve"> is the borrower’s FICO score at origination.  </w:t>
      </w:r>
      <w:r w:rsidRPr="00EB01F8">
        <w:rPr>
          <w:i/>
        </w:rPr>
        <w:t>CLTV</w:t>
      </w:r>
      <w:r>
        <w:t xml:space="preserve"> is the current loan balance divided by the current home value, where current home value is estimated as (1 + house price appreciation since origination) multiplied by the loan amount at origination divided by LTV at origination.  House price appreciation for CLTV is measured by the CoreLogic Solutions county-level monthly house price index.  </w:t>
      </w:r>
      <w:r w:rsidRPr="000E12EE">
        <w:rPr>
          <w:i/>
        </w:rPr>
        <w:t>LoanAge</w:t>
      </w:r>
      <w:r>
        <w:t xml:space="preserve"> is the number of months since origination.  </w:t>
      </w:r>
      <w:r w:rsidRPr="005B6422">
        <w:rPr>
          <w:i/>
        </w:rPr>
        <w:t>RefiPenalty</w:t>
      </w:r>
      <w:r>
        <w:t xml:space="preserve"> is the change in the PMMS rate since origination.  </w:t>
      </w:r>
      <w:r w:rsidRPr="006879D3">
        <w:rPr>
          <w:i/>
        </w:rPr>
        <w:t>InterestGap</w:t>
      </w:r>
      <w:r>
        <w:t xml:space="preserve"> is the difference between the mortgage interest rate at origination and the PMMS rate for the origination month.  </w:t>
      </w:r>
      <w:r w:rsidRPr="006879D3">
        <w:rPr>
          <w:i/>
        </w:rPr>
        <w:t>RelLoanSize</w:t>
      </w:r>
      <w:r>
        <w:t xml:space="preserve"> is the loan amount at origination divided by the average loan amount for originations in the same vintage year and county.  </w:t>
      </w:r>
      <w:r w:rsidRPr="00EB01F8">
        <w:rPr>
          <w:i/>
        </w:rPr>
        <w:t>Unemployment</w:t>
      </w:r>
      <w:r>
        <w:t xml:space="preserve"> is the monthly percentage change in the state-level unemployment rate.  </w:t>
      </w:r>
      <w:r>
        <w:rPr>
          <w:i/>
        </w:rPr>
        <w:t>HPI</w:t>
      </w:r>
      <w:r w:rsidRPr="007C5226">
        <w:t xml:space="preserve"> is the percent change in quarterly FHFA state-level house price index since origination</w:t>
      </w:r>
      <w:r w:rsidRPr="00B40C92">
        <w:t xml:space="preserve">.  </w:t>
      </w:r>
      <w:r w:rsidRPr="001A09E2">
        <w:rPr>
          <w:i/>
        </w:rPr>
        <w:t>Condo</w:t>
      </w:r>
      <w:r>
        <w:t xml:space="preserve"> is an indicator variable equaling one if the property is a condominium or townhouse and equaling zero if the property is a single family residence.  Each coefficient estimate represents the effect on the probability of default or prepayment, relative to the probability of the mortgage remaining current, of a one-unit change in the corresponding variable.  Vintage year indicators and a constant term are included in each specification.  Standard errors, clustered by loan, appear in parentheses</w:t>
      </w:r>
      <w:r w:rsidRPr="00957138">
        <w:t xml:space="preserve">.  </w:t>
      </w:r>
      <w:r>
        <w:t>Levels of significance are indicated by *, **, and *** for 10%, 5%, and 1%, respectively.</w:t>
      </w:r>
    </w:p>
    <w:p w14:paraId="2E06A320" w14:textId="77777777" w:rsidR="00890FA4" w:rsidRDefault="00890FA4" w:rsidP="00890FA4">
      <w:pPr>
        <w:contextualSpacing/>
      </w:pPr>
    </w:p>
    <w:tbl>
      <w:tblPr>
        <w:tblW w:w="6750" w:type="dxa"/>
        <w:jc w:val="center"/>
        <w:tblLook w:val="04A0" w:firstRow="1" w:lastRow="0" w:firstColumn="1" w:lastColumn="0" w:noHBand="0" w:noVBand="1"/>
      </w:tblPr>
      <w:tblGrid>
        <w:gridCol w:w="1660"/>
        <w:gridCol w:w="1310"/>
        <w:gridCol w:w="1260"/>
        <w:gridCol w:w="1260"/>
        <w:gridCol w:w="1260"/>
      </w:tblGrid>
      <w:tr w:rsidR="00890FA4" w:rsidRPr="00B672D5" w14:paraId="15F4D768" w14:textId="77777777" w:rsidTr="00890FA4">
        <w:trPr>
          <w:trHeight w:val="255"/>
          <w:jc w:val="center"/>
        </w:trPr>
        <w:tc>
          <w:tcPr>
            <w:tcW w:w="1660" w:type="dxa"/>
            <w:tcBorders>
              <w:top w:val="single" w:sz="4" w:space="0" w:color="auto"/>
              <w:left w:val="nil"/>
              <w:bottom w:val="nil"/>
              <w:right w:val="nil"/>
            </w:tcBorders>
            <w:shd w:val="clear" w:color="auto" w:fill="auto"/>
            <w:noWrap/>
            <w:vAlign w:val="bottom"/>
            <w:hideMark/>
          </w:tcPr>
          <w:p w14:paraId="4FACE082" w14:textId="77777777" w:rsidR="00890FA4" w:rsidRPr="00B672D5" w:rsidRDefault="00890FA4" w:rsidP="00931F65">
            <w:pPr>
              <w:spacing w:after="0" w:line="240" w:lineRule="auto"/>
              <w:rPr>
                <w:rFonts w:ascii="Calibri" w:eastAsia="Times New Roman" w:hAnsi="Calibri" w:cs="Calibri"/>
                <w:sz w:val="20"/>
                <w:szCs w:val="20"/>
              </w:rPr>
            </w:pPr>
            <w:r w:rsidRPr="00B672D5">
              <w:rPr>
                <w:rFonts w:ascii="Calibri" w:eastAsia="Times New Roman" w:hAnsi="Calibri" w:cs="Calibri"/>
                <w:sz w:val="20"/>
                <w:szCs w:val="20"/>
              </w:rPr>
              <w:t> </w:t>
            </w:r>
          </w:p>
        </w:tc>
        <w:tc>
          <w:tcPr>
            <w:tcW w:w="5090" w:type="dxa"/>
            <w:gridSpan w:val="4"/>
            <w:tcBorders>
              <w:top w:val="single" w:sz="4" w:space="0" w:color="auto"/>
              <w:left w:val="nil"/>
              <w:bottom w:val="nil"/>
              <w:right w:val="nil"/>
            </w:tcBorders>
            <w:shd w:val="clear" w:color="auto" w:fill="auto"/>
            <w:noWrap/>
            <w:vAlign w:val="bottom"/>
            <w:hideMark/>
          </w:tcPr>
          <w:p w14:paraId="362DCBEB"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 xml:space="preserve">Probability of </w:t>
            </w:r>
            <w:r>
              <w:rPr>
                <w:rFonts w:ascii="Calibri" w:eastAsia="Times New Roman" w:hAnsi="Calibri" w:cs="Calibri"/>
                <w:sz w:val="20"/>
                <w:szCs w:val="20"/>
              </w:rPr>
              <w:t>d</w:t>
            </w:r>
            <w:r w:rsidRPr="00B672D5">
              <w:rPr>
                <w:rFonts w:ascii="Calibri" w:eastAsia="Times New Roman" w:hAnsi="Calibri" w:cs="Calibri"/>
                <w:sz w:val="20"/>
                <w:szCs w:val="20"/>
              </w:rPr>
              <w:t>efault</w:t>
            </w:r>
          </w:p>
        </w:tc>
      </w:tr>
      <w:tr w:rsidR="00890FA4" w:rsidRPr="00B672D5" w14:paraId="19099C8D" w14:textId="77777777" w:rsidTr="00890FA4">
        <w:trPr>
          <w:trHeight w:val="255"/>
          <w:jc w:val="center"/>
        </w:trPr>
        <w:tc>
          <w:tcPr>
            <w:tcW w:w="1660" w:type="dxa"/>
            <w:tcBorders>
              <w:top w:val="nil"/>
              <w:left w:val="nil"/>
              <w:right w:val="nil"/>
            </w:tcBorders>
            <w:shd w:val="clear" w:color="auto" w:fill="auto"/>
            <w:noWrap/>
            <w:vAlign w:val="bottom"/>
            <w:hideMark/>
          </w:tcPr>
          <w:p w14:paraId="6CF86CDF" w14:textId="77777777" w:rsidR="00890FA4" w:rsidRPr="00B672D5" w:rsidRDefault="00890FA4" w:rsidP="00931F65">
            <w:pPr>
              <w:spacing w:after="0" w:line="240" w:lineRule="auto"/>
              <w:jc w:val="center"/>
              <w:rPr>
                <w:rFonts w:ascii="Calibri" w:eastAsia="Times New Roman" w:hAnsi="Calibri" w:cs="Calibri"/>
                <w:sz w:val="18"/>
                <w:szCs w:val="18"/>
              </w:rPr>
            </w:pPr>
            <w:r w:rsidRPr="00B672D5">
              <w:rPr>
                <w:rFonts w:ascii="Calibri" w:eastAsia="Times New Roman" w:hAnsi="Calibri" w:cs="Calibri"/>
                <w:sz w:val="18"/>
                <w:szCs w:val="18"/>
              </w:rPr>
              <w:t> </w:t>
            </w:r>
          </w:p>
        </w:tc>
        <w:tc>
          <w:tcPr>
            <w:tcW w:w="1310" w:type="dxa"/>
            <w:tcBorders>
              <w:top w:val="nil"/>
              <w:left w:val="nil"/>
              <w:right w:val="nil"/>
            </w:tcBorders>
            <w:shd w:val="clear" w:color="auto" w:fill="auto"/>
            <w:noWrap/>
            <w:vAlign w:val="bottom"/>
            <w:hideMark/>
          </w:tcPr>
          <w:p w14:paraId="11759AC7"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One year</w:t>
            </w:r>
          </w:p>
        </w:tc>
        <w:tc>
          <w:tcPr>
            <w:tcW w:w="1260" w:type="dxa"/>
            <w:tcBorders>
              <w:top w:val="nil"/>
              <w:left w:val="nil"/>
              <w:right w:val="nil"/>
            </w:tcBorders>
            <w:shd w:val="clear" w:color="auto" w:fill="auto"/>
            <w:noWrap/>
            <w:vAlign w:val="bottom"/>
            <w:hideMark/>
          </w:tcPr>
          <w:p w14:paraId="67BF9031"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Two years</w:t>
            </w:r>
          </w:p>
        </w:tc>
        <w:tc>
          <w:tcPr>
            <w:tcW w:w="1260" w:type="dxa"/>
            <w:tcBorders>
              <w:top w:val="nil"/>
              <w:left w:val="nil"/>
              <w:right w:val="nil"/>
            </w:tcBorders>
            <w:shd w:val="clear" w:color="auto" w:fill="auto"/>
            <w:noWrap/>
            <w:vAlign w:val="bottom"/>
            <w:hideMark/>
          </w:tcPr>
          <w:p w14:paraId="3B0BA814"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Three years</w:t>
            </w:r>
          </w:p>
        </w:tc>
        <w:tc>
          <w:tcPr>
            <w:tcW w:w="1260" w:type="dxa"/>
            <w:tcBorders>
              <w:top w:val="nil"/>
              <w:left w:val="nil"/>
              <w:right w:val="nil"/>
            </w:tcBorders>
            <w:shd w:val="clear" w:color="auto" w:fill="auto"/>
            <w:noWrap/>
            <w:vAlign w:val="bottom"/>
            <w:hideMark/>
          </w:tcPr>
          <w:p w14:paraId="493BDFE8"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Four years</w:t>
            </w:r>
          </w:p>
        </w:tc>
      </w:tr>
      <w:tr w:rsidR="00890FA4" w:rsidRPr="00B672D5" w14:paraId="05D62AEE" w14:textId="77777777" w:rsidTr="00890FA4">
        <w:trPr>
          <w:trHeight w:val="255"/>
          <w:jc w:val="center"/>
        </w:trPr>
        <w:tc>
          <w:tcPr>
            <w:tcW w:w="1660" w:type="dxa"/>
            <w:tcBorders>
              <w:top w:val="nil"/>
              <w:left w:val="nil"/>
              <w:bottom w:val="single" w:sz="4" w:space="0" w:color="auto"/>
              <w:right w:val="nil"/>
            </w:tcBorders>
            <w:shd w:val="clear" w:color="auto" w:fill="auto"/>
            <w:noWrap/>
            <w:vAlign w:val="bottom"/>
            <w:hideMark/>
          </w:tcPr>
          <w:p w14:paraId="20C79BD3"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 </w:t>
            </w:r>
          </w:p>
        </w:tc>
        <w:tc>
          <w:tcPr>
            <w:tcW w:w="1310" w:type="dxa"/>
            <w:tcBorders>
              <w:top w:val="nil"/>
              <w:left w:val="nil"/>
              <w:bottom w:val="single" w:sz="4" w:space="0" w:color="auto"/>
              <w:right w:val="nil"/>
            </w:tcBorders>
            <w:shd w:val="clear" w:color="auto" w:fill="auto"/>
            <w:noWrap/>
            <w:vAlign w:val="bottom"/>
            <w:hideMark/>
          </w:tcPr>
          <w:p w14:paraId="24B1B5E3"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(1)</w:t>
            </w:r>
          </w:p>
        </w:tc>
        <w:tc>
          <w:tcPr>
            <w:tcW w:w="1260" w:type="dxa"/>
            <w:tcBorders>
              <w:top w:val="nil"/>
              <w:left w:val="nil"/>
              <w:bottom w:val="single" w:sz="4" w:space="0" w:color="auto"/>
              <w:right w:val="nil"/>
            </w:tcBorders>
            <w:shd w:val="clear" w:color="auto" w:fill="auto"/>
            <w:noWrap/>
            <w:vAlign w:val="bottom"/>
            <w:hideMark/>
          </w:tcPr>
          <w:p w14:paraId="509B7CD6"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(2)</w:t>
            </w:r>
          </w:p>
        </w:tc>
        <w:tc>
          <w:tcPr>
            <w:tcW w:w="1260" w:type="dxa"/>
            <w:tcBorders>
              <w:top w:val="nil"/>
              <w:left w:val="nil"/>
              <w:bottom w:val="single" w:sz="4" w:space="0" w:color="auto"/>
              <w:right w:val="nil"/>
            </w:tcBorders>
            <w:shd w:val="clear" w:color="auto" w:fill="auto"/>
            <w:noWrap/>
            <w:vAlign w:val="bottom"/>
            <w:hideMark/>
          </w:tcPr>
          <w:p w14:paraId="7811007F"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(3)</w:t>
            </w:r>
          </w:p>
        </w:tc>
        <w:tc>
          <w:tcPr>
            <w:tcW w:w="1260" w:type="dxa"/>
            <w:tcBorders>
              <w:top w:val="nil"/>
              <w:left w:val="nil"/>
              <w:bottom w:val="single" w:sz="4" w:space="0" w:color="auto"/>
              <w:right w:val="nil"/>
            </w:tcBorders>
            <w:shd w:val="clear" w:color="auto" w:fill="auto"/>
            <w:noWrap/>
            <w:vAlign w:val="bottom"/>
            <w:hideMark/>
          </w:tcPr>
          <w:p w14:paraId="3F4CF169"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w:t>
            </w:r>
            <w:r>
              <w:rPr>
                <w:rFonts w:ascii="Calibri" w:eastAsia="Times New Roman" w:hAnsi="Calibri" w:cs="Calibri"/>
                <w:sz w:val="20"/>
                <w:szCs w:val="20"/>
              </w:rPr>
              <w:t>4</w:t>
            </w:r>
            <w:r w:rsidRPr="00B672D5">
              <w:rPr>
                <w:rFonts w:ascii="Calibri" w:eastAsia="Times New Roman" w:hAnsi="Calibri" w:cs="Calibri"/>
                <w:sz w:val="20"/>
                <w:szCs w:val="20"/>
              </w:rPr>
              <w:t>)</w:t>
            </w:r>
          </w:p>
        </w:tc>
      </w:tr>
      <w:tr w:rsidR="00890FA4" w:rsidRPr="00B672D5" w14:paraId="2DACC33B" w14:textId="77777777" w:rsidTr="00890FA4">
        <w:trPr>
          <w:trHeight w:val="255"/>
          <w:jc w:val="center"/>
        </w:trPr>
        <w:tc>
          <w:tcPr>
            <w:tcW w:w="1660" w:type="dxa"/>
            <w:tcBorders>
              <w:top w:val="single" w:sz="4" w:space="0" w:color="auto"/>
              <w:left w:val="nil"/>
              <w:bottom w:val="nil"/>
              <w:right w:val="nil"/>
            </w:tcBorders>
            <w:shd w:val="clear" w:color="auto" w:fill="auto"/>
            <w:noWrap/>
            <w:vAlign w:val="bottom"/>
            <w:hideMark/>
          </w:tcPr>
          <w:p w14:paraId="0439A18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310" w:type="dxa"/>
            <w:tcBorders>
              <w:top w:val="single" w:sz="4" w:space="0" w:color="auto"/>
              <w:left w:val="nil"/>
              <w:bottom w:val="nil"/>
              <w:right w:val="nil"/>
            </w:tcBorders>
            <w:shd w:val="clear" w:color="auto" w:fill="auto"/>
            <w:noWrap/>
            <w:vAlign w:val="bottom"/>
          </w:tcPr>
          <w:p w14:paraId="31F5E92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.000768</w:t>
            </w:r>
          </w:p>
        </w:tc>
        <w:tc>
          <w:tcPr>
            <w:tcW w:w="1260" w:type="dxa"/>
            <w:tcBorders>
              <w:top w:val="single" w:sz="4" w:space="0" w:color="auto"/>
              <w:left w:val="nil"/>
              <w:bottom w:val="nil"/>
              <w:right w:val="nil"/>
            </w:tcBorders>
            <w:shd w:val="clear" w:color="auto" w:fill="auto"/>
            <w:noWrap/>
            <w:vAlign w:val="bottom"/>
          </w:tcPr>
          <w:p w14:paraId="41FE000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.0119</w:t>
            </w:r>
          </w:p>
        </w:tc>
        <w:tc>
          <w:tcPr>
            <w:tcW w:w="1260" w:type="dxa"/>
            <w:tcBorders>
              <w:top w:val="single" w:sz="4" w:space="0" w:color="auto"/>
              <w:left w:val="nil"/>
              <w:bottom w:val="nil"/>
              <w:right w:val="nil"/>
            </w:tcBorders>
            <w:shd w:val="clear" w:color="auto" w:fill="auto"/>
            <w:noWrap/>
            <w:vAlign w:val="bottom"/>
          </w:tcPr>
          <w:p w14:paraId="48536F8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.00287</w:t>
            </w:r>
          </w:p>
        </w:tc>
        <w:tc>
          <w:tcPr>
            <w:tcW w:w="1260" w:type="dxa"/>
            <w:tcBorders>
              <w:top w:val="single" w:sz="4" w:space="0" w:color="auto"/>
              <w:left w:val="nil"/>
              <w:bottom w:val="nil"/>
              <w:right w:val="nil"/>
            </w:tcBorders>
            <w:shd w:val="clear" w:color="auto" w:fill="auto"/>
            <w:noWrap/>
            <w:vAlign w:val="bottom"/>
          </w:tcPr>
          <w:p w14:paraId="43EB1C6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.00309</w:t>
            </w:r>
          </w:p>
        </w:tc>
      </w:tr>
      <w:tr w:rsidR="00890FA4" w:rsidRPr="00B672D5" w14:paraId="3BBBACB4"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57CA69E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0B4E8B7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(.0775)</w:t>
            </w:r>
          </w:p>
        </w:tc>
        <w:tc>
          <w:tcPr>
            <w:tcW w:w="1260" w:type="dxa"/>
            <w:tcBorders>
              <w:top w:val="nil"/>
              <w:left w:val="nil"/>
              <w:bottom w:val="nil"/>
              <w:right w:val="nil"/>
            </w:tcBorders>
            <w:shd w:val="clear" w:color="auto" w:fill="auto"/>
            <w:noWrap/>
            <w:vAlign w:val="bottom"/>
          </w:tcPr>
          <w:p w14:paraId="5F49B41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(.0506)</w:t>
            </w:r>
          </w:p>
        </w:tc>
        <w:tc>
          <w:tcPr>
            <w:tcW w:w="1260" w:type="dxa"/>
            <w:tcBorders>
              <w:top w:val="nil"/>
              <w:left w:val="nil"/>
              <w:bottom w:val="nil"/>
              <w:right w:val="nil"/>
            </w:tcBorders>
            <w:shd w:val="clear" w:color="auto" w:fill="auto"/>
            <w:noWrap/>
            <w:vAlign w:val="bottom"/>
          </w:tcPr>
          <w:p w14:paraId="298FB2D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(.0422)</w:t>
            </w:r>
          </w:p>
        </w:tc>
        <w:tc>
          <w:tcPr>
            <w:tcW w:w="1260" w:type="dxa"/>
            <w:tcBorders>
              <w:top w:val="nil"/>
              <w:left w:val="nil"/>
              <w:bottom w:val="nil"/>
              <w:right w:val="nil"/>
            </w:tcBorders>
            <w:shd w:val="clear" w:color="auto" w:fill="auto"/>
            <w:noWrap/>
            <w:vAlign w:val="bottom"/>
          </w:tcPr>
          <w:p w14:paraId="08CD016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(.0379)</w:t>
            </w:r>
          </w:p>
        </w:tc>
      </w:tr>
      <w:tr w:rsidR="00890FA4" w:rsidRPr="00B672D5" w14:paraId="497E71F9"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29DD388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310" w:type="dxa"/>
            <w:tcBorders>
              <w:top w:val="nil"/>
              <w:left w:val="nil"/>
              <w:bottom w:val="nil"/>
              <w:right w:val="nil"/>
            </w:tcBorders>
            <w:shd w:val="clear" w:color="auto" w:fill="auto"/>
            <w:noWrap/>
            <w:vAlign w:val="bottom"/>
          </w:tcPr>
          <w:p w14:paraId="26CE634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-.954</w:t>
            </w:r>
          </w:p>
        </w:tc>
        <w:tc>
          <w:tcPr>
            <w:tcW w:w="1260" w:type="dxa"/>
            <w:tcBorders>
              <w:top w:val="nil"/>
              <w:left w:val="nil"/>
              <w:bottom w:val="nil"/>
              <w:right w:val="nil"/>
            </w:tcBorders>
            <w:shd w:val="clear" w:color="auto" w:fill="auto"/>
            <w:noWrap/>
            <w:vAlign w:val="bottom"/>
          </w:tcPr>
          <w:p w14:paraId="56C3FC5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-.87</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37B3F25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-.819***</w:t>
            </w:r>
          </w:p>
        </w:tc>
        <w:tc>
          <w:tcPr>
            <w:tcW w:w="1260" w:type="dxa"/>
            <w:tcBorders>
              <w:top w:val="nil"/>
              <w:left w:val="nil"/>
              <w:bottom w:val="nil"/>
              <w:right w:val="nil"/>
            </w:tcBorders>
            <w:shd w:val="clear" w:color="auto" w:fill="auto"/>
            <w:noWrap/>
            <w:vAlign w:val="bottom"/>
          </w:tcPr>
          <w:p w14:paraId="0D63D21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-.583***</w:t>
            </w:r>
          </w:p>
        </w:tc>
      </w:tr>
      <w:tr w:rsidR="00890FA4" w:rsidRPr="00B672D5" w14:paraId="532BF8BF"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2E7463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4D7D368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(.749)</w:t>
            </w:r>
          </w:p>
        </w:tc>
        <w:tc>
          <w:tcPr>
            <w:tcW w:w="1260" w:type="dxa"/>
            <w:tcBorders>
              <w:top w:val="nil"/>
              <w:left w:val="nil"/>
              <w:bottom w:val="nil"/>
              <w:right w:val="nil"/>
            </w:tcBorders>
            <w:shd w:val="clear" w:color="auto" w:fill="auto"/>
            <w:noWrap/>
            <w:vAlign w:val="bottom"/>
          </w:tcPr>
          <w:p w14:paraId="57A263C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(.346)</w:t>
            </w:r>
          </w:p>
        </w:tc>
        <w:tc>
          <w:tcPr>
            <w:tcW w:w="1260" w:type="dxa"/>
            <w:tcBorders>
              <w:top w:val="nil"/>
              <w:left w:val="nil"/>
              <w:bottom w:val="nil"/>
              <w:right w:val="nil"/>
            </w:tcBorders>
            <w:shd w:val="clear" w:color="auto" w:fill="auto"/>
            <w:noWrap/>
            <w:vAlign w:val="bottom"/>
          </w:tcPr>
          <w:p w14:paraId="0BDB087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(.277)</w:t>
            </w:r>
          </w:p>
        </w:tc>
        <w:tc>
          <w:tcPr>
            <w:tcW w:w="1260" w:type="dxa"/>
            <w:tcBorders>
              <w:top w:val="nil"/>
              <w:left w:val="nil"/>
              <w:bottom w:val="nil"/>
              <w:right w:val="nil"/>
            </w:tcBorders>
            <w:shd w:val="clear" w:color="auto" w:fill="auto"/>
            <w:noWrap/>
            <w:vAlign w:val="bottom"/>
          </w:tcPr>
          <w:p w14:paraId="6CDF722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(.221)</w:t>
            </w:r>
          </w:p>
        </w:tc>
      </w:tr>
      <w:tr w:rsidR="00890FA4" w:rsidRPr="00B672D5" w14:paraId="124C5846"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58F28D7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310" w:type="dxa"/>
            <w:tcBorders>
              <w:top w:val="nil"/>
              <w:left w:val="nil"/>
              <w:bottom w:val="nil"/>
              <w:right w:val="nil"/>
            </w:tcBorders>
            <w:shd w:val="clear" w:color="auto" w:fill="auto"/>
            <w:noWrap/>
            <w:vAlign w:val="bottom"/>
          </w:tcPr>
          <w:p w14:paraId="6C2A763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-.491**</w:t>
            </w:r>
          </w:p>
        </w:tc>
        <w:tc>
          <w:tcPr>
            <w:tcW w:w="1260" w:type="dxa"/>
            <w:tcBorders>
              <w:top w:val="nil"/>
              <w:left w:val="nil"/>
              <w:bottom w:val="nil"/>
              <w:right w:val="nil"/>
            </w:tcBorders>
            <w:shd w:val="clear" w:color="auto" w:fill="auto"/>
            <w:noWrap/>
            <w:vAlign w:val="bottom"/>
          </w:tcPr>
          <w:p w14:paraId="3405B6E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-.64</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A45B7A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-.498***</w:t>
            </w:r>
          </w:p>
        </w:tc>
        <w:tc>
          <w:tcPr>
            <w:tcW w:w="1260" w:type="dxa"/>
            <w:tcBorders>
              <w:top w:val="nil"/>
              <w:left w:val="nil"/>
              <w:bottom w:val="nil"/>
              <w:right w:val="nil"/>
            </w:tcBorders>
            <w:shd w:val="clear" w:color="auto" w:fill="auto"/>
            <w:noWrap/>
            <w:vAlign w:val="bottom"/>
          </w:tcPr>
          <w:p w14:paraId="3FA4047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-.532***</w:t>
            </w:r>
          </w:p>
        </w:tc>
      </w:tr>
      <w:tr w:rsidR="00890FA4" w:rsidRPr="00B672D5" w14:paraId="3DA802AB"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5E31F6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45380E6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(.224)</w:t>
            </w:r>
          </w:p>
        </w:tc>
        <w:tc>
          <w:tcPr>
            <w:tcW w:w="1260" w:type="dxa"/>
            <w:tcBorders>
              <w:top w:val="nil"/>
              <w:left w:val="nil"/>
              <w:bottom w:val="nil"/>
              <w:right w:val="nil"/>
            </w:tcBorders>
            <w:shd w:val="clear" w:color="auto" w:fill="auto"/>
            <w:noWrap/>
            <w:vAlign w:val="bottom"/>
          </w:tcPr>
          <w:p w14:paraId="128C6AE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(.131)</w:t>
            </w:r>
          </w:p>
        </w:tc>
        <w:tc>
          <w:tcPr>
            <w:tcW w:w="1260" w:type="dxa"/>
            <w:tcBorders>
              <w:top w:val="nil"/>
              <w:left w:val="nil"/>
              <w:bottom w:val="nil"/>
              <w:right w:val="nil"/>
            </w:tcBorders>
            <w:shd w:val="clear" w:color="auto" w:fill="auto"/>
            <w:noWrap/>
            <w:vAlign w:val="bottom"/>
          </w:tcPr>
          <w:p w14:paraId="2FEE7E6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(.101)</w:t>
            </w:r>
          </w:p>
        </w:tc>
        <w:tc>
          <w:tcPr>
            <w:tcW w:w="1260" w:type="dxa"/>
            <w:tcBorders>
              <w:top w:val="nil"/>
              <w:left w:val="nil"/>
              <w:bottom w:val="nil"/>
              <w:right w:val="nil"/>
            </w:tcBorders>
            <w:shd w:val="clear" w:color="auto" w:fill="auto"/>
            <w:noWrap/>
            <w:vAlign w:val="bottom"/>
          </w:tcPr>
          <w:p w14:paraId="6B73343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(.0888)</w:t>
            </w:r>
          </w:p>
        </w:tc>
      </w:tr>
      <w:tr w:rsidR="00890FA4" w:rsidRPr="00B672D5" w14:paraId="712E40E6"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717B335C"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310" w:type="dxa"/>
            <w:tcBorders>
              <w:top w:val="nil"/>
              <w:left w:val="nil"/>
              <w:bottom w:val="nil"/>
              <w:right w:val="nil"/>
            </w:tcBorders>
            <w:shd w:val="clear" w:color="auto" w:fill="auto"/>
            <w:noWrap/>
            <w:vAlign w:val="bottom"/>
          </w:tcPr>
          <w:p w14:paraId="1E6E371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-.018</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0543A80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-.0175***</w:t>
            </w:r>
          </w:p>
        </w:tc>
        <w:tc>
          <w:tcPr>
            <w:tcW w:w="1260" w:type="dxa"/>
            <w:tcBorders>
              <w:top w:val="nil"/>
              <w:left w:val="nil"/>
              <w:bottom w:val="nil"/>
              <w:right w:val="nil"/>
            </w:tcBorders>
            <w:shd w:val="clear" w:color="auto" w:fill="auto"/>
            <w:noWrap/>
            <w:vAlign w:val="bottom"/>
          </w:tcPr>
          <w:p w14:paraId="0F92AD8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-.0167***</w:t>
            </w:r>
          </w:p>
        </w:tc>
        <w:tc>
          <w:tcPr>
            <w:tcW w:w="1260" w:type="dxa"/>
            <w:tcBorders>
              <w:top w:val="nil"/>
              <w:left w:val="nil"/>
              <w:bottom w:val="nil"/>
              <w:right w:val="nil"/>
            </w:tcBorders>
            <w:shd w:val="clear" w:color="auto" w:fill="auto"/>
            <w:noWrap/>
            <w:vAlign w:val="bottom"/>
          </w:tcPr>
          <w:p w14:paraId="0917CD5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-.0162***</w:t>
            </w:r>
          </w:p>
        </w:tc>
      </w:tr>
      <w:tr w:rsidR="00890FA4" w:rsidRPr="00B672D5" w14:paraId="645D1DAF"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67CA8C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4763791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(.000568)</w:t>
            </w:r>
          </w:p>
        </w:tc>
        <w:tc>
          <w:tcPr>
            <w:tcW w:w="1260" w:type="dxa"/>
            <w:tcBorders>
              <w:top w:val="nil"/>
              <w:left w:val="nil"/>
              <w:bottom w:val="nil"/>
              <w:right w:val="nil"/>
            </w:tcBorders>
            <w:shd w:val="clear" w:color="auto" w:fill="auto"/>
            <w:noWrap/>
            <w:vAlign w:val="bottom"/>
          </w:tcPr>
          <w:p w14:paraId="4E2933E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(.000381)</w:t>
            </w:r>
          </w:p>
        </w:tc>
        <w:tc>
          <w:tcPr>
            <w:tcW w:w="1260" w:type="dxa"/>
            <w:tcBorders>
              <w:top w:val="nil"/>
              <w:left w:val="nil"/>
              <w:bottom w:val="nil"/>
              <w:right w:val="nil"/>
            </w:tcBorders>
            <w:shd w:val="clear" w:color="auto" w:fill="auto"/>
            <w:noWrap/>
            <w:vAlign w:val="bottom"/>
          </w:tcPr>
          <w:p w14:paraId="1DBA23B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(.000322)</w:t>
            </w:r>
          </w:p>
        </w:tc>
        <w:tc>
          <w:tcPr>
            <w:tcW w:w="1260" w:type="dxa"/>
            <w:tcBorders>
              <w:top w:val="nil"/>
              <w:left w:val="nil"/>
              <w:bottom w:val="nil"/>
              <w:right w:val="nil"/>
            </w:tcBorders>
            <w:shd w:val="clear" w:color="auto" w:fill="auto"/>
            <w:noWrap/>
            <w:vAlign w:val="bottom"/>
          </w:tcPr>
          <w:p w14:paraId="08F9707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w:t>
            </w:r>
            <w:r>
              <w:rPr>
                <w:rFonts w:ascii="Calibri" w:eastAsia="Times New Roman" w:hAnsi="Calibri" w:cs="Calibri"/>
                <w:sz w:val="20"/>
                <w:szCs w:val="20"/>
              </w:rPr>
              <w:t>00</w:t>
            </w:r>
            <w:r w:rsidRPr="00533AA5">
              <w:rPr>
                <w:rFonts w:ascii="Calibri" w:eastAsia="Times New Roman" w:hAnsi="Calibri" w:cs="Calibri"/>
                <w:sz w:val="20"/>
                <w:szCs w:val="20"/>
              </w:rPr>
              <w:t>)</w:t>
            </w:r>
          </w:p>
        </w:tc>
      </w:tr>
      <w:tr w:rsidR="00890FA4" w:rsidRPr="00B672D5" w14:paraId="60A959D0"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6348BE3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1310" w:type="dxa"/>
            <w:tcBorders>
              <w:top w:val="nil"/>
              <w:left w:val="nil"/>
              <w:bottom w:val="nil"/>
              <w:right w:val="nil"/>
            </w:tcBorders>
            <w:shd w:val="clear" w:color="auto" w:fill="auto"/>
            <w:noWrap/>
            <w:vAlign w:val="bottom"/>
          </w:tcPr>
          <w:p w14:paraId="78B5C5D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.00249***</w:t>
            </w:r>
          </w:p>
        </w:tc>
        <w:tc>
          <w:tcPr>
            <w:tcW w:w="1260" w:type="dxa"/>
            <w:tcBorders>
              <w:top w:val="nil"/>
              <w:left w:val="nil"/>
              <w:bottom w:val="nil"/>
              <w:right w:val="nil"/>
            </w:tcBorders>
            <w:shd w:val="clear" w:color="auto" w:fill="auto"/>
            <w:noWrap/>
            <w:vAlign w:val="bottom"/>
          </w:tcPr>
          <w:p w14:paraId="70742AC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.00277***</w:t>
            </w:r>
          </w:p>
        </w:tc>
        <w:tc>
          <w:tcPr>
            <w:tcW w:w="1260" w:type="dxa"/>
            <w:tcBorders>
              <w:top w:val="nil"/>
              <w:left w:val="nil"/>
              <w:bottom w:val="nil"/>
              <w:right w:val="nil"/>
            </w:tcBorders>
            <w:shd w:val="clear" w:color="auto" w:fill="auto"/>
            <w:noWrap/>
            <w:vAlign w:val="bottom"/>
          </w:tcPr>
          <w:p w14:paraId="339A651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.00271***</w:t>
            </w:r>
          </w:p>
        </w:tc>
        <w:tc>
          <w:tcPr>
            <w:tcW w:w="1260" w:type="dxa"/>
            <w:tcBorders>
              <w:top w:val="nil"/>
              <w:left w:val="nil"/>
              <w:bottom w:val="nil"/>
              <w:right w:val="nil"/>
            </w:tcBorders>
            <w:shd w:val="clear" w:color="auto" w:fill="auto"/>
            <w:noWrap/>
            <w:vAlign w:val="bottom"/>
          </w:tcPr>
          <w:p w14:paraId="452612B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.00254***</w:t>
            </w:r>
          </w:p>
        </w:tc>
      </w:tr>
      <w:tr w:rsidR="00890FA4" w:rsidRPr="00B672D5" w14:paraId="15E95BAF"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5BE75E2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5613AC9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(.000445)</w:t>
            </w:r>
          </w:p>
        </w:tc>
        <w:tc>
          <w:tcPr>
            <w:tcW w:w="1260" w:type="dxa"/>
            <w:tcBorders>
              <w:top w:val="nil"/>
              <w:left w:val="nil"/>
              <w:bottom w:val="nil"/>
              <w:right w:val="nil"/>
            </w:tcBorders>
            <w:shd w:val="clear" w:color="auto" w:fill="auto"/>
            <w:noWrap/>
            <w:vAlign w:val="bottom"/>
          </w:tcPr>
          <w:p w14:paraId="4BD2414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(.000526)</w:t>
            </w:r>
          </w:p>
        </w:tc>
        <w:tc>
          <w:tcPr>
            <w:tcW w:w="1260" w:type="dxa"/>
            <w:tcBorders>
              <w:top w:val="nil"/>
              <w:left w:val="nil"/>
              <w:bottom w:val="nil"/>
              <w:right w:val="nil"/>
            </w:tcBorders>
            <w:shd w:val="clear" w:color="auto" w:fill="auto"/>
            <w:noWrap/>
            <w:vAlign w:val="bottom"/>
          </w:tcPr>
          <w:p w14:paraId="5C1F21C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(.000532)</w:t>
            </w:r>
          </w:p>
        </w:tc>
        <w:tc>
          <w:tcPr>
            <w:tcW w:w="1260" w:type="dxa"/>
            <w:tcBorders>
              <w:top w:val="nil"/>
              <w:left w:val="nil"/>
              <w:bottom w:val="nil"/>
              <w:right w:val="nil"/>
            </w:tcBorders>
            <w:shd w:val="clear" w:color="auto" w:fill="auto"/>
            <w:noWrap/>
            <w:vAlign w:val="bottom"/>
          </w:tcPr>
          <w:p w14:paraId="315E9E3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(.00054</w:t>
            </w:r>
            <w:r>
              <w:rPr>
                <w:rFonts w:ascii="Calibri" w:eastAsia="Times New Roman" w:hAnsi="Calibri" w:cs="Calibri"/>
                <w:sz w:val="20"/>
                <w:szCs w:val="20"/>
              </w:rPr>
              <w:t>0</w:t>
            </w:r>
            <w:r w:rsidRPr="00533AA5">
              <w:rPr>
                <w:rFonts w:ascii="Calibri" w:eastAsia="Times New Roman" w:hAnsi="Calibri" w:cs="Calibri"/>
                <w:sz w:val="20"/>
                <w:szCs w:val="20"/>
              </w:rPr>
              <w:t>)</w:t>
            </w:r>
          </w:p>
        </w:tc>
      </w:tr>
      <w:tr w:rsidR="00890FA4" w:rsidRPr="00B672D5" w14:paraId="06DE7B1B"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346F1407"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1310" w:type="dxa"/>
            <w:tcBorders>
              <w:top w:val="nil"/>
              <w:left w:val="nil"/>
              <w:bottom w:val="nil"/>
              <w:right w:val="nil"/>
            </w:tcBorders>
            <w:shd w:val="clear" w:color="auto" w:fill="auto"/>
            <w:noWrap/>
            <w:vAlign w:val="bottom"/>
          </w:tcPr>
          <w:p w14:paraId="2460270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.682***</w:t>
            </w:r>
          </w:p>
        </w:tc>
        <w:tc>
          <w:tcPr>
            <w:tcW w:w="1260" w:type="dxa"/>
            <w:tcBorders>
              <w:top w:val="nil"/>
              <w:left w:val="nil"/>
              <w:bottom w:val="nil"/>
              <w:right w:val="nil"/>
            </w:tcBorders>
            <w:shd w:val="clear" w:color="auto" w:fill="auto"/>
            <w:noWrap/>
            <w:vAlign w:val="bottom"/>
          </w:tcPr>
          <w:p w14:paraId="17C5691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.264***</w:t>
            </w:r>
          </w:p>
        </w:tc>
        <w:tc>
          <w:tcPr>
            <w:tcW w:w="1260" w:type="dxa"/>
            <w:tcBorders>
              <w:top w:val="nil"/>
              <w:left w:val="nil"/>
              <w:bottom w:val="nil"/>
              <w:right w:val="nil"/>
            </w:tcBorders>
            <w:shd w:val="clear" w:color="auto" w:fill="auto"/>
            <w:noWrap/>
            <w:vAlign w:val="bottom"/>
          </w:tcPr>
          <w:p w14:paraId="0B5D90B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.171***</w:t>
            </w:r>
          </w:p>
        </w:tc>
        <w:tc>
          <w:tcPr>
            <w:tcW w:w="1260" w:type="dxa"/>
            <w:tcBorders>
              <w:top w:val="nil"/>
              <w:left w:val="nil"/>
              <w:bottom w:val="nil"/>
              <w:right w:val="nil"/>
            </w:tcBorders>
            <w:shd w:val="clear" w:color="auto" w:fill="auto"/>
            <w:noWrap/>
            <w:vAlign w:val="bottom"/>
          </w:tcPr>
          <w:p w14:paraId="1F86866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.117***</w:t>
            </w:r>
          </w:p>
        </w:tc>
      </w:tr>
      <w:tr w:rsidR="00890FA4" w:rsidRPr="00B672D5" w14:paraId="64790DC1"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202566F2"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55EB04D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(.0406)</w:t>
            </w:r>
          </w:p>
        </w:tc>
        <w:tc>
          <w:tcPr>
            <w:tcW w:w="1260" w:type="dxa"/>
            <w:tcBorders>
              <w:top w:val="nil"/>
              <w:left w:val="nil"/>
              <w:bottom w:val="nil"/>
              <w:right w:val="nil"/>
            </w:tcBorders>
            <w:shd w:val="clear" w:color="auto" w:fill="auto"/>
            <w:noWrap/>
            <w:vAlign w:val="bottom"/>
          </w:tcPr>
          <w:p w14:paraId="34267FE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(.0126)</w:t>
            </w:r>
          </w:p>
        </w:tc>
        <w:tc>
          <w:tcPr>
            <w:tcW w:w="1260" w:type="dxa"/>
            <w:tcBorders>
              <w:top w:val="nil"/>
              <w:left w:val="nil"/>
              <w:bottom w:val="nil"/>
              <w:right w:val="nil"/>
            </w:tcBorders>
            <w:shd w:val="clear" w:color="auto" w:fill="auto"/>
            <w:noWrap/>
            <w:vAlign w:val="bottom"/>
          </w:tcPr>
          <w:p w14:paraId="4405B72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(.00686)</w:t>
            </w:r>
          </w:p>
        </w:tc>
        <w:tc>
          <w:tcPr>
            <w:tcW w:w="1260" w:type="dxa"/>
            <w:tcBorders>
              <w:top w:val="nil"/>
              <w:left w:val="nil"/>
              <w:bottom w:val="nil"/>
              <w:right w:val="nil"/>
            </w:tcBorders>
            <w:shd w:val="clear" w:color="auto" w:fill="auto"/>
            <w:noWrap/>
            <w:vAlign w:val="bottom"/>
          </w:tcPr>
          <w:p w14:paraId="2A50452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(.00443)</w:t>
            </w:r>
          </w:p>
        </w:tc>
      </w:tr>
      <w:tr w:rsidR="00890FA4" w:rsidRPr="00B672D5" w14:paraId="4D1EFDCF"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3118E3E"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1310" w:type="dxa"/>
            <w:tcBorders>
              <w:top w:val="nil"/>
              <w:left w:val="nil"/>
              <w:bottom w:val="nil"/>
              <w:right w:val="nil"/>
            </w:tcBorders>
            <w:shd w:val="clear" w:color="auto" w:fill="auto"/>
            <w:noWrap/>
            <w:vAlign w:val="bottom"/>
          </w:tcPr>
          <w:p w14:paraId="238A8DE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-.0356***</w:t>
            </w:r>
          </w:p>
        </w:tc>
        <w:tc>
          <w:tcPr>
            <w:tcW w:w="1260" w:type="dxa"/>
            <w:tcBorders>
              <w:top w:val="nil"/>
              <w:left w:val="nil"/>
              <w:bottom w:val="nil"/>
              <w:right w:val="nil"/>
            </w:tcBorders>
            <w:shd w:val="clear" w:color="auto" w:fill="auto"/>
            <w:noWrap/>
            <w:vAlign w:val="bottom"/>
          </w:tcPr>
          <w:p w14:paraId="1573C02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-.0069</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149F3FB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-.00324***</w:t>
            </w:r>
          </w:p>
        </w:tc>
        <w:tc>
          <w:tcPr>
            <w:tcW w:w="1260" w:type="dxa"/>
            <w:tcBorders>
              <w:top w:val="nil"/>
              <w:left w:val="nil"/>
              <w:bottom w:val="nil"/>
              <w:right w:val="nil"/>
            </w:tcBorders>
            <w:shd w:val="clear" w:color="auto" w:fill="auto"/>
            <w:noWrap/>
            <w:vAlign w:val="bottom"/>
          </w:tcPr>
          <w:p w14:paraId="3C5CBF2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-.00168***</w:t>
            </w:r>
          </w:p>
        </w:tc>
      </w:tr>
      <w:tr w:rsidR="00890FA4" w:rsidRPr="00B672D5" w14:paraId="73B6D569"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38FBCD95"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2F0AAFB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(.00299)</w:t>
            </w:r>
          </w:p>
        </w:tc>
        <w:tc>
          <w:tcPr>
            <w:tcW w:w="1260" w:type="dxa"/>
            <w:tcBorders>
              <w:top w:val="nil"/>
              <w:left w:val="nil"/>
              <w:bottom w:val="nil"/>
              <w:right w:val="nil"/>
            </w:tcBorders>
            <w:shd w:val="clear" w:color="auto" w:fill="auto"/>
            <w:noWrap/>
            <w:vAlign w:val="bottom"/>
          </w:tcPr>
          <w:p w14:paraId="48049AA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(.000469)</w:t>
            </w:r>
          </w:p>
        </w:tc>
        <w:tc>
          <w:tcPr>
            <w:tcW w:w="1260" w:type="dxa"/>
            <w:tcBorders>
              <w:top w:val="nil"/>
              <w:left w:val="nil"/>
              <w:bottom w:val="nil"/>
              <w:right w:val="nil"/>
            </w:tcBorders>
            <w:shd w:val="clear" w:color="auto" w:fill="auto"/>
            <w:noWrap/>
            <w:vAlign w:val="bottom"/>
          </w:tcPr>
          <w:p w14:paraId="73AD22C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(.00018</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41CE62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(.0000903)</w:t>
            </w:r>
          </w:p>
        </w:tc>
      </w:tr>
      <w:tr w:rsidR="00890FA4" w:rsidRPr="00B672D5" w14:paraId="71D87035"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48261C8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1310" w:type="dxa"/>
            <w:tcBorders>
              <w:top w:val="nil"/>
              <w:left w:val="nil"/>
              <w:bottom w:val="nil"/>
              <w:right w:val="nil"/>
            </w:tcBorders>
            <w:shd w:val="clear" w:color="auto" w:fill="auto"/>
            <w:noWrap/>
            <w:vAlign w:val="bottom"/>
          </w:tcPr>
          <w:p w14:paraId="7921126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-.92</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04CCBFF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-1.052***</w:t>
            </w:r>
          </w:p>
        </w:tc>
        <w:tc>
          <w:tcPr>
            <w:tcW w:w="1260" w:type="dxa"/>
            <w:tcBorders>
              <w:top w:val="nil"/>
              <w:left w:val="nil"/>
              <w:bottom w:val="nil"/>
              <w:right w:val="nil"/>
            </w:tcBorders>
            <w:shd w:val="clear" w:color="auto" w:fill="auto"/>
            <w:noWrap/>
            <w:vAlign w:val="bottom"/>
          </w:tcPr>
          <w:p w14:paraId="3DECE44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-.761***</w:t>
            </w:r>
          </w:p>
        </w:tc>
        <w:tc>
          <w:tcPr>
            <w:tcW w:w="1260" w:type="dxa"/>
            <w:tcBorders>
              <w:top w:val="nil"/>
              <w:left w:val="nil"/>
              <w:bottom w:val="nil"/>
              <w:right w:val="nil"/>
            </w:tcBorders>
            <w:shd w:val="clear" w:color="auto" w:fill="auto"/>
            <w:noWrap/>
            <w:vAlign w:val="bottom"/>
          </w:tcPr>
          <w:p w14:paraId="43FD920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-.636***</w:t>
            </w:r>
          </w:p>
        </w:tc>
      </w:tr>
      <w:tr w:rsidR="00890FA4" w:rsidRPr="00B672D5" w14:paraId="706E8930"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75594A5"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49344D4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(.52</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7685F76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(.286)</w:t>
            </w:r>
          </w:p>
        </w:tc>
        <w:tc>
          <w:tcPr>
            <w:tcW w:w="1260" w:type="dxa"/>
            <w:tcBorders>
              <w:top w:val="nil"/>
              <w:left w:val="nil"/>
              <w:bottom w:val="nil"/>
              <w:right w:val="nil"/>
            </w:tcBorders>
            <w:shd w:val="clear" w:color="auto" w:fill="auto"/>
            <w:noWrap/>
            <w:vAlign w:val="bottom"/>
          </w:tcPr>
          <w:p w14:paraId="0C72383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(.23</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14E3563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(.205)</w:t>
            </w:r>
          </w:p>
        </w:tc>
      </w:tr>
      <w:tr w:rsidR="00890FA4" w:rsidRPr="00B672D5" w14:paraId="0AC9FB4E"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5B91EC2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1310" w:type="dxa"/>
            <w:tcBorders>
              <w:top w:val="nil"/>
              <w:left w:val="nil"/>
              <w:bottom w:val="nil"/>
              <w:right w:val="nil"/>
            </w:tcBorders>
            <w:shd w:val="clear" w:color="auto" w:fill="auto"/>
            <w:noWrap/>
            <w:vAlign w:val="bottom"/>
          </w:tcPr>
          <w:p w14:paraId="081D556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.657***</w:t>
            </w:r>
          </w:p>
        </w:tc>
        <w:tc>
          <w:tcPr>
            <w:tcW w:w="1260" w:type="dxa"/>
            <w:tcBorders>
              <w:top w:val="nil"/>
              <w:left w:val="nil"/>
              <w:bottom w:val="nil"/>
              <w:right w:val="nil"/>
            </w:tcBorders>
            <w:shd w:val="clear" w:color="auto" w:fill="auto"/>
            <w:noWrap/>
            <w:vAlign w:val="bottom"/>
          </w:tcPr>
          <w:p w14:paraId="68633ED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.595***</w:t>
            </w:r>
          </w:p>
        </w:tc>
        <w:tc>
          <w:tcPr>
            <w:tcW w:w="1260" w:type="dxa"/>
            <w:tcBorders>
              <w:top w:val="nil"/>
              <w:left w:val="nil"/>
              <w:bottom w:val="nil"/>
              <w:right w:val="nil"/>
            </w:tcBorders>
            <w:shd w:val="clear" w:color="auto" w:fill="auto"/>
            <w:noWrap/>
            <w:vAlign w:val="bottom"/>
          </w:tcPr>
          <w:p w14:paraId="426DBA4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.562***</w:t>
            </w:r>
          </w:p>
        </w:tc>
        <w:tc>
          <w:tcPr>
            <w:tcW w:w="1260" w:type="dxa"/>
            <w:tcBorders>
              <w:top w:val="nil"/>
              <w:left w:val="nil"/>
              <w:bottom w:val="nil"/>
              <w:right w:val="nil"/>
            </w:tcBorders>
            <w:shd w:val="clear" w:color="auto" w:fill="auto"/>
            <w:noWrap/>
            <w:vAlign w:val="bottom"/>
          </w:tcPr>
          <w:p w14:paraId="06912F2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.553***</w:t>
            </w:r>
          </w:p>
        </w:tc>
      </w:tr>
      <w:tr w:rsidR="00890FA4" w:rsidRPr="00B672D5" w14:paraId="523EABF7"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01BA8B8C"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6C8833C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(.0423)</w:t>
            </w:r>
          </w:p>
        </w:tc>
        <w:tc>
          <w:tcPr>
            <w:tcW w:w="1260" w:type="dxa"/>
            <w:tcBorders>
              <w:top w:val="nil"/>
              <w:left w:val="nil"/>
              <w:bottom w:val="nil"/>
              <w:right w:val="nil"/>
            </w:tcBorders>
            <w:shd w:val="clear" w:color="auto" w:fill="auto"/>
            <w:noWrap/>
            <w:vAlign w:val="bottom"/>
          </w:tcPr>
          <w:p w14:paraId="403742C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(.0339)</w:t>
            </w:r>
          </w:p>
        </w:tc>
        <w:tc>
          <w:tcPr>
            <w:tcW w:w="1260" w:type="dxa"/>
            <w:tcBorders>
              <w:top w:val="nil"/>
              <w:left w:val="nil"/>
              <w:bottom w:val="nil"/>
              <w:right w:val="nil"/>
            </w:tcBorders>
            <w:shd w:val="clear" w:color="auto" w:fill="auto"/>
            <w:noWrap/>
            <w:vAlign w:val="bottom"/>
          </w:tcPr>
          <w:p w14:paraId="230A4D1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(.0306)</w:t>
            </w:r>
          </w:p>
        </w:tc>
        <w:tc>
          <w:tcPr>
            <w:tcW w:w="1260" w:type="dxa"/>
            <w:tcBorders>
              <w:top w:val="nil"/>
              <w:left w:val="nil"/>
              <w:bottom w:val="nil"/>
              <w:right w:val="nil"/>
            </w:tcBorders>
            <w:shd w:val="clear" w:color="auto" w:fill="auto"/>
            <w:noWrap/>
            <w:vAlign w:val="bottom"/>
          </w:tcPr>
          <w:p w14:paraId="5D3B97E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(.0298)</w:t>
            </w:r>
          </w:p>
        </w:tc>
      </w:tr>
      <w:tr w:rsidR="00890FA4" w:rsidRPr="00B672D5" w14:paraId="039AE560"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49580E0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310" w:type="dxa"/>
            <w:tcBorders>
              <w:top w:val="nil"/>
              <w:left w:val="nil"/>
              <w:bottom w:val="nil"/>
              <w:right w:val="nil"/>
            </w:tcBorders>
            <w:shd w:val="clear" w:color="auto" w:fill="auto"/>
            <w:noWrap/>
            <w:vAlign w:val="bottom"/>
          </w:tcPr>
          <w:p w14:paraId="521F009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.227**</w:t>
            </w:r>
          </w:p>
        </w:tc>
        <w:tc>
          <w:tcPr>
            <w:tcW w:w="1260" w:type="dxa"/>
            <w:tcBorders>
              <w:top w:val="nil"/>
              <w:left w:val="nil"/>
              <w:bottom w:val="nil"/>
              <w:right w:val="nil"/>
            </w:tcBorders>
            <w:shd w:val="clear" w:color="auto" w:fill="auto"/>
            <w:noWrap/>
            <w:vAlign w:val="bottom"/>
          </w:tcPr>
          <w:p w14:paraId="0A66060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.135**</w:t>
            </w:r>
          </w:p>
        </w:tc>
        <w:tc>
          <w:tcPr>
            <w:tcW w:w="1260" w:type="dxa"/>
            <w:tcBorders>
              <w:top w:val="nil"/>
              <w:left w:val="nil"/>
              <w:bottom w:val="nil"/>
              <w:right w:val="nil"/>
            </w:tcBorders>
            <w:shd w:val="clear" w:color="auto" w:fill="auto"/>
            <w:noWrap/>
            <w:vAlign w:val="bottom"/>
          </w:tcPr>
          <w:p w14:paraId="070239B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.105**</w:t>
            </w:r>
          </w:p>
        </w:tc>
        <w:tc>
          <w:tcPr>
            <w:tcW w:w="1260" w:type="dxa"/>
            <w:tcBorders>
              <w:top w:val="nil"/>
              <w:left w:val="nil"/>
              <w:bottom w:val="nil"/>
              <w:right w:val="nil"/>
            </w:tcBorders>
            <w:shd w:val="clear" w:color="auto" w:fill="auto"/>
            <w:noWrap/>
            <w:vAlign w:val="bottom"/>
          </w:tcPr>
          <w:p w14:paraId="7B6C44D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.0823*</w:t>
            </w:r>
          </w:p>
        </w:tc>
      </w:tr>
      <w:tr w:rsidR="00890FA4" w:rsidRPr="00B672D5" w14:paraId="3A735C7F"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685E369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0160365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(.097</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63115D0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(.06</w:t>
            </w:r>
            <w:r>
              <w:rPr>
                <w:rFonts w:ascii="Calibri" w:eastAsia="Times New Roman" w:hAnsi="Calibri" w:cs="Calibri"/>
                <w:sz w:val="20"/>
                <w:szCs w:val="20"/>
              </w:rPr>
              <w:t>00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2C2AC2F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(.0503)</w:t>
            </w:r>
          </w:p>
        </w:tc>
        <w:tc>
          <w:tcPr>
            <w:tcW w:w="1260" w:type="dxa"/>
            <w:tcBorders>
              <w:top w:val="nil"/>
              <w:left w:val="nil"/>
              <w:bottom w:val="nil"/>
              <w:right w:val="nil"/>
            </w:tcBorders>
            <w:shd w:val="clear" w:color="auto" w:fill="auto"/>
            <w:noWrap/>
            <w:vAlign w:val="bottom"/>
          </w:tcPr>
          <w:p w14:paraId="7F855DF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w:t>
            </w:r>
            <w:r>
              <w:rPr>
                <w:rFonts w:ascii="Calibri" w:eastAsia="Times New Roman" w:hAnsi="Calibri" w:cs="Calibri"/>
                <w:sz w:val="20"/>
                <w:szCs w:val="20"/>
              </w:rPr>
              <w:t>0</w:t>
            </w:r>
            <w:r w:rsidRPr="00533AA5">
              <w:rPr>
                <w:rFonts w:ascii="Calibri" w:eastAsia="Times New Roman" w:hAnsi="Calibri" w:cs="Calibri"/>
                <w:sz w:val="20"/>
                <w:szCs w:val="20"/>
              </w:rPr>
              <w:t>)</w:t>
            </w:r>
          </w:p>
        </w:tc>
      </w:tr>
      <w:tr w:rsidR="00890FA4" w:rsidRPr="00B672D5" w14:paraId="120346D7"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76B046C8"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lastRenderedPageBreak/>
              <w:t>Unemployment</w:t>
            </w:r>
          </w:p>
        </w:tc>
        <w:tc>
          <w:tcPr>
            <w:tcW w:w="1310" w:type="dxa"/>
            <w:tcBorders>
              <w:top w:val="nil"/>
              <w:left w:val="nil"/>
              <w:bottom w:val="nil"/>
              <w:right w:val="nil"/>
            </w:tcBorders>
            <w:shd w:val="clear" w:color="auto" w:fill="auto"/>
            <w:noWrap/>
            <w:vAlign w:val="bottom"/>
          </w:tcPr>
          <w:p w14:paraId="63984DE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-.00819</w:t>
            </w:r>
          </w:p>
        </w:tc>
        <w:tc>
          <w:tcPr>
            <w:tcW w:w="1260" w:type="dxa"/>
            <w:tcBorders>
              <w:top w:val="nil"/>
              <w:left w:val="nil"/>
              <w:bottom w:val="nil"/>
              <w:right w:val="nil"/>
            </w:tcBorders>
            <w:shd w:val="clear" w:color="auto" w:fill="auto"/>
            <w:noWrap/>
            <w:vAlign w:val="bottom"/>
          </w:tcPr>
          <w:p w14:paraId="64F1A2C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.000382</w:t>
            </w:r>
          </w:p>
        </w:tc>
        <w:tc>
          <w:tcPr>
            <w:tcW w:w="1260" w:type="dxa"/>
            <w:tcBorders>
              <w:top w:val="nil"/>
              <w:left w:val="nil"/>
              <w:bottom w:val="nil"/>
              <w:right w:val="nil"/>
            </w:tcBorders>
            <w:shd w:val="clear" w:color="auto" w:fill="auto"/>
            <w:noWrap/>
            <w:vAlign w:val="bottom"/>
          </w:tcPr>
          <w:p w14:paraId="24FFBDC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.0214***</w:t>
            </w:r>
          </w:p>
        </w:tc>
        <w:tc>
          <w:tcPr>
            <w:tcW w:w="1260" w:type="dxa"/>
            <w:tcBorders>
              <w:top w:val="nil"/>
              <w:left w:val="nil"/>
              <w:bottom w:val="nil"/>
              <w:right w:val="nil"/>
            </w:tcBorders>
            <w:shd w:val="clear" w:color="auto" w:fill="auto"/>
            <w:noWrap/>
            <w:vAlign w:val="bottom"/>
          </w:tcPr>
          <w:p w14:paraId="021F9E2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.0373***</w:t>
            </w:r>
          </w:p>
        </w:tc>
      </w:tr>
      <w:tr w:rsidR="00890FA4" w:rsidRPr="00B672D5" w14:paraId="73376741"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22C1659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70627D1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(.0167)</w:t>
            </w:r>
          </w:p>
        </w:tc>
        <w:tc>
          <w:tcPr>
            <w:tcW w:w="1260" w:type="dxa"/>
            <w:tcBorders>
              <w:top w:val="nil"/>
              <w:left w:val="nil"/>
              <w:bottom w:val="nil"/>
              <w:right w:val="nil"/>
            </w:tcBorders>
            <w:shd w:val="clear" w:color="auto" w:fill="auto"/>
            <w:noWrap/>
            <w:vAlign w:val="bottom"/>
          </w:tcPr>
          <w:p w14:paraId="0D668AA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(.00939)</w:t>
            </w:r>
          </w:p>
        </w:tc>
        <w:tc>
          <w:tcPr>
            <w:tcW w:w="1260" w:type="dxa"/>
            <w:tcBorders>
              <w:top w:val="nil"/>
              <w:left w:val="nil"/>
              <w:bottom w:val="nil"/>
              <w:right w:val="nil"/>
            </w:tcBorders>
            <w:shd w:val="clear" w:color="auto" w:fill="auto"/>
            <w:noWrap/>
            <w:vAlign w:val="bottom"/>
          </w:tcPr>
          <w:p w14:paraId="31E2806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(.00711)</w:t>
            </w:r>
          </w:p>
        </w:tc>
        <w:tc>
          <w:tcPr>
            <w:tcW w:w="1260" w:type="dxa"/>
            <w:tcBorders>
              <w:top w:val="nil"/>
              <w:left w:val="nil"/>
              <w:bottom w:val="nil"/>
              <w:right w:val="nil"/>
            </w:tcBorders>
            <w:shd w:val="clear" w:color="auto" w:fill="auto"/>
            <w:noWrap/>
            <w:vAlign w:val="bottom"/>
          </w:tcPr>
          <w:p w14:paraId="59642DA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(.00602)</w:t>
            </w:r>
          </w:p>
        </w:tc>
      </w:tr>
      <w:tr w:rsidR="00890FA4" w:rsidRPr="00B672D5" w14:paraId="7E221488"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2F812CC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HPI</w:t>
            </w:r>
          </w:p>
        </w:tc>
        <w:tc>
          <w:tcPr>
            <w:tcW w:w="1310" w:type="dxa"/>
            <w:tcBorders>
              <w:top w:val="nil"/>
              <w:left w:val="nil"/>
              <w:bottom w:val="nil"/>
              <w:right w:val="nil"/>
            </w:tcBorders>
            <w:shd w:val="clear" w:color="auto" w:fill="auto"/>
            <w:noWrap/>
            <w:vAlign w:val="bottom"/>
          </w:tcPr>
          <w:p w14:paraId="09A004B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-.0241**</w:t>
            </w:r>
          </w:p>
        </w:tc>
        <w:tc>
          <w:tcPr>
            <w:tcW w:w="1260" w:type="dxa"/>
            <w:tcBorders>
              <w:top w:val="nil"/>
              <w:left w:val="nil"/>
              <w:bottom w:val="nil"/>
              <w:right w:val="nil"/>
            </w:tcBorders>
            <w:shd w:val="clear" w:color="auto" w:fill="auto"/>
            <w:noWrap/>
            <w:vAlign w:val="bottom"/>
          </w:tcPr>
          <w:p w14:paraId="5AE2D22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-.00726*</w:t>
            </w:r>
          </w:p>
        </w:tc>
        <w:tc>
          <w:tcPr>
            <w:tcW w:w="1260" w:type="dxa"/>
            <w:tcBorders>
              <w:top w:val="nil"/>
              <w:left w:val="nil"/>
              <w:bottom w:val="nil"/>
              <w:right w:val="nil"/>
            </w:tcBorders>
            <w:shd w:val="clear" w:color="auto" w:fill="auto"/>
            <w:noWrap/>
            <w:vAlign w:val="bottom"/>
          </w:tcPr>
          <w:p w14:paraId="4AA5EA6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-.0112***</w:t>
            </w:r>
          </w:p>
        </w:tc>
        <w:tc>
          <w:tcPr>
            <w:tcW w:w="1260" w:type="dxa"/>
            <w:tcBorders>
              <w:top w:val="nil"/>
              <w:left w:val="nil"/>
              <w:bottom w:val="nil"/>
              <w:right w:val="nil"/>
            </w:tcBorders>
            <w:shd w:val="clear" w:color="auto" w:fill="auto"/>
            <w:noWrap/>
            <w:vAlign w:val="bottom"/>
          </w:tcPr>
          <w:p w14:paraId="5A1F4EE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-.0105***</w:t>
            </w:r>
          </w:p>
        </w:tc>
      </w:tr>
      <w:tr w:rsidR="00890FA4" w:rsidRPr="00B672D5" w14:paraId="525F4150"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7C7A9CD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06DFD2A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(.0116)</w:t>
            </w:r>
          </w:p>
        </w:tc>
        <w:tc>
          <w:tcPr>
            <w:tcW w:w="1260" w:type="dxa"/>
            <w:tcBorders>
              <w:top w:val="nil"/>
              <w:left w:val="nil"/>
              <w:bottom w:val="nil"/>
              <w:right w:val="nil"/>
            </w:tcBorders>
            <w:shd w:val="clear" w:color="auto" w:fill="auto"/>
            <w:noWrap/>
            <w:vAlign w:val="bottom"/>
          </w:tcPr>
          <w:p w14:paraId="53A01AF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(.00403)</w:t>
            </w:r>
          </w:p>
        </w:tc>
        <w:tc>
          <w:tcPr>
            <w:tcW w:w="1260" w:type="dxa"/>
            <w:tcBorders>
              <w:top w:val="nil"/>
              <w:left w:val="nil"/>
              <w:bottom w:val="nil"/>
              <w:right w:val="nil"/>
            </w:tcBorders>
            <w:shd w:val="clear" w:color="auto" w:fill="auto"/>
            <w:noWrap/>
            <w:vAlign w:val="bottom"/>
          </w:tcPr>
          <w:p w14:paraId="4037639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(.00254)</w:t>
            </w:r>
          </w:p>
        </w:tc>
        <w:tc>
          <w:tcPr>
            <w:tcW w:w="1260" w:type="dxa"/>
            <w:tcBorders>
              <w:top w:val="nil"/>
              <w:left w:val="nil"/>
              <w:bottom w:val="nil"/>
              <w:right w:val="nil"/>
            </w:tcBorders>
            <w:shd w:val="clear" w:color="auto" w:fill="auto"/>
            <w:noWrap/>
            <w:vAlign w:val="bottom"/>
          </w:tcPr>
          <w:p w14:paraId="27F3E32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(.00196)</w:t>
            </w:r>
          </w:p>
        </w:tc>
      </w:tr>
      <w:tr w:rsidR="00890FA4" w:rsidRPr="00B672D5" w14:paraId="3C9CAB57"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2B597F98"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1310" w:type="dxa"/>
            <w:tcBorders>
              <w:top w:val="nil"/>
              <w:left w:val="nil"/>
              <w:bottom w:val="nil"/>
              <w:right w:val="nil"/>
            </w:tcBorders>
            <w:shd w:val="clear" w:color="auto" w:fill="auto"/>
            <w:noWrap/>
            <w:vAlign w:val="bottom"/>
          </w:tcPr>
          <w:p w14:paraId="2380A26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-.0386</w:t>
            </w:r>
          </w:p>
        </w:tc>
        <w:tc>
          <w:tcPr>
            <w:tcW w:w="1260" w:type="dxa"/>
            <w:tcBorders>
              <w:top w:val="nil"/>
              <w:left w:val="nil"/>
              <w:bottom w:val="nil"/>
              <w:right w:val="nil"/>
            </w:tcBorders>
            <w:shd w:val="clear" w:color="auto" w:fill="auto"/>
            <w:noWrap/>
            <w:vAlign w:val="bottom"/>
          </w:tcPr>
          <w:p w14:paraId="18E39F3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-.178***</w:t>
            </w:r>
          </w:p>
        </w:tc>
        <w:tc>
          <w:tcPr>
            <w:tcW w:w="1260" w:type="dxa"/>
            <w:tcBorders>
              <w:top w:val="nil"/>
              <w:left w:val="nil"/>
              <w:bottom w:val="nil"/>
              <w:right w:val="nil"/>
            </w:tcBorders>
            <w:shd w:val="clear" w:color="auto" w:fill="auto"/>
            <w:noWrap/>
            <w:vAlign w:val="bottom"/>
          </w:tcPr>
          <w:p w14:paraId="6F5ED6B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-.164***</w:t>
            </w:r>
          </w:p>
        </w:tc>
        <w:tc>
          <w:tcPr>
            <w:tcW w:w="1260" w:type="dxa"/>
            <w:tcBorders>
              <w:top w:val="nil"/>
              <w:left w:val="nil"/>
              <w:bottom w:val="nil"/>
              <w:right w:val="nil"/>
            </w:tcBorders>
            <w:shd w:val="clear" w:color="auto" w:fill="auto"/>
            <w:noWrap/>
            <w:vAlign w:val="bottom"/>
          </w:tcPr>
          <w:p w14:paraId="24611CD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-.179***</w:t>
            </w:r>
          </w:p>
        </w:tc>
      </w:tr>
      <w:tr w:rsidR="00890FA4" w:rsidRPr="00B672D5" w14:paraId="027B9664"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616601C5" w14:textId="77777777" w:rsidR="00890FA4" w:rsidRPr="00B672D5" w:rsidRDefault="00890FA4" w:rsidP="00931F65">
            <w:pPr>
              <w:spacing w:after="0" w:line="240" w:lineRule="auto"/>
              <w:rPr>
                <w:rFonts w:ascii="Calibri" w:eastAsia="Times New Roman" w:hAnsi="Calibri" w:cs="Calibri"/>
                <w:sz w:val="20"/>
                <w:szCs w:val="20"/>
              </w:rPr>
            </w:pPr>
            <w:r w:rsidRPr="00B672D5">
              <w:rPr>
                <w:rFonts w:ascii="Calibri" w:eastAsia="Times New Roman" w:hAnsi="Calibri" w:cs="Calibri"/>
                <w:sz w:val="20"/>
                <w:szCs w:val="20"/>
              </w:rPr>
              <w:t> </w:t>
            </w:r>
          </w:p>
        </w:tc>
        <w:tc>
          <w:tcPr>
            <w:tcW w:w="1310" w:type="dxa"/>
            <w:tcBorders>
              <w:top w:val="nil"/>
              <w:left w:val="nil"/>
              <w:bottom w:val="nil"/>
              <w:right w:val="nil"/>
            </w:tcBorders>
            <w:shd w:val="clear" w:color="auto" w:fill="auto"/>
            <w:noWrap/>
            <w:vAlign w:val="bottom"/>
          </w:tcPr>
          <w:p w14:paraId="215EC24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(.0763)</w:t>
            </w:r>
          </w:p>
        </w:tc>
        <w:tc>
          <w:tcPr>
            <w:tcW w:w="1260" w:type="dxa"/>
            <w:tcBorders>
              <w:top w:val="nil"/>
              <w:left w:val="nil"/>
              <w:bottom w:val="nil"/>
              <w:right w:val="nil"/>
            </w:tcBorders>
            <w:shd w:val="clear" w:color="auto" w:fill="auto"/>
            <w:noWrap/>
            <w:vAlign w:val="bottom"/>
          </w:tcPr>
          <w:p w14:paraId="4B4EE95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(.0482)</w:t>
            </w:r>
          </w:p>
        </w:tc>
        <w:tc>
          <w:tcPr>
            <w:tcW w:w="1260" w:type="dxa"/>
            <w:tcBorders>
              <w:top w:val="nil"/>
              <w:left w:val="nil"/>
              <w:bottom w:val="nil"/>
              <w:right w:val="nil"/>
            </w:tcBorders>
            <w:shd w:val="clear" w:color="auto" w:fill="auto"/>
            <w:noWrap/>
            <w:vAlign w:val="bottom"/>
          </w:tcPr>
          <w:p w14:paraId="2D5B860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(.0393)</w:t>
            </w:r>
          </w:p>
        </w:tc>
        <w:tc>
          <w:tcPr>
            <w:tcW w:w="1260" w:type="dxa"/>
            <w:tcBorders>
              <w:top w:val="nil"/>
              <w:left w:val="nil"/>
              <w:bottom w:val="nil"/>
              <w:right w:val="nil"/>
            </w:tcBorders>
            <w:shd w:val="clear" w:color="auto" w:fill="auto"/>
            <w:noWrap/>
            <w:vAlign w:val="bottom"/>
          </w:tcPr>
          <w:p w14:paraId="2B30997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(.0352)</w:t>
            </w:r>
          </w:p>
        </w:tc>
      </w:tr>
      <w:tr w:rsidR="00890FA4" w:rsidRPr="00B672D5" w14:paraId="0DA080F2" w14:textId="77777777" w:rsidTr="00890FA4">
        <w:trPr>
          <w:trHeight w:val="255"/>
          <w:jc w:val="center"/>
        </w:trPr>
        <w:tc>
          <w:tcPr>
            <w:tcW w:w="1660" w:type="dxa"/>
            <w:tcBorders>
              <w:top w:val="single" w:sz="4" w:space="0" w:color="auto"/>
              <w:left w:val="nil"/>
              <w:bottom w:val="nil"/>
              <w:right w:val="nil"/>
            </w:tcBorders>
            <w:shd w:val="clear" w:color="auto" w:fill="auto"/>
            <w:noWrap/>
            <w:vAlign w:val="bottom"/>
            <w:hideMark/>
          </w:tcPr>
          <w:p w14:paraId="5A4523FD" w14:textId="77777777" w:rsidR="00890FA4" w:rsidRPr="00B672D5" w:rsidRDefault="00890FA4" w:rsidP="00931F65">
            <w:pPr>
              <w:spacing w:after="0" w:line="240" w:lineRule="auto"/>
              <w:rPr>
                <w:rFonts w:ascii="Calibri" w:eastAsia="Times New Roman" w:hAnsi="Calibri" w:cs="Calibri"/>
                <w:sz w:val="20"/>
                <w:szCs w:val="20"/>
              </w:rPr>
            </w:pPr>
            <w:r w:rsidRPr="00B672D5">
              <w:rPr>
                <w:rFonts w:ascii="Calibri" w:eastAsia="Times New Roman" w:hAnsi="Calibri" w:cs="Calibri"/>
                <w:sz w:val="20"/>
                <w:szCs w:val="20"/>
              </w:rPr>
              <w:t> </w:t>
            </w:r>
          </w:p>
        </w:tc>
        <w:tc>
          <w:tcPr>
            <w:tcW w:w="5090" w:type="dxa"/>
            <w:gridSpan w:val="4"/>
            <w:tcBorders>
              <w:top w:val="single" w:sz="4" w:space="0" w:color="auto"/>
              <w:left w:val="nil"/>
              <w:bottom w:val="nil"/>
              <w:right w:val="nil"/>
            </w:tcBorders>
            <w:shd w:val="clear" w:color="auto" w:fill="auto"/>
            <w:noWrap/>
            <w:vAlign w:val="bottom"/>
            <w:hideMark/>
          </w:tcPr>
          <w:p w14:paraId="29827A74"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 xml:space="preserve">Probability of </w:t>
            </w:r>
            <w:r>
              <w:rPr>
                <w:rFonts w:ascii="Calibri" w:eastAsia="Times New Roman" w:hAnsi="Calibri" w:cs="Calibri"/>
                <w:sz w:val="20"/>
                <w:szCs w:val="20"/>
              </w:rPr>
              <w:t>p</w:t>
            </w:r>
            <w:r w:rsidRPr="00B672D5">
              <w:rPr>
                <w:rFonts w:ascii="Calibri" w:eastAsia="Times New Roman" w:hAnsi="Calibri" w:cs="Calibri"/>
                <w:sz w:val="20"/>
                <w:szCs w:val="20"/>
              </w:rPr>
              <w:t>repayment</w:t>
            </w:r>
          </w:p>
        </w:tc>
      </w:tr>
      <w:tr w:rsidR="00890FA4" w:rsidRPr="00B672D5" w14:paraId="6FB60EA9" w14:textId="77777777" w:rsidTr="00890FA4">
        <w:trPr>
          <w:trHeight w:val="255"/>
          <w:jc w:val="center"/>
        </w:trPr>
        <w:tc>
          <w:tcPr>
            <w:tcW w:w="1660" w:type="dxa"/>
            <w:tcBorders>
              <w:top w:val="nil"/>
              <w:left w:val="nil"/>
              <w:right w:val="nil"/>
            </w:tcBorders>
            <w:shd w:val="clear" w:color="auto" w:fill="auto"/>
            <w:noWrap/>
            <w:vAlign w:val="bottom"/>
            <w:hideMark/>
          </w:tcPr>
          <w:p w14:paraId="617F7E5B" w14:textId="77777777" w:rsidR="00890FA4" w:rsidRPr="00B672D5" w:rsidRDefault="00890FA4" w:rsidP="00931F65">
            <w:pPr>
              <w:spacing w:after="0" w:line="240" w:lineRule="auto"/>
              <w:jc w:val="center"/>
              <w:rPr>
                <w:rFonts w:ascii="Calibri" w:eastAsia="Times New Roman" w:hAnsi="Calibri" w:cs="Calibri"/>
                <w:sz w:val="18"/>
                <w:szCs w:val="18"/>
              </w:rPr>
            </w:pPr>
            <w:r w:rsidRPr="00B672D5">
              <w:rPr>
                <w:rFonts w:ascii="Calibri" w:eastAsia="Times New Roman" w:hAnsi="Calibri" w:cs="Calibri"/>
                <w:sz w:val="18"/>
                <w:szCs w:val="18"/>
              </w:rPr>
              <w:t> </w:t>
            </w:r>
          </w:p>
        </w:tc>
        <w:tc>
          <w:tcPr>
            <w:tcW w:w="1310" w:type="dxa"/>
            <w:tcBorders>
              <w:top w:val="nil"/>
              <w:left w:val="nil"/>
              <w:right w:val="nil"/>
            </w:tcBorders>
            <w:shd w:val="clear" w:color="auto" w:fill="auto"/>
            <w:noWrap/>
            <w:vAlign w:val="bottom"/>
            <w:hideMark/>
          </w:tcPr>
          <w:p w14:paraId="731F5CF8"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One year</w:t>
            </w:r>
          </w:p>
        </w:tc>
        <w:tc>
          <w:tcPr>
            <w:tcW w:w="1260" w:type="dxa"/>
            <w:tcBorders>
              <w:top w:val="nil"/>
              <w:left w:val="nil"/>
              <w:right w:val="nil"/>
            </w:tcBorders>
            <w:shd w:val="clear" w:color="auto" w:fill="auto"/>
            <w:noWrap/>
            <w:vAlign w:val="bottom"/>
            <w:hideMark/>
          </w:tcPr>
          <w:p w14:paraId="153E9639"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Two years</w:t>
            </w:r>
          </w:p>
        </w:tc>
        <w:tc>
          <w:tcPr>
            <w:tcW w:w="1260" w:type="dxa"/>
            <w:tcBorders>
              <w:top w:val="nil"/>
              <w:left w:val="nil"/>
              <w:right w:val="nil"/>
            </w:tcBorders>
            <w:shd w:val="clear" w:color="auto" w:fill="auto"/>
            <w:noWrap/>
            <w:vAlign w:val="bottom"/>
            <w:hideMark/>
          </w:tcPr>
          <w:p w14:paraId="1D15D390"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Three years</w:t>
            </w:r>
          </w:p>
        </w:tc>
        <w:tc>
          <w:tcPr>
            <w:tcW w:w="1260" w:type="dxa"/>
            <w:tcBorders>
              <w:top w:val="nil"/>
              <w:left w:val="nil"/>
              <w:right w:val="nil"/>
            </w:tcBorders>
            <w:shd w:val="clear" w:color="auto" w:fill="auto"/>
            <w:noWrap/>
            <w:vAlign w:val="bottom"/>
            <w:hideMark/>
          </w:tcPr>
          <w:p w14:paraId="69620065"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Four years</w:t>
            </w:r>
          </w:p>
        </w:tc>
      </w:tr>
      <w:tr w:rsidR="00890FA4" w:rsidRPr="00B672D5" w14:paraId="5E0CD6E7" w14:textId="77777777" w:rsidTr="00890FA4">
        <w:trPr>
          <w:trHeight w:val="255"/>
          <w:jc w:val="center"/>
        </w:trPr>
        <w:tc>
          <w:tcPr>
            <w:tcW w:w="1660" w:type="dxa"/>
            <w:tcBorders>
              <w:top w:val="nil"/>
              <w:left w:val="nil"/>
              <w:bottom w:val="single" w:sz="4" w:space="0" w:color="auto"/>
              <w:right w:val="nil"/>
            </w:tcBorders>
            <w:shd w:val="clear" w:color="auto" w:fill="auto"/>
            <w:noWrap/>
            <w:vAlign w:val="bottom"/>
            <w:hideMark/>
          </w:tcPr>
          <w:p w14:paraId="365D5FC8"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 </w:t>
            </w:r>
          </w:p>
        </w:tc>
        <w:tc>
          <w:tcPr>
            <w:tcW w:w="1310" w:type="dxa"/>
            <w:tcBorders>
              <w:top w:val="nil"/>
              <w:left w:val="nil"/>
              <w:bottom w:val="single" w:sz="4" w:space="0" w:color="auto"/>
              <w:right w:val="nil"/>
            </w:tcBorders>
            <w:shd w:val="clear" w:color="auto" w:fill="auto"/>
            <w:noWrap/>
            <w:vAlign w:val="bottom"/>
            <w:hideMark/>
          </w:tcPr>
          <w:p w14:paraId="37305532"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(1)</w:t>
            </w:r>
          </w:p>
        </w:tc>
        <w:tc>
          <w:tcPr>
            <w:tcW w:w="1260" w:type="dxa"/>
            <w:tcBorders>
              <w:top w:val="nil"/>
              <w:left w:val="nil"/>
              <w:bottom w:val="single" w:sz="4" w:space="0" w:color="auto"/>
              <w:right w:val="nil"/>
            </w:tcBorders>
            <w:shd w:val="clear" w:color="auto" w:fill="auto"/>
            <w:noWrap/>
            <w:vAlign w:val="bottom"/>
            <w:hideMark/>
          </w:tcPr>
          <w:p w14:paraId="54413B53"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(2)</w:t>
            </w:r>
          </w:p>
        </w:tc>
        <w:tc>
          <w:tcPr>
            <w:tcW w:w="1260" w:type="dxa"/>
            <w:tcBorders>
              <w:top w:val="nil"/>
              <w:left w:val="nil"/>
              <w:bottom w:val="single" w:sz="4" w:space="0" w:color="auto"/>
              <w:right w:val="nil"/>
            </w:tcBorders>
            <w:shd w:val="clear" w:color="auto" w:fill="auto"/>
            <w:noWrap/>
            <w:vAlign w:val="bottom"/>
            <w:hideMark/>
          </w:tcPr>
          <w:p w14:paraId="658DC906"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(3)</w:t>
            </w:r>
          </w:p>
        </w:tc>
        <w:tc>
          <w:tcPr>
            <w:tcW w:w="1260" w:type="dxa"/>
            <w:tcBorders>
              <w:top w:val="nil"/>
              <w:left w:val="nil"/>
              <w:bottom w:val="single" w:sz="4" w:space="0" w:color="auto"/>
              <w:right w:val="nil"/>
            </w:tcBorders>
            <w:shd w:val="clear" w:color="auto" w:fill="auto"/>
            <w:noWrap/>
            <w:vAlign w:val="bottom"/>
            <w:hideMark/>
          </w:tcPr>
          <w:p w14:paraId="0B65DE46"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w:t>
            </w:r>
            <w:r>
              <w:rPr>
                <w:rFonts w:ascii="Calibri" w:eastAsia="Times New Roman" w:hAnsi="Calibri" w:cs="Calibri"/>
                <w:sz w:val="20"/>
                <w:szCs w:val="20"/>
              </w:rPr>
              <w:t>4</w:t>
            </w:r>
            <w:r w:rsidRPr="00B672D5">
              <w:rPr>
                <w:rFonts w:ascii="Calibri" w:eastAsia="Times New Roman" w:hAnsi="Calibri" w:cs="Calibri"/>
                <w:sz w:val="20"/>
                <w:szCs w:val="20"/>
              </w:rPr>
              <w:t>)</w:t>
            </w:r>
          </w:p>
        </w:tc>
      </w:tr>
      <w:tr w:rsidR="00890FA4" w:rsidRPr="00B672D5" w14:paraId="503884E7" w14:textId="77777777" w:rsidTr="00890FA4">
        <w:trPr>
          <w:trHeight w:val="255"/>
          <w:jc w:val="center"/>
        </w:trPr>
        <w:tc>
          <w:tcPr>
            <w:tcW w:w="1660" w:type="dxa"/>
            <w:tcBorders>
              <w:top w:val="single" w:sz="4" w:space="0" w:color="auto"/>
              <w:left w:val="nil"/>
              <w:bottom w:val="nil"/>
              <w:right w:val="nil"/>
            </w:tcBorders>
            <w:shd w:val="clear" w:color="auto" w:fill="auto"/>
            <w:noWrap/>
            <w:vAlign w:val="bottom"/>
            <w:hideMark/>
          </w:tcPr>
          <w:p w14:paraId="2D9D53F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310" w:type="dxa"/>
            <w:tcBorders>
              <w:top w:val="single" w:sz="4" w:space="0" w:color="auto"/>
              <w:left w:val="nil"/>
              <w:bottom w:val="nil"/>
              <w:right w:val="nil"/>
            </w:tcBorders>
            <w:shd w:val="clear" w:color="auto" w:fill="auto"/>
            <w:noWrap/>
            <w:vAlign w:val="bottom"/>
          </w:tcPr>
          <w:p w14:paraId="07AA910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-.0379**</w:t>
            </w:r>
          </w:p>
        </w:tc>
        <w:tc>
          <w:tcPr>
            <w:tcW w:w="1260" w:type="dxa"/>
            <w:tcBorders>
              <w:top w:val="single" w:sz="4" w:space="0" w:color="auto"/>
              <w:left w:val="nil"/>
              <w:bottom w:val="nil"/>
              <w:right w:val="nil"/>
            </w:tcBorders>
            <w:shd w:val="clear" w:color="auto" w:fill="auto"/>
            <w:noWrap/>
            <w:vAlign w:val="bottom"/>
          </w:tcPr>
          <w:p w14:paraId="358AAE2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-.0262**</w:t>
            </w:r>
          </w:p>
        </w:tc>
        <w:tc>
          <w:tcPr>
            <w:tcW w:w="1260" w:type="dxa"/>
            <w:tcBorders>
              <w:top w:val="single" w:sz="4" w:space="0" w:color="auto"/>
              <w:left w:val="nil"/>
              <w:bottom w:val="nil"/>
              <w:right w:val="nil"/>
            </w:tcBorders>
            <w:shd w:val="clear" w:color="auto" w:fill="auto"/>
            <w:noWrap/>
            <w:vAlign w:val="bottom"/>
          </w:tcPr>
          <w:p w14:paraId="24471A1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.00642</w:t>
            </w:r>
          </w:p>
        </w:tc>
        <w:tc>
          <w:tcPr>
            <w:tcW w:w="1260" w:type="dxa"/>
            <w:tcBorders>
              <w:top w:val="single" w:sz="4" w:space="0" w:color="auto"/>
              <w:left w:val="nil"/>
              <w:bottom w:val="nil"/>
              <w:right w:val="nil"/>
            </w:tcBorders>
            <w:shd w:val="clear" w:color="auto" w:fill="auto"/>
            <w:noWrap/>
            <w:vAlign w:val="bottom"/>
          </w:tcPr>
          <w:p w14:paraId="56C149C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.0125</w:t>
            </w:r>
          </w:p>
        </w:tc>
      </w:tr>
      <w:tr w:rsidR="00890FA4" w:rsidRPr="00B672D5" w14:paraId="4C84A140"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234F6670"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3819AC5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(.0178)</w:t>
            </w:r>
          </w:p>
        </w:tc>
        <w:tc>
          <w:tcPr>
            <w:tcW w:w="1260" w:type="dxa"/>
            <w:tcBorders>
              <w:top w:val="nil"/>
              <w:left w:val="nil"/>
              <w:bottom w:val="nil"/>
              <w:right w:val="nil"/>
            </w:tcBorders>
            <w:shd w:val="clear" w:color="auto" w:fill="auto"/>
            <w:noWrap/>
            <w:vAlign w:val="bottom"/>
          </w:tcPr>
          <w:p w14:paraId="4BF503F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(.0114)</w:t>
            </w:r>
          </w:p>
        </w:tc>
        <w:tc>
          <w:tcPr>
            <w:tcW w:w="1260" w:type="dxa"/>
            <w:tcBorders>
              <w:top w:val="nil"/>
              <w:left w:val="nil"/>
              <w:bottom w:val="nil"/>
              <w:right w:val="nil"/>
            </w:tcBorders>
            <w:shd w:val="clear" w:color="auto" w:fill="auto"/>
            <w:noWrap/>
            <w:vAlign w:val="bottom"/>
          </w:tcPr>
          <w:p w14:paraId="11A5A7F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(.0101)</w:t>
            </w:r>
          </w:p>
        </w:tc>
        <w:tc>
          <w:tcPr>
            <w:tcW w:w="1260" w:type="dxa"/>
            <w:tcBorders>
              <w:top w:val="nil"/>
              <w:left w:val="nil"/>
              <w:bottom w:val="nil"/>
              <w:right w:val="nil"/>
            </w:tcBorders>
            <w:shd w:val="clear" w:color="auto" w:fill="auto"/>
            <w:noWrap/>
            <w:vAlign w:val="bottom"/>
          </w:tcPr>
          <w:p w14:paraId="1B2A9AE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(.00963)</w:t>
            </w:r>
          </w:p>
        </w:tc>
      </w:tr>
      <w:tr w:rsidR="00890FA4" w:rsidRPr="00B672D5" w14:paraId="7FA95EDC"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72AE33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310" w:type="dxa"/>
            <w:tcBorders>
              <w:top w:val="nil"/>
              <w:left w:val="nil"/>
              <w:bottom w:val="nil"/>
              <w:right w:val="nil"/>
            </w:tcBorders>
            <w:shd w:val="clear" w:color="auto" w:fill="auto"/>
            <w:noWrap/>
            <w:vAlign w:val="bottom"/>
          </w:tcPr>
          <w:p w14:paraId="635BECC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-.00476</w:t>
            </w:r>
          </w:p>
        </w:tc>
        <w:tc>
          <w:tcPr>
            <w:tcW w:w="1260" w:type="dxa"/>
            <w:tcBorders>
              <w:top w:val="nil"/>
              <w:left w:val="nil"/>
              <w:bottom w:val="nil"/>
              <w:right w:val="nil"/>
            </w:tcBorders>
            <w:shd w:val="clear" w:color="auto" w:fill="auto"/>
            <w:noWrap/>
            <w:vAlign w:val="bottom"/>
          </w:tcPr>
          <w:p w14:paraId="58977DC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.0228</w:t>
            </w:r>
          </w:p>
        </w:tc>
        <w:tc>
          <w:tcPr>
            <w:tcW w:w="1260" w:type="dxa"/>
            <w:tcBorders>
              <w:top w:val="nil"/>
              <w:left w:val="nil"/>
              <w:bottom w:val="nil"/>
              <w:right w:val="nil"/>
            </w:tcBorders>
            <w:shd w:val="clear" w:color="auto" w:fill="auto"/>
            <w:noWrap/>
            <w:vAlign w:val="bottom"/>
          </w:tcPr>
          <w:p w14:paraId="46C16CA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.173***</w:t>
            </w:r>
          </w:p>
        </w:tc>
        <w:tc>
          <w:tcPr>
            <w:tcW w:w="1260" w:type="dxa"/>
            <w:tcBorders>
              <w:top w:val="nil"/>
              <w:left w:val="nil"/>
              <w:bottom w:val="nil"/>
              <w:right w:val="nil"/>
            </w:tcBorders>
            <w:shd w:val="clear" w:color="auto" w:fill="auto"/>
            <w:noWrap/>
            <w:vAlign w:val="bottom"/>
          </w:tcPr>
          <w:p w14:paraId="0571F3F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.0929***</w:t>
            </w:r>
          </w:p>
        </w:tc>
      </w:tr>
      <w:tr w:rsidR="00890FA4" w:rsidRPr="00B672D5" w14:paraId="75FB128A"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FA92219"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368DDC7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(.157)</w:t>
            </w:r>
          </w:p>
        </w:tc>
        <w:tc>
          <w:tcPr>
            <w:tcW w:w="1260" w:type="dxa"/>
            <w:tcBorders>
              <w:top w:val="nil"/>
              <w:left w:val="nil"/>
              <w:bottom w:val="nil"/>
              <w:right w:val="nil"/>
            </w:tcBorders>
            <w:shd w:val="clear" w:color="auto" w:fill="auto"/>
            <w:noWrap/>
            <w:vAlign w:val="bottom"/>
          </w:tcPr>
          <w:p w14:paraId="7B4EC03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(.0863)</w:t>
            </w:r>
          </w:p>
        </w:tc>
        <w:tc>
          <w:tcPr>
            <w:tcW w:w="1260" w:type="dxa"/>
            <w:tcBorders>
              <w:top w:val="nil"/>
              <w:left w:val="nil"/>
              <w:bottom w:val="nil"/>
              <w:right w:val="nil"/>
            </w:tcBorders>
            <w:shd w:val="clear" w:color="auto" w:fill="auto"/>
            <w:noWrap/>
            <w:vAlign w:val="bottom"/>
          </w:tcPr>
          <w:p w14:paraId="17306CF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(.0477)</w:t>
            </w:r>
          </w:p>
        </w:tc>
        <w:tc>
          <w:tcPr>
            <w:tcW w:w="1260" w:type="dxa"/>
            <w:tcBorders>
              <w:top w:val="nil"/>
              <w:left w:val="nil"/>
              <w:bottom w:val="nil"/>
              <w:right w:val="nil"/>
            </w:tcBorders>
            <w:shd w:val="clear" w:color="auto" w:fill="auto"/>
            <w:noWrap/>
            <w:vAlign w:val="bottom"/>
          </w:tcPr>
          <w:p w14:paraId="37D15D7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(.0357)</w:t>
            </w:r>
          </w:p>
        </w:tc>
      </w:tr>
      <w:tr w:rsidR="00890FA4" w:rsidRPr="00B672D5" w14:paraId="4C1907F4"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3C032B7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310" w:type="dxa"/>
            <w:tcBorders>
              <w:top w:val="nil"/>
              <w:left w:val="nil"/>
              <w:bottom w:val="nil"/>
              <w:right w:val="nil"/>
            </w:tcBorders>
            <w:shd w:val="clear" w:color="auto" w:fill="auto"/>
            <w:noWrap/>
            <w:vAlign w:val="bottom"/>
          </w:tcPr>
          <w:p w14:paraId="60A6A33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.11</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73D1011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.0109</w:t>
            </w:r>
          </w:p>
        </w:tc>
        <w:tc>
          <w:tcPr>
            <w:tcW w:w="1260" w:type="dxa"/>
            <w:tcBorders>
              <w:top w:val="nil"/>
              <w:left w:val="nil"/>
              <w:bottom w:val="nil"/>
              <w:right w:val="nil"/>
            </w:tcBorders>
            <w:shd w:val="clear" w:color="auto" w:fill="auto"/>
            <w:noWrap/>
            <w:vAlign w:val="bottom"/>
          </w:tcPr>
          <w:p w14:paraId="34230C4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-.0328*</w:t>
            </w:r>
          </w:p>
        </w:tc>
        <w:tc>
          <w:tcPr>
            <w:tcW w:w="1260" w:type="dxa"/>
            <w:tcBorders>
              <w:top w:val="nil"/>
              <w:left w:val="nil"/>
              <w:bottom w:val="nil"/>
              <w:right w:val="nil"/>
            </w:tcBorders>
            <w:shd w:val="clear" w:color="auto" w:fill="auto"/>
            <w:noWrap/>
            <w:vAlign w:val="bottom"/>
          </w:tcPr>
          <w:p w14:paraId="3F9B83B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-.0305**</w:t>
            </w:r>
          </w:p>
        </w:tc>
      </w:tr>
      <w:tr w:rsidR="00890FA4" w:rsidRPr="00B672D5" w14:paraId="3964FD8C"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7752FAD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456F380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(.0354)</w:t>
            </w:r>
          </w:p>
        </w:tc>
        <w:tc>
          <w:tcPr>
            <w:tcW w:w="1260" w:type="dxa"/>
            <w:tcBorders>
              <w:top w:val="nil"/>
              <w:left w:val="nil"/>
              <w:bottom w:val="nil"/>
              <w:right w:val="nil"/>
            </w:tcBorders>
            <w:shd w:val="clear" w:color="auto" w:fill="auto"/>
            <w:noWrap/>
            <w:vAlign w:val="bottom"/>
          </w:tcPr>
          <w:p w14:paraId="56C5E1B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(.0214)</w:t>
            </w:r>
          </w:p>
        </w:tc>
        <w:tc>
          <w:tcPr>
            <w:tcW w:w="1260" w:type="dxa"/>
            <w:tcBorders>
              <w:top w:val="nil"/>
              <w:left w:val="nil"/>
              <w:bottom w:val="nil"/>
              <w:right w:val="nil"/>
            </w:tcBorders>
            <w:shd w:val="clear" w:color="auto" w:fill="auto"/>
            <w:noWrap/>
            <w:vAlign w:val="bottom"/>
          </w:tcPr>
          <w:p w14:paraId="00716D5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(.017</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1A7C9B7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(.015</w:t>
            </w:r>
            <w:r>
              <w:rPr>
                <w:rFonts w:ascii="Calibri" w:eastAsia="Times New Roman" w:hAnsi="Calibri" w:cs="Calibri"/>
                <w:sz w:val="20"/>
                <w:szCs w:val="20"/>
              </w:rPr>
              <w:t>0</w:t>
            </w:r>
            <w:r w:rsidRPr="00533AA5">
              <w:rPr>
                <w:rFonts w:ascii="Calibri" w:eastAsia="Times New Roman" w:hAnsi="Calibri" w:cs="Calibri"/>
                <w:sz w:val="20"/>
                <w:szCs w:val="20"/>
              </w:rPr>
              <w:t>)</w:t>
            </w:r>
          </w:p>
        </w:tc>
      </w:tr>
      <w:tr w:rsidR="00890FA4" w:rsidRPr="00B672D5" w14:paraId="42216127"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725FB69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310" w:type="dxa"/>
            <w:tcBorders>
              <w:top w:val="nil"/>
              <w:left w:val="nil"/>
              <w:bottom w:val="nil"/>
              <w:right w:val="nil"/>
            </w:tcBorders>
            <w:shd w:val="clear" w:color="auto" w:fill="auto"/>
            <w:noWrap/>
            <w:vAlign w:val="bottom"/>
          </w:tcPr>
          <w:p w14:paraId="5CEDA9F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.00237***</w:t>
            </w:r>
          </w:p>
        </w:tc>
        <w:tc>
          <w:tcPr>
            <w:tcW w:w="1260" w:type="dxa"/>
            <w:tcBorders>
              <w:top w:val="nil"/>
              <w:left w:val="nil"/>
              <w:bottom w:val="nil"/>
              <w:right w:val="nil"/>
            </w:tcBorders>
            <w:shd w:val="clear" w:color="auto" w:fill="auto"/>
            <w:noWrap/>
            <w:vAlign w:val="bottom"/>
          </w:tcPr>
          <w:p w14:paraId="249DFED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.00108***</w:t>
            </w:r>
          </w:p>
        </w:tc>
        <w:tc>
          <w:tcPr>
            <w:tcW w:w="1260" w:type="dxa"/>
            <w:tcBorders>
              <w:top w:val="nil"/>
              <w:left w:val="nil"/>
              <w:bottom w:val="nil"/>
              <w:right w:val="nil"/>
            </w:tcBorders>
            <w:shd w:val="clear" w:color="auto" w:fill="auto"/>
            <w:noWrap/>
            <w:vAlign w:val="bottom"/>
          </w:tcPr>
          <w:p w14:paraId="5C46219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.000777***</w:t>
            </w:r>
          </w:p>
        </w:tc>
        <w:tc>
          <w:tcPr>
            <w:tcW w:w="1260" w:type="dxa"/>
            <w:tcBorders>
              <w:top w:val="nil"/>
              <w:left w:val="nil"/>
              <w:bottom w:val="nil"/>
              <w:right w:val="nil"/>
            </w:tcBorders>
            <w:shd w:val="clear" w:color="auto" w:fill="auto"/>
            <w:noWrap/>
            <w:vAlign w:val="bottom"/>
          </w:tcPr>
          <w:p w14:paraId="0984AE5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.00063</w:t>
            </w:r>
            <w:r>
              <w:rPr>
                <w:rFonts w:ascii="Calibri" w:eastAsia="Times New Roman" w:hAnsi="Calibri" w:cs="Calibri"/>
                <w:sz w:val="20"/>
                <w:szCs w:val="20"/>
              </w:rPr>
              <w:t>0</w:t>
            </w:r>
            <w:r w:rsidRPr="00533AA5">
              <w:rPr>
                <w:rFonts w:ascii="Calibri" w:eastAsia="Times New Roman" w:hAnsi="Calibri" w:cs="Calibri"/>
                <w:sz w:val="20"/>
                <w:szCs w:val="20"/>
              </w:rPr>
              <w:t>***</w:t>
            </w:r>
          </w:p>
        </w:tc>
      </w:tr>
      <w:tr w:rsidR="00890FA4" w:rsidRPr="00B672D5" w14:paraId="32877832"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598E05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24E28AC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(.000162)</w:t>
            </w:r>
          </w:p>
        </w:tc>
        <w:tc>
          <w:tcPr>
            <w:tcW w:w="1260" w:type="dxa"/>
            <w:tcBorders>
              <w:top w:val="nil"/>
              <w:left w:val="nil"/>
              <w:bottom w:val="nil"/>
              <w:right w:val="nil"/>
            </w:tcBorders>
            <w:shd w:val="clear" w:color="auto" w:fill="auto"/>
            <w:noWrap/>
            <w:vAlign w:val="bottom"/>
          </w:tcPr>
          <w:p w14:paraId="21F19CE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(.000101)</w:t>
            </w:r>
          </w:p>
        </w:tc>
        <w:tc>
          <w:tcPr>
            <w:tcW w:w="1260" w:type="dxa"/>
            <w:tcBorders>
              <w:top w:val="nil"/>
              <w:left w:val="nil"/>
              <w:bottom w:val="nil"/>
              <w:right w:val="nil"/>
            </w:tcBorders>
            <w:shd w:val="clear" w:color="auto" w:fill="auto"/>
            <w:noWrap/>
            <w:vAlign w:val="bottom"/>
          </w:tcPr>
          <w:p w14:paraId="4D1C0EE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(.0000862)</w:t>
            </w:r>
          </w:p>
        </w:tc>
        <w:tc>
          <w:tcPr>
            <w:tcW w:w="1260" w:type="dxa"/>
            <w:tcBorders>
              <w:top w:val="nil"/>
              <w:left w:val="nil"/>
              <w:bottom w:val="nil"/>
              <w:right w:val="nil"/>
            </w:tcBorders>
            <w:shd w:val="clear" w:color="auto" w:fill="auto"/>
            <w:noWrap/>
            <w:vAlign w:val="bottom"/>
          </w:tcPr>
          <w:p w14:paraId="4874590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(.0000795)</w:t>
            </w:r>
          </w:p>
        </w:tc>
      </w:tr>
      <w:tr w:rsidR="00890FA4" w:rsidRPr="00B672D5" w14:paraId="4B232274"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21AE12C"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1310" w:type="dxa"/>
            <w:tcBorders>
              <w:top w:val="nil"/>
              <w:left w:val="nil"/>
              <w:bottom w:val="nil"/>
              <w:right w:val="nil"/>
            </w:tcBorders>
            <w:shd w:val="clear" w:color="auto" w:fill="auto"/>
            <w:noWrap/>
            <w:vAlign w:val="bottom"/>
          </w:tcPr>
          <w:p w14:paraId="2C3D01A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-.00909***</w:t>
            </w:r>
          </w:p>
        </w:tc>
        <w:tc>
          <w:tcPr>
            <w:tcW w:w="1260" w:type="dxa"/>
            <w:tcBorders>
              <w:top w:val="nil"/>
              <w:left w:val="nil"/>
              <w:bottom w:val="nil"/>
              <w:right w:val="nil"/>
            </w:tcBorders>
            <w:shd w:val="clear" w:color="auto" w:fill="auto"/>
            <w:noWrap/>
            <w:vAlign w:val="bottom"/>
          </w:tcPr>
          <w:p w14:paraId="3B74D44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-.00729***</w:t>
            </w:r>
          </w:p>
        </w:tc>
        <w:tc>
          <w:tcPr>
            <w:tcW w:w="1260" w:type="dxa"/>
            <w:tcBorders>
              <w:top w:val="nil"/>
              <w:left w:val="nil"/>
              <w:bottom w:val="nil"/>
              <w:right w:val="nil"/>
            </w:tcBorders>
            <w:shd w:val="clear" w:color="auto" w:fill="auto"/>
            <w:noWrap/>
            <w:vAlign w:val="bottom"/>
          </w:tcPr>
          <w:p w14:paraId="0C01AB7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-.00777***</w:t>
            </w:r>
          </w:p>
        </w:tc>
        <w:tc>
          <w:tcPr>
            <w:tcW w:w="1260" w:type="dxa"/>
            <w:tcBorders>
              <w:top w:val="nil"/>
              <w:left w:val="nil"/>
              <w:bottom w:val="nil"/>
              <w:right w:val="nil"/>
            </w:tcBorders>
            <w:shd w:val="clear" w:color="auto" w:fill="auto"/>
            <w:noWrap/>
            <w:vAlign w:val="bottom"/>
          </w:tcPr>
          <w:p w14:paraId="371C137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-.0087</w:t>
            </w:r>
            <w:r>
              <w:rPr>
                <w:rFonts w:ascii="Calibri" w:eastAsia="Times New Roman" w:hAnsi="Calibri" w:cs="Calibri"/>
                <w:sz w:val="20"/>
                <w:szCs w:val="20"/>
              </w:rPr>
              <w:t>0</w:t>
            </w:r>
            <w:r w:rsidRPr="00533AA5">
              <w:rPr>
                <w:rFonts w:ascii="Calibri" w:eastAsia="Times New Roman" w:hAnsi="Calibri" w:cs="Calibri"/>
                <w:sz w:val="20"/>
                <w:szCs w:val="20"/>
              </w:rPr>
              <w:t>***</w:t>
            </w:r>
          </w:p>
        </w:tc>
      </w:tr>
      <w:tr w:rsidR="00890FA4" w:rsidRPr="00B672D5" w14:paraId="618321AD"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DEDA9C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41966DB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(.000642)</w:t>
            </w:r>
          </w:p>
        </w:tc>
        <w:tc>
          <w:tcPr>
            <w:tcW w:w="1260" w:type="dxa"/>
            <w:tcBorders>
              <w:top w:val="nil"/>
              <w:left w:val="nil"/>
              <w:bottom w:val="nil"/>
              <w:right w:val="nil"/>
            </w:tcBorders>
            <w:shd w:val="clear" w:color="auto" w:fill="auto"/>
            <w:noWrap/>
            <w:vAlign w:val="bottom"/>
          </w:tcPr>
          <w:p w14:paraId="42FBD11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(.00041</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190F70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(.000324)</w:t>
            </w:r>
          </w:p>
        </w:tc>
        <w:tc>
          <w:tcPr>
            <w:tcW w:w="1260" w:type="dxa"/>
            <w:tcBorders>
              <w:top w:val="nil"/>
              <w:left w:val="nil"/>
              <w:bottom w:val="nil"/>
              <w:right w:val="nil"/>
            </w:tcBorders>
            <w:shd w:val="clear" w:color="auto" w:fill="auto"/>
            <w:noWrap/>
            <w:vAlign w:val="bottom"/>
          </w:tcPr>
          <w:p w14:paraId="4161D70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(.000283)</w:t>
            </w:r>
          </w:p>
        </w:tc>
      </w:tr>
      <w:tr w:rsidR="00890FA4" w:rsidRPr="00B672D5" w14:paraId="2A974D63"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7EAFC688"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1310" w:type="dxa"/>
            <w:tcBorders>
              <w:top w:val="nil"/>
              <w:left w:val="nil"/>
              <w:bottom w:val="nil"/>
              <w:right w:val="nil"/>
            </w:tcBorders>
            <w:shd w:val="clear" w:color="auto" w:fill="auto"/>
            <w:noWrap/>
            <w:vAlign w:val="bottom"/>
          </w:tcPr>
          <w:p w14:paraId="386043B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.453***</w:t>
            </w:r>
          </w:p>
        </w:tc>
        <w:tc>
          <w:tcPr>
            <w:tcW w:w="1260" w:type="dxa"/>
            <w:tcBorders>
              <w:top w:val="nil"/>
              <w:left w:val="nil"/>
              <w:bottom w:val="nil"/>
              <w:right w:val="nil"/>
            </w:tcBorders>
            <w:shd w:val="clear" w:color="auto" w:fill="auto"/>
            <w:noWrap/>
            <w:vAlign w:val="bottom"/>
          </w:tcPr>
          <w:p w14:paraId="6011D9E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.248***</w:t>
            </w:r>
          </w:p>
        </w:tc>
        <w:tc>
          <w:tcPr>
            <w:tcW w:w="1260" w:type="dxa"/>
            <w:tcBorders>
              <w:top w:val="nil"/>
              <w:left w:val="nil"/>
              <w:bottom w:val="nil"/>
              <w:right w:val="nil"/>
            </w:tcBorders>
            <w:shd w:val="clear" w:color="auto" w:fill="auto"/>
            <w:noWrap/>
            <w:vAlign w:val="bottom"/>
          </w:tcPr>
          <w:p w14:paraId="27E175B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.16</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0F6ED96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.116***</w:t>
            </w:r>
          </w:p>
        </w:tc>
      </w:tr>
      <w:tr w:rsidR="00890FA4" w:rsidRPr="00B672D5" w14:paraId="5770BDD8"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0980AA4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281235E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(.0104)</w:t>
            </w:r>
          </w:p>
        </w:tc>
        <w:tc>
          <w:tcPr>
            <w:tcW w:w="1260" w:type="dxa"/>
            <w:tcBorders>
              <w:top w:val="nil"/>
              <w:left w:val="nil"/>
              <w:bottom w:val="nil"/>
              <w:right w:val="nil"/>
            </w:tcBorders>
            <w:shd w:val="clear" w:color="auto" w:fill="auto"/>
            <w:noWrap/>
            <w:vAlign w:val="bottom"/>
          </w:tcPr>
          <w:p w14:paraId="5DAB726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(.00331)</w:t>
            </w:r>
          </w:p>
        </w:tc>
        <w:tc>
          <w:tcPr>
            <w:tcW w:w="1260" w:type="dxa"/>
            <w:tcBorders>
              <w:top w:val="nil"/>
              <w:left w:val="nil"/>
              <w:bottom w:val="nil"/>
              <w:right w:val="nil"/>
            </w:tcBorders>
            <w:shd w:val="clear" w:color="auto" w:fill="auto"/>
            <w:noWrap/>
            <w:vAlign w:val="bottom"/>
          </w:tcPr>
          <w:p w14:paraId="1551BBA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(.00177)</w:t>
            </w:r>
          </w:p>
        </w:tc>
        <w:tc>
          <w:tcPr>
            <w:tcW w:w="1260" w:type="dxa"/>
            <w:tcBorders>
              <w:top w:val="nil"/>
              <w:left w:val="nil"/>
              <w:bottom w:val="nil"/>
              <w:right w:val="nil"/>
            </w:tcBorders>
            <w:shd w:val="clear" w:color="auto" w:fill="auto"/>
            <w:noWrap/>
            <w:vAlign w:val="bottom"/>
          </w:tcPr>
          <w:p w14:paraId="7B99D44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(.00119)</w:t>
            </w:r>
          </w:p>
        </w:tc>
      </w:tr>
      <w:tr w:rsidR="00890FA4" w:rsidRPr="00B672D5" w14:paraId="26658349"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B2FE79B"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1310" w:type="dxa"/>
            <w:tcBorders>
              <w:top w:val="nil"/>
              <w:left w:val="nil"/>
              <w:bottom w:val="nil"/>
              <w:right w:val="nil"/>
            </w:tcBorders>
            <w:shd w:val="clear" w:color="auto" w:fill="auto"/>
            <w:noWrap/>
            <w:vAlign w:val="bottom"/>
          </w:tcPr>
          <w:p w14:paraId="17D4DA8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-.0206***</w:t>
            </w:r>
          </w:p>
        </w:tc>
        <w:tc>
          <w:tcPr>
            <w:tcW w:w="1260" w:type="dxa"/>
            <w:tcBorders>
              <w:top w:val="nil"/>
              <w:left w:val="nil"/>
              <w:bottom w:val="nil"/>
              <w:right w:val="nil"/>
            </w:tcBorders>
            <w:shd w:val="clear" w:color="auto" w:fill="auto"/>
            <w:noWrap/>
            <w:vAlign w:val="bottom"/>
          </w:tcPr>
          <w:p w14:paraId="5BCF85B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-.00705***</w:t>
            </w:r>
          </w:p>
        </w:tc>
        <w:tc>
          <w:tcPr>
            <w:tcW w:w="1260" w:type="dxa"/>
            <w:tcBorders>
              <w:top w:val="nil"/>
              <w:left w:val="nil"/>
              <w:bottom w:val="nil"/>
              <w:right w:val="nil"/>
            </w:tcBorders>
            <w:shd w:val="clear" w:color="auto" w:fill="auto"/>
            <w:noWrap/>
            <w:vAlign w:val="bottom"/>
          </w:tcPr>
          <w:p w14:paraId="4349AB2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-.00331***</w:t>
            </w:r>
          </w:p>
        </w:tc>
        <w:tc>
          <w:tcPr>
            <w:tcW w:w="1260" w:type="dxa"/>
            <w:tcBorders>
              <w:top w:val="nil"/>
              <w:left w:val="nil"/>
              <w:bottom w:val="nil"/>
              <w:right w:val="nil"/>
            </w:tcBorders>
            <w:shd w:val="clear" w:color="auto" w:fill="auto"/>
            <w:noWrap/>
            <w:vAlign w:val="bottom"/>
          </w:tcPr>
          <w:p w14:paraId="7C38B43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-.00189***</w:t>
            </w:r>
          </w:p>
        </w:tc>
      </w:tr>
      <w:tr w:rsidR="00890FA4" w:rsidRPr="00B672D5" w14:paraId="2978854F"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F6A461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4B0F872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(.000712)</w:t>
            </w:r>
          </w:p>
        </w:tc>
        <w:tc>
          <w:tcPr>
            <w:tcW w:w="1260" w:type="dxa"/>
            <w:tcBorders>
              <w:top w:val="nil"/>
              <w:left w:val="nil"/>
              <w:bottom w:val="nil"/>
              <w:right w:val="nil"/>
            </w:tcBorders>
            <w:shd w:val="clear" w:color="auto" w:fill="auto"/>
            <w:noWrap/>
            <w:vAlign w:val="bottom"/>
          </w:tcPr>
          <w:p w14:paraId="2DC159E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(.000117)</w:t>
            </w:r>
          </w:p>
        </w:tc>
        <w:tc>
          <w:tcPr>
            <w:tcW w:w="1260" w:type="dxa"/>
            <w:tcBorders>
              <w:top w:val="nil"/>
              <w:left w:val="nil"/>
              <w:bottom w:val="nil"/>
              <w:right w:val="nil"/>
            </w:tcBorders>
            <w:shd w:val="clear" w:color="auto" w:fill="auto"/>
            <w:noWrap/>
            <w:vAlign w:val="bottom"/>
          </w:tcPr>
          <w:p w14:paraId="6DA2F89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(.0000443)</w:t>
            </w:r>
          </w:p>
        </w:tc>
        <w:tc>
          <w:tcPr>
            <w:tcW w:w="1260" w:type="dxa"/>
            <w:tcBorders>
              <w:top w:val="nil"/>
              <w:left w:val="nil"/>
              <w:bottom w:val="nil"/>
              <w:right w:val="nil"/>
            </w:tcBorders>
            <w:shd w:val="clear" w:color="auto" w:fill="auto"/>
            <w:noWrap/>
            <w:vAlign w:val="bottom"/>
          </w:tcPr>
          <w:p w14:paraId="2027947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(.0000234)</w:t>
            </w:r>
          </w:p>
        </w:tc>
      </w:tr>
      <w:tr w:rsidR="00890FA4" w:rsidRPr="00B672D5" w14:paraId="13011A52"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0F9EF1E2"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1310" w:type="dxa"/>
            <w:tcBorders>
              <w:top w:val="nil"/>
              <w:left w:val="nil"/>
              <w:bottom w:val="nil"/>
              <w:right w:val="nil"/>
            </w:tcBorders>
            <w:shd w:val="clear" w:color="auto" w:fill="auto"/>
            <w:noWrap/>
            <w:vAlign w:val="bottom"/>
          </w:tcPr>
          <w:p w14:paraId="5FB217D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-5.033***</w:t>
            </w:r>
          </w:p>
        </w:tc>
        <w:tc>
          <w:tcPr>
            <w:tcW w:w="1260" w:type="dxa"/>
            <w:tcBorders>
              <w:top w:val="nil"/>
              <w:left w:val="nil"/>
              <w:bottom w:val="nil"/>
              <w:right w:val="nil"/>
            </w:tcBorders>
            <w:shd w:val="clear" w:color="auto" w:fill="auto"/>
            <w:noWrap/>
            <w:vAlign w:val="bottom"/>
          </w:tcPr>
          <w:p w14:paraId="4E49311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-5.457***</w:t>
            </w:r>
          </w:p>
        </w:tc>
        <w:tc>
          <w:tcPr>
            <w:tcW w:w="1260" w:type="dxa"/>
            <w:tcBorders>
              <w:top w:val="nil"/>
              <w:left w:val="nil"/>
              <w:bottom w:val="nil"/>
              <w:right w:val="nil"/>
            </w:tcBorders>
            <w:shd w:val="clear" w:color="auto" w:fill="auto"/>
            <w:noWrap/>
            <w:vAlign w:val="bottom"/>
          </w:tcPr>
          <w:p w14:paraId="68EC98E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-4.651***</w:t>
            </w:r>
          </w:p>
        </w:tc>
        <w:tc>
          <w:tcPr>
            <w:tcW w:w="1260" w:type="dxa"/>
            <w:tcBorders>
              <w:top w:val="nil"/>
              <w:left w:val="nil"/>
              <w:bottom w:val="nil"/>
              <w:right w:val="nil"/>
            </w:tcBorders>
            <w:shd w:val="clear" w:color="auto" w:fill="auto"/>
            <w:noWrap/>
            <w:vAlign w:val="bottom"/>
          </w:tcPr>
          <w:p w14:paraId="57B3423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-3.888***</w:t>
            </w:r>
          </w:p>
        </w:tc>
      </w:tr>
      <w:tr w:rsidR="00890FA4" w:rsidRPr="00B672D5" w14:paraId="5B8B06FC"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2C5B6E7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4AA8B6C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(.141)</w:t>
            </w:r>
          </w:p>
        </w:tc>
        <w:tc>
          <w:tcPr>
            <w:tcW w:w="1260" w:type="dxa"/>
            <w:tcBorders>
              <w:top w:val="nil"/>
              <w:left w:val="nil"/>
              <w:bottom w:val="nil"/>
              <w:right w:val="nil"/>
            </w:tcBorders>
            <w:shd w:val="clear" w:color="auto" w:fill="auto"/>
            <w:noWrap/>
            <w:vAlign w:val="bottom"/>
          </w:tcPr>
          <w:p w14:paraId="4579907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(.0733)</w:t>
            </w:r>
          </w:p>
        </w:tc>
        <w:tc>
          <w:tcPr>
            <w:tcW w:w="1260" w:type="dxa"/>
            <w:tcBorders>
              <w:top w:val="nil"/>
              <w:left w:val="nil"/>
              <w:bottom w:val="nil"/>
              <w:right w:val="nil"/>
            </w:tcBorders>
            <w:shd w:val="clear" w:color="auto" w:fill="auto"/>
            <w:noWrap/>
            <w:vAlign w:val="bottom"/>
          </w:tcPr>
          <w:p w14:paraId="63A815B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(.0548)</w:t>
            </w:r>
          </w:p>
        </w:tc>
        <w:tc>
          <w:tcPr>
            <w:tcW w:w="1260" w:type="dxa"/>
            <w:tcBorders>
              <w:top w:val="nil"/>
              <w:left w:val="nil"/>
              <w:bottom w:val="nil"/>
              <w:right w:val="nil"/>
            </w:tcBorders>
            <w:shd w:val="clear" w:color="auto" w:fill="auto"/>
            <w:noWrap/>
            <w:vAlign w:val="bottom"/>
          </w:tcPr>
          <w:p w14:paraId="4255402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(.046</w:t>
            </w:r>
            <w:r>
              <w:rPr>
                <w:rFonts w:ascii="Calibri" w:eastAsia="Times New Roman" w:hAnsi="Calibri" w:cs="Calibri"/>
                <w:sz w:val="20"/>
                <w:szCs w:val="20"/>
              </w:rPr>
              <w:t>0</w:t>
            </w:r>
            <w:r w:rsidRPr="00533AA5">
              <w:rPr>
                <w:rFonts w:ascii="Calibri" w:eastAsia="Times New Roman" w:hAnsi="Calibri" w:cs="Calibri"/>
                <w:sz w:val="20"/>
                <w:szCs w:val="20"/>
              </w:rPr>
              <w:t>)</w:t>
            </w:r>
          </w:p>
        </w:tc>
      </w:tr>
      <w:tr w:rsidR="00890FA4" w:rsidRPr="00B672D5" w14:paraId="77C6921A"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7F97E42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1310" w:type="dxa"/>
            <w:tcBorders>
              <w:top w:val="nil"/>
              <w:left w:val="nil"/>
              <w:bottom w:val="nil"/>
              <w:right w:val="nil"/>
            </w:tcBorders>
            <w:shd w:val="clear" w:color="auto" w:fill="auto"/>
            <w:noWrap/>
            <w:vAlign w:val="bottom"/>
          </w:tcPr>
          <w:p w14:paraId="0119DBD6"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.874***</w:t>
            </w:r>
          </w:p>
        </w:tc>
        <w:tc>
          <w:tcPr>
            <w:tcW w:w="1260" w:type="dxa"/>
            <w:tcBorders>
              <w:top w:val="nil"/>
              <w:left w:val="nil"/>
              <w:bottom w:val="nil"/>
              <w:right w:val="nil"/>
            </w:tcBorders>
            <w:shd w:val="clear" w:color="auto" w:fill="auto"/>
            <w:noWrap/>
            <w:vAlign w:val="bottom"/>
          </w:tcPr>
          <w:p w14:paraId="58133E7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.706***</w:t>
            </w:r>
          </w:p>
        </w:tc>
        <w:tc>
          <w:tcPr>
            <w:tcW w:w="1260" w:type="dxa"/>
            <w:tcBorders>
              <w:top w:val="nil"/>
              <w:left w:val="nil"/>
              <w:bottom w:val="nil"/>
              <w:right w:val="nil"/>
            </w:tcBorders>
            <w:shd w:val="clear" w:color="auto" w:fill="auto"/>
            <w:noWrap/>
            <w:vAlign w:val="bottom"/>
          </w:tcPr>
          <w:p w14:paraId="75511F85"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.617***</w:t>
            </w:r>
          </w:p>
        </w:tc>
        <w:tc>
          <w:tcPr>
            <w:tcW w:w="1260" w:type="dxa"/>
            <w:tcBorders>
              <w:top w:val="nil"/>
              <w:left w:val="nil"/>
              <w:bottom w:val="nil"/>
              <w:right w:val="nil"/>
            </w:tcBorders>
            <w:shd w:val="clear" w:color="auto" w:fill="auto"/>
            <w:noWrap/>
            <w:vAlign w:val="bottom"/>
          </w:tcPr>
          <w:p w14:paraId="44331C0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.572***</w:t>
            </w:r>
          </w:p>
        </w:tc>
      </w:tr>
      <w:tr w:rsidR="00890FA4" w:rsidRPr="00B672D5" w14:paraId="349A1A20"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7DFE8A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03EE312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(.0182)</w:t>
            </w:r>
          </w:p>
        </w:tc>
        <w:tc>
          <w:tcPr>
            <w:tcW w:w="1260" w:type="dxa"/>
            <w:tcBorders>
              <w:top w:val="nil"/>
              <w:left w:val="nil"/>
              <w:bottom w:val="nil"/>
              <w:right w:val="nil"/>
            </w:tcBorders>
            <w:shd w:val="clear" w:color="auto" w:fill="auto"/>
            <w:noWrap/>
            <w:vAlign w:val="bottom"/>
          </w:tcPr>
          <w:p w14:paraId="63E08C1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(.0134)</w:t>
            </w:r>
          </w:p>
        </w:tc>
        <w:tc>
          <w:tcPr>
            <w:tcW w:w="1260" w:type="dxa"/>
            <w:tcBorders>
              <w:top w:val="nil"/>
              <w:left w:val="nil"/>
              <w:bottom w:val="nil"/>
              <w:right w:val="nil"/>
            </w:tcBorders>
            <w:shd w:val="clear" w:color="auto" w:fill="auto"/>
            <w:noWrap/>
            <w:vAlign w:val="bottom"/>
          </w:tcPr>
          <w:p w14:paraId="386C4AC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(.0117)</w:t>
            </w:r>
          </w:p>
        </w:tc>
        <w:tc>
          <w:tcPr>
            <w:tcW w:w="1260" w:type="dxa"/>
            <w:tcBorders>
              <w:top w:val="nil"/>
              <w:left w:val="nil"/>
              <w:bottom w:val="nil"/>
              <w:right w:val="nil"/>
            </w:tcBorders>
            <w:shd w:val="clear" w:color="auto" w:fill="auto"/>
            <w:noWrap/>
            <w:vAlign w:val="bottom"/>
          </w:tcPr>
          <w:p w14:paraId="2D7D225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(.0103)</w:t>
            </w:r>
          </w:p>
        </w:tc>
      </w:tr>
      <w:tr w:rsidR="00890FA4" w:rsidRPr="00B672D5" w14:paraId="69FC4FFF"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6E906E8"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310" w:type="dxa"/>
            <w:tcBorders>
              <w:top w:val="nil"/>
              <w:left w:val="nil"/>
              <w:bottom w:val="nil"/>
              <w:right w:val="nil"/>
            </w:tcBorders>
            <w:shd w:val="clear" w:color="auto" w:fill="auto"/>
            <w:noWrap/>
            <w:vAlign w:val="bottom"/>
          </w:tcPr>
          <w:p w14:paraId="04BABE7D"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.605***</w:t>
            </w:r>
          </w:p>
        </w:tc>
        <w:tc>
          <w:tcPr>
            <w:tcW w:w="1260" w:type="dxa"/>
            <w:tcBorders>
              <w:top w:val="nil"/>
              <w:left w:val="nil"/>
              <w:bottom w:val="nil"/>
              <w:right w:val="nil"/>
            </w:tcBorders>
            <w:shd w:val="clear" w:color="auto" w:fill="auto"/>
            <w:noWrap/>
            <w:vAlign w:val="bottom"/>
          </w:tcPr>
          <w:p w14:paraId="0B2A6A7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.539***</w:t>
            </w:r>
          </w:p>
        </w:tc>
        <w:tc>
          <w:tcPr>
            <w:tcW w:w="1260" w:type="dxa"/>
            <w:tcBorders>
              <w:top w:val="nil"/>
              <w:left w:val="nil"/>
              <w:bottom w:val="nil"/>
              <w:right w:val="nil"/>
            </w:tcBorders>
            <w:shd w:val="clear" w:color="auto" w:fill="auto"/>
            <w:noWrap/>
            <w:vAlign w:val="bottom"/>
          </w:tcPr>
          <w:p w14:paraId="75436C1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.484***</w:t>
            </w:r>
          </w:p>
        </w:tc>
        <w:tc>
          <w:tcPr>
            <w:tcW w:w="1260" w:type="dxa"/>
            <w:tcBorders>
              <w:top w:val="nil"/>
              <w:left w:val="nil"/>
              <w:bottom w:val="nil"/>
              <w:right w:val="nil"/>
            </w:tcBorders>
            <w:shd w:val="clear" w:color="auto" w:fill="auto"/>
            <w:noWrap/>
            <w:vAlign w:val="bottom"/>
          </w:tcPr>
          <w:p w14:paraId="36976B4E"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.458***</w:t>
            </w:r>
          </w:p>
        </w:tc>
      </w:tr>
      <w:tr w:rsidR="00890FA4" w:rsidRPr="00B672D5" w14:paraId="1012A9E5"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0F95E07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03D15EF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(.0186)</w:t>
            </w:r>
          </w:p>
        </w:tc>
        <w:tc>
          <w:tcPr>
            <w:tcW w:w="1260" w:type="dxa"/>
            <w:tcBorders>
              <w:top w:val="nil"/>
              <w:left w:val="nil"/>
              <w:bottom w:val="nil"/>
              <w:right w:val="nil"/>
            </w:tcBorders>
            <w:shd w:val="clear" w:color="auto" w:fill="auto"/>
            <w:noWrap/>
            <w:vAlign w:val="bottom"/>
          </w:tcPr>
          <w:p w14:paraId="12342D5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(.0122)</w:t>
            </w:r>
          </w:p>
        </w:tc>
        <w:tc>
          <w:tcPr>
            <w:tcW w:w="1260" w:type="dxa"/>
            <w:tcBorders>
              <w:top w:val="nil"/>
              <w:left w:val="nil"/>
              <w:bottom w:val="nil"/>
              <w:right w:val="nil"/>
            </w:tcBorders>
            <w:shd w:val="clear" w:color="auto" w:fill="auto"/>
            <w:noWrap/>
            <w:vAlign w:val="bottom"/>
          </w:tcPr>
          <w:p w14:paraId="76BC9B7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(.0105)</w:t>
            </w:r>
          </w:p>
        </w:tc>
        <w:tc>
          <w:tcPr>
            <w:tcW w:w="1260" w:type="dxa"/>
            <w:tcBorders>
              <w:top w:val="nil"/>
              <w:left w:val="nil"/>
              <w:bottom w:val="nil"/>
              <w:right w:val="nil"/>
            </w:tcBorders>
            <w:shd w:val="clear" w:color="auto" w:fill="auto"/>
            <w:noWrap/>
            <w:vAlign w:val="bottom"/>
          </w:tcPr>
          <w:p w14:paraId="3CA48F1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(.00964)</w:t>
            </w:r>
          </w:p>
        </w:tc>
      </w:tr>
      <w:tr w:rsidR="00890FA4" w:rsidRPr="00B672D5" w14:paraId="615AB013"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370C7AA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1310" w:type="dxa"/>
            <w:tcBorders>
              <w:top w:val="nil"/>
              <w:left w:val="nil"/>
              <w:bottom w:val="nil"/>
              <w:right w:val="nil"/>
            </w:tcBorders>
            <w:shd w:val="clear" w:color="auto" w:fill="auto"/>
            <w:noWrap/>
            <w:vAlign w:val="bottom"/>
          </w:tcPr>
          <w:p w14:paraId="74CB196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.00363</w:t>
            </w:r>
          </w:p>
        </w:tc>
        <w:tc>
          <w:tcPr>
            <w:tcW w:w="1260" w:type="dxa"/>
            <w:tcBorders>
              <w:top w:val="nil"/>
              <w:left w:val="nil"/>
              <w:bottom w:val="nil"/>
              <w:right w:val="nil"/>
            </w:tcBorders>
            <w:shd w:val="clear" w:color="auto" w:fill="auto"/>
            <w:noWrap/>
            <w:vAlign w:val="bottom"/>
          </w:tcPr>
          <w:p w14:paraId="2E9BA85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.00378</w:t>
            </w:r>
          </w:p>
        </w:tc>
        <w:tc>
          <w:tcPr>
            <w:tcW w:w="1260" w:type="dxa"/>
            <w:tcBorders>
              <w:top w:val="nil"/>
              <w:left w:val="nil"/>
              <w:bottom w:val="nil"/>
              <w:right w:val="nil"/>
            </w:tcBorders>
            <w:shd w:val="clear" w:color="auto" w:fill="auto"/>
            <w:noWrap/>
            <w:vAlign w:val="bottom"/>
          </w:tcPr>
          <w:p w14:paraId="249501F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-.00167</w:t>
            </w:r>
          </w:p>
        </w:tc>
        <w:tc>
          <w:tcPr>
            <w:tcW w:w="1260" w:type="dxa"/>
            <w:tcBorders>
              <w:top w:val="nil"/>
              <w:left w:val="nil"/>
              <w:bottom w:val="nil"/>
              <w:right w:val="nil"/>
            </w:tcBorders>
            <w:shd w:val="clear" w:color="auto" w:fill="auto"/>
            <w:noWrap/>
            <w:vAlign w:val="bottom"/>
          </w:tcPr>
          <w:p w14:paraId="0379591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-.00922***</w:t>
            </w:r>
          </w:p>
        </w:tc>
      </w:tr>
      <w:tr w:rsidR="00890FA4" w:rsidRPr="00B672D5" w14:paraId="7E73AF2D"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6F21AD0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79F6F2F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(.00505)</w:t>
            </w:r>
          </w:p>
        </w:tc>
        <w:tc>
          <w:tcPr>
            <w:tcW w:w="1260" w:type="dxa"/>
            <w:tcBorders>
              <w:top w:val="nil"/>
              <w:left w:val="nil"/>
              <w:bottom w:val="nil"/>
              <w:right w:val="nil"/>
            </w:tcBorders>
            <w:shd w:val="clear" w:color="auto" w:fill="auto"/>
            <w:noWrap/>
            <w:vAlign w:val="bottom"/>
          </w:tcPr>
          <w:p w14:paraId="11D4452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(.00308)</w:t>
            </w:r>
          </w:p>
        </w:tc>
        <w:tc>
          <w:tcPr>
            <w:tcW w:w="1260" w:type="dxa"/>
            <w:tcBorders>
              <w:top w:val="nil"/>
              <w:left w:val="nil"/>
              <w:bottom w:val="nil"/>
              <w:right w:val="nil"/>
            </w:tcBorders>
            <w:shd w:val="clear" w:color="auto" w:fill="auto"/>
            <w:noWrap/>
            <w:vAlign w:val="bottom"/>
          </w:tcPr>
          <w:p w14:paraId="176DA50A"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(.00245)</w:t>
            </w:r>
          </w:p>
        </w:tc>
        <w:tc>
          <w:tcPr>
            <w:tcW w:w="1260" w:type="dxa"/>
            <w:tcBorders>
              <w:top w:val="nil"/>
              <w:left w:val="nil"/>
              <w:bottom w:val="nil"/>
              <w:right w:val="nil"/>
            </w:tcBorders>
            <w:shd w:val="clear" w:color="auto" w:fill="auto"/>
            <w:noWrap/>
            <w:vAlign w:val="bottom"/>
          </w:tcPr>
          <w:p w14:paraId="6461292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(.00213)</w:t>
            </w:r>
          </w:p>
        </w:tc>
      </w:tr>
      <w:tr w:rsidR="00890FA4" w:rsidRPr="00B672D5" w14:paraId="3F27098D"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37144989"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HPI</w:t>
            </w:r>
          </w:p>
        </w:tc>
        <w:tc>
          <w:tcPr>
            <w:tcW w:w="1310" w:type="dxa"/>
            <w:tcBorders>
              <w:top w:val="nil"/>
              <w:left w:val="nil"/>
              <w:bottom w:val="nil"/>
              <w:right w:val="nil"/>
            </w:tcBorders>
            <w:shd w:val="clear" w:color="auto" w:fill="auto"/>
            <w:noWrap/>
            <w:vAlign w:val="bottom"/>
          </w:tcPr>
          <w:p w14:paraId="2055CDB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.0236***</w:t>
            </w:r>
          </w:p>
        </w:tc>
        <w:tc>
          <w:tcPr>
            <w:tcW w:w="1260" w:type="dxa"/>
            <w:tcBorders>
              <w:top w:val="nil"/>
              <w:left w:val="nil"/>
              <w:bottom w:val="nil"/>
              <w:right w:val="nil"/>
            </w:tcBorders>
            <w:shd w:val="clear" w:color="auto" w:fill="auto"/>
            <w:noWrap/>
            <w:vAlign w:val="bottom"/>
          </w:tcPr>
          <w:p w14:paraId="16C26B4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.0065</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3B9A75A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-.0039</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2FA0995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-.00905***</w:t>
            </w:r>
          </w:p>
        </w:tc>
      </w:tr>
      <w:tr w:rsidR="00890FA4" w:rsidRPr="00B672D5" w14:paraId="43D066A7"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57A63E7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310" w:type="dxa"/>
            <w:tcBorders>
              <w:top w:val="nil"/>
              <w:left w:val="nil"/>
              <w:bottom w:val="nil"/>
              <w:right w:val="nil"/>
            </w:tcBorders>
            <w:shd w:val="clear" w:color="auto" w:fill="auto"/>
            <w:noWrap/>
            <w:vAlign w:val="bottom"/>
          </w:tcPr>
          <w:p w14:paraId="1FB81A34"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(.0027</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74D1F9B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(.000991)</w:t>
            </w:r>
          </w:p>
        </w:tc>
        <w:tc>
          <w:tcPr>
            <w:tcW w:w="1260" w:type="dxa"/>
            <w:tcBorders>
              <w:top w:val="nil"/>
              <w:left w:val="nil"/>
              <w:bottom w:val="nil"/>
              <w:right w:val="nil"/>
            </w:tcBorders>
            <w:shd w:val="clear" w:color="auto" w:fill="auto"/>
            <w:noWrap/>
            <w:vAlign w:val="bottom"/>
          </w:tcPr>
          <w:p w14:paraId="366667A8"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(.000567)</w:t>
            </w:r>
          </w:p>
        </w:tc>
        <w:tc>
          <w:tcPr>
            <w:tcW w:w="1260" w:type="dxa"/>
            <w:tcBorders>
              <w:top w:val="nil"/>
              <w:left w:val="nil"/>
              <w:bottom w:val="nil"/>
              <w:right w:val="nil"/>
            </w:tcBorders>
            <w:shd w:val="clear" w:color="auto" w:fill="auto"/>
            <w:noWrap/>
            <w:vAlign w:val="bottom"/>
          </w:tcPr>
          <w:p w14:paraId="11A36117"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(.000414)</w:t>
            </w:r>
          </w:p>
        </w:tc>
      </w:tr>
      <w:tr w:rsidR="00890FA4" w:rsidRPr="00B672D5" w14:paraId="354506ED"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2CFEF075"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1310" w:type="dxa"/>
            <w:tcBorders>
              <w:top w:val="nil"/>
              <w:left w:val="nil"/>
              <w:bottom w:val="nil"/>
              <w:right w:val="nil"/>
            </w:tcBorders>
            <w:shd w:val="clear" w:color="auto" w:fill="auto"/>
            <w:noWrap/>
            <w:vAlign w:val="bottom"/>
          </w:tcPr>
          <w:p w14:paraId="4B5B7F8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-.0202</w:t>
            </w:r>
          </w:p>
        </w:tc>
        <w:tc>
          <w:tcPr>
            <w:tcW w:w="1260" w:type="dxa"/>
            <w:tcBorders>
              <w:top w:val="nil"/>
              <w:left w:val="nil"/>
              <w:bottom w:val="nil"/>
              <w:right w:val="nil"/>
            </w:tcBorders>
            <w:shd w:val="clear" w:color="auto" w:fill="auto"/>
            <w:noWrap/>
            <w:vAlign w:val="bottom"/>
          </w:tcPr>
          <w:p w14:paraId="10388C1B"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-.0455***</w:t>
            </w:r>
          </w:p>
        </w:tc>
        <w:tc>
          <w:tcPr>
            <w:tcW w:w="1260" w:type="dxa"/>
            <w:tcBorders>
              <w:top w:val="nil"/>
              <w:left w:val="nil"/>
              <w:bottom w:val="nil"/>
              <w:right w:val="nil"/>
            </w:tcBorders>
            <w:shd w:val="clear" w:color="auto" w:fill="auto"/>
            <w:noWrap/>
            <w:vAlign w:val="bottom"/>
          </w:tcPr>
          <w:p w14:paraId="6463996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-.057</w:t>
            </w:r>
            <w:r>
              <w:rPr>
                <w:rFonts w:ascii="Calibri" w:eastAsia="Times New Roman" w:hAnsi="Calibri" w:cs="Calibri"/>
                <w:sz w:val="20"/>
                <w:szCs w:val="20"/>
              </w:rPr>
              <w:t>0</w:t>
            </w:r>
            <w:r w:rsidRPr="00533AA5">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C01346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-.0609***</w:t>
            </w:r>
          </w:p>
        </w:tc>
      </w:tr>
      <w:tr w:rsidR="00890FA4" w:rsidRPr="00B672D5" w14:paraId="0E039464"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342776F5" w14:textId="77777777" w:rsidR="00890FA4" w:rsidRPr="00B672D5" w:rsidRDefault="00890FA4" w:rsidP="00931F65">
            <w:pPr>
              <w:spacing w:after="0" w:line="240" w:lineRule="auto"/>
              <w:rPr>
                <w:rFonts w:ascii="Calibri" w:eastAsia="Times New Roman" w:hAnsi="Calibri" w:cs="Calibri"/>
                <w:sz w:val="20"/>
                <w:szCs w:val="20"/>
              </w:rPr>
            </w:pPr>
            <w:r w:rsidRPr="00B672D5">
              <w:rPr>
                <w:rFonts w:ascii="Calibri" w:eastAsia="Times New Roman" w:hAnsi="Calibri" w:cs="Calibri"/>
                <w:sz w:val="20"/>
                <w:szCs w:val="20"/>
              </w:rPr>
              <w:t> </w:t>
            </w:r>
          </w:p>
        </w:tc>
        <w:tc>
          <w:tcPr>
            <w:tcW w:w="1310" w:type="dxa"/>
            <w:tcBorders>
              <w:top w:val="nil"/>
              <w:left w:val="nil"/>
              <w:bottom w:val="nil"/>
              <w:right w:val="nil"/>
            </w:tcBorders>
            <w:shd w:val="clear" w:color="auto" w:fill="auto"/>
            <w:noWrap/>
            <w:vAlign w:val="bottom"/>
          </w:tcPr>
          <w:p w14:paraId="690B6C12"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(.0169)</w:t>
            </w:r>
          </w:p>
        </w:tc>
        <w:tc>
          <w:tcPr>
            <w:tcW w:w="1260" w:type="dxa"/>
            <w:tcBorders>
              <w:top w:val="nil"/>
              <w:left w:val="nil"/>
              <w:bottom w:val="nil"/>
              <w:right w:val="nil"/>
            </w:tcBorders>
            <w:shd w:val="clear" w:color="auto" w:fill="auto"/>
            <w:noWrap/>
            <w:vAlign w:val="bottom"/>
          </w:tcPr>
          <w:p w14:paraId="763DCAEC"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(.0106)</w:t>
            </w:r>
          </w:p>
        </w:tc>
        <w:tc>
          <w:tcPr>
            <w:tcW w:w="1260" w:type="dxa"/>
            <w:tcBorders>
              <w:top w:val="nil"/>
              <w:left w:val="nil"/>
              <w:bottom w:val="nil"/>
              <w:right w:val="nil"/>
            </w:tcBorders>
            <w:shd w:val="clear" w:color="auto" w:fill="auto"/>
            <w:noWrap/>
            <w:vAlign w:val="bottom"/>
          </w:tcPr>
          <w:p w14:paraId="3B9EBE83"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(.00896)</w:t>
            </w:r>
          </w:p>
        </w:tc>
        <w:tc>
          <w:tcPr>
            <w:tcW w:w="1260" w:type="dxa"/>
            <w:tcBorders>
              <w:top w:val="nil"/>
              <w:left w:val="nil"/>
              <w:bottom w:val="nil"/>
              <w:right w:val="nil"/>
            </w:tcBorders>
            <w:shd w:val="clear" w:color="auto" w:fill="auto"/>
            <w:noWrap/>
            <w:vAlign w:val="bottom"/>
          </w:tcPr>
          <w:p w14:paraId="53FF8E51"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(.00815)</w:t>
            </w:r>
          </w:p>
        </w:tc>
      </w:tr>
      <w:tr w:rsidR="00890FA4" w:rsidRPr="00B672D5" w14:paraId="5A5EEC34"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3A608770" w14:textId="77777777" w:rsidR="00890FA4" w:rsidRPr="00B672D5" w:rsidRDefault="00890FA4" w:rsidP="00931F65">
            <w:pPr>
              <w:spacing w:after="0" w:line="240" w:lineRule="auto"/>
              <w:jc w:val="center"/>
              <w:rPr>
                <w:rFonts w:ascii="Calibri" w:eastAsia="Times New Roman" w:hAnsi="Calibri" w:cs="Calibri"/>
                <w:sz w:val="20"/>
                <w:szCs w:val="20"/>
              </w:rPr>
            </w:pPr>
            <w:r w:rsidRPr="00B672D5">
              <w:rPr>
                <w:rFonts w:ascii="Calibri" w:eastAsia="Times New Roman" w:hAnsi="Calibri" w:cs="Calibri"/>
                <w:sz w:val="20"/>
                <w:szCs w:val="20"/>
              </w:rPr>
              <w:t> </w:t>
            </w:r>
          </w:p>
        </w:tc>
        <w:tc>
          <w:tcPr>
            <w:tcW w:w="1310" w:type="dxa"/>
            <w:tcBorders>
              <w:top w:val="nil"/>
              <w:left w:val="nil"/>
              <w:bottom w:val="nil"/>
              <w:right w:val="nil"/>
            </w:tcBorders>
            <w:shd w:val="clear" w:color="auto" w:fill="auto"/>
            <w:noWrap/>
            <w:vAlign w:val="bottom"/>
          </w:tcPr>
          <w:p w14:paraId="243895A0"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29D0EEF9"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4F6C83B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1107268F" w14:textId="77777777" w:rsidR="00890FA4" w:rsidRPr="00533AA5" w:rsidRDefault="00890FA4" w:rsidP="00931F65">
            <w:pPr>
              <w:spacing w:after="0" w:line="240" w:lineRule="auto"/>
              <w:jc w:val="center"/>
              <w:rPr>
                <w:rFonts w:ascii="Calibri" w:eastAsia="Times New Roman" w:hAnsi="Calibri" w:cs="Calibri"/>
                <w:sz w:val="20"/>
                <w:szCs w:val="20"/>
              </w:rPr>
            </w:pPr>
            <w:r w:rsidRPr="00533AA5">
              <w:rPr>
                <w:rFonts w:ascii="Calibri" w:eastAsia="Times New Roman" w:hAnsi="Calibri" w:cs="Calibri"/>
                <w:sz w:val="20"/>
                <w:szCs w:val="20"/>
              </w:rPr>
              <w:t> </w:t>
            </w:r>
          </w:p>
        </w:tc>
      </w:tr>
      <w:tr w:rsidR="00890FA4" w:rsidRPr="00B672D5" w14:paraId="34C5B340"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06985FD6" w14:textId="77777777" w:rsidR="00890FA4" w:rsidRPr="00B672D5" w:rsidRDefault="00890FA4" w:rsidP="00931F65">
            <w:pPr>
              <w:spacing w:after="0" w:line="240" w:lineRule="auto"/>
              <w:rPr>
                <w:rFonts w:ascii="Calibri" w:eastAsia="Times New Roman" w:hAnsi="Calibri" w:cs="Calibri"/>
                <w:sz w:val="20"/>
                <w:szCs w:val="20"/>
              </w:rPr>
            </w:pPr>
            <w:r w:rsidRPr="00B672D5">
              <w:rPr>
                <w:rFonts w:ascii="Calibri" w:eastAsia="Times New Roman" w:hAnsi="Calibri" w:cs="Calibri"/>
                <w:sz w:val="20"/>
                <w:szCs w:val="20"/>
              </w:rPr>
              <w:t>Observations</w:t>
            </w:r>
          </w:p>
        </w:tc>
        <w:tc>
          <w:tcPr>
            <w:tcW w:w="1310" w:type="dxa"/>
            <w:tcBorders>
              <w:top w:val="nil"/>
              <w:left w:val="nil"/>
              <w:bottom w:val="nil"/>
              <w:right w:val="nil"/>
            </w:tcBorders>
            <w:shd w:val="clear" w:color="auto" w:fill="auto"/>
            <w:noWrap/>
            <w:vAlign w:val="center"/>
          </w:tcPr>
          <w:p w14:paraId="1EA13929"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1,667,535 </w:t>
            </w:r>
          </w:p>
        </w:tc>
        <w:tc>
          <w:tcPr>
            <w:tcW w:w="1260" w:type="dxa"/>
            <w:tcBorders>
              <w:top w:val="nil"/>
              <w:left w:val="nil"/>
              <w:bottom w:val="nil"/>
              <w:right w:val="nil"/>
            </w:tcBorders>
            <w:shd w:val="clear" w:color="auto" w:fill="auto"/>
            <w:noWrap/>
            <w:vAlign w:val="center"/>
          </w:tcPr>
          <w:p w14:paraId="2A1A9803"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2,822,382 </w:t>
            </w:r>
          </w:p>
        </w:tc>
        <w:tc>
          <w:tcPr>
            <w:tcW w:w="1260" w:type="dxa"/>
            <w:tcBorders>
              <w:top w:val="nil"/>
              <w:left w:val="nil"/>
              <w:bottom w:val="nil"/>
              <w:right w:val="nil"/>
            </w:tcBorders>
            <w:shd w:val="clear" w:color="auto" w:fill="auto"/>
            <w:noWrap/>
            <w:vAlign w:val="center"/>
          </w:tcPr>
          <w:p w14:paraId="594674D1"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3,636,506 </w:t>
            </w:r>
          </w:p>
        </w:tc>
        <w:tc>
          <w:tcPr>
            <w:tcW w:w="1260" w:type="dxa"/>
            <w:tcBorders>
              <w:top w:val="nil"/>
              <w:left w:val="nil"/>
              <w:bottom w:val="nil"/>
              <w:right w:val="nil"/>
            </w:tcBorders>
            <w:shd w:val="clear" w:color="auto" w:fill="auto"/>
            <w:noWrap/>
            <w:vAlign w:val="center"/>
          </w:tcPr>
          <w:p w14:paraId="7EFC6BEF"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4,219,889 </w:t>
            </w:r>
          </w:p>
        </w:tc>
      </w:tr>
      <w:tr w:rsidR="00890FA4" w:rsidRPr="00B672D5" w14:paraId="3712B562" w14:textId="77777777" w:rsidTr="00890FA4">
        <w:trPr>
          <w:trHeight w:val="255"/>
          <w:jc w:val="center"/>
        </w:trPr>
        <w:tc>
          <w:tcPr>
            <w:tcW w:w="1660" w:type="dxa"/>
            <w:tcBorders>
              <w:top w:val="nil"/>
              <w:left w:val="nil"/>
              <w:bottom w:val="nil"/>
              <w:right w:val="nil"/>
            </w:tcBorders>
            <w:shd w:val="clear" w:color="auto" w:fill="auto"/>
            <w:noWrap/>
            <w:vAlign w:val="bottom"/>
            <w:hideMark/>
          </w:tcPr>
          <w:p w14:paraId="1F7A68CE" w14:textId="77777777" w:rsidR="00890FA4" w:rsidRPr="00B672D5" w:rsidRDefault="00890FA4" w:rsidP="00931F65">
            <w:pPr>
              <w:spacing w:after="0" w:line="240" w:lineRule="auto"/>
              <w:rPr>
                <w:rFonts w:ascii="Calibri" w:eastAsia="Times New Roman" w:hAnsi="Calibri" w:cs="Calibri"/>
                <w:sz w:val="20"/>
                <w:szCs w:val="20"/>
              </w:rPr>
            </w:pPr>
            <w:r w:rsidRPr="00B672D5">
              <w:rPr>
                <w:rFonts w:ascii="Calibri" w:eastAsia="Times New Roman" w:hAnsi="Calibri" w:cs="Calibri"/>
                <w:sz w:val="20"/>
                <w:szCs w:val="20"/>
              </w:rPr>
              <w:t>Clusters</w:t>
            </w:r>
          </w:p>
        </w:tc>
        <w:tc>
          <w:tcPr>
            <w:tcW w:w="1310" w:type="dxa"/>
            <w:tcBorders>
              <w:top w:val="nil"/>
              <w:left w:val="nil"/>
              <w:bottom w:val="nil"/>
              <w:right w:val="nil"/>
            </w:tcBorders>
            <w:shd w:val="clear" w:color="auto" w:fill="auto"/>
            <w:noWrap/>
            <w:vAlign w:val="center"/>
          </w:tcPr>
          <w:p w14:paraId="36137669"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136,494 </w:t>
            </w:r>
          </w:p>
        </w:tc>
        <w:tc>
          <w:tcPr>
            <w:tcW w:w="1260" w:type="dxa"/>
            <w:tcBorders>
              <w:top w:val="nil"/>
              <w:left w:val="nil"/>
              <w:bottom w:val="nil"/>
              <w:right w:val="nil"/>
            </w:tcBorders>
            <w:shd w:val="clear" w:color="auto" w:fill="auto"/>
            <w:noWrap/>
            <w:vAlign w:val="center"/>
          </w:tcPr>
          <w:p w14:paraId="23B2703D"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136,494 </w:t>
            </w:r>
          </w:p>
        </w:tc>
        <w:tc>
          <w:tcPr>
            <w:tcW w:w="1260" w:type="dxa"/>
            <w:tcBorders>
              <w:top w:val="nil"/>
              <w:left w:val="nil"/>
              <w:bottom w:val="nil"/>
              <w:right w:val="nil"/>
            </w:tcBorders>
            <w:shd w:val="clear" w:color="auto" w:fill="auto"/>
            <w:noWrap/>
            <w:vAlign w:val="center"/>
          </w:tcPr>
          <w:p w14:paraId="0F88A2B0"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136,494 </w:t>
            </w:r>
          </w:p>
        </w:tc>
        <w:tc>
          <w:tcPr>
            <w:tcW w:w="1260" w:type="dxa"/>
            <w:tcBorders>
              <w:top w:val="nil"/>
              <w:left w:val="nil"/>
              <w:bottom w:val="nil"/>
              <w:right w:val="nil"/>
            </w:tcBorders>
            <w:shd w:val="clear" w:color="auto" w:fill="auto"/>
            <w:noWrap/>
            <w:vAlign w:val="center"/>
          </w:tcPr>
          <w:p w14:paraId="07D5FB34"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 xml:space="preserve">       136,494 </w:t>
            </w:r>
          </w:p>
        </w:tc>
      </w:tr>
      <w:tr w:rsidR="00890FA4" w:rsidRPr="00B672D5" w14:paraId="2504A6F4" w14:textId="77777777" w:rsidTr="00890FA4">
        <w:trPr>
          <w:trHeight w:val="255"/>
          <w:jc w:val="center"/>
        </w:trPr>
        <w:tc>
          <w:tcPr>
            <w:tcW w:w="1660" w:type="dxa"/>
            <w:tcBorders>
              <w:top w:val="nil"/>
              <w:left w:val="nil"/>
              <w:bottom w:val="single" w:sz="4" w:space="0" w:color="auto"/>
              <w:right w:val="nil"/>
            </w:tcBorders>
            <w:shd w:val="clear" w:color="auto" w:fill="auto"/>
            <w:noWrap/>
            <w:vAlign w:val="bottom"/>
            <w:hideMark/>
          </w:tcPr>
          <w:p w14:paraId="63C552FB" w14:textId="77777777" w:rsidR="00890FA4" w:rsidRPr="00B672D5" w:rsidRDefault="00890FA4" w:rsidP="00931F65">
            <w:pPr>
              <w:spacing w:after="0" w:line="240" w:lineRule="auto"/>
              <w:rPr>
                <w:rFonts w:ascii="Calibri" w:eastAsia="Times New Roman" w:hAnsi="Calibri" w:cs="Calibri"/>
                <w:sz w:val="20"/>
                <w:szCs w:val="20"/>
                <w:vertAlign w:val="superscript"/>
              </w:rPr>
            </w:pPr>
            <w:r w:rsidRPr="00B672D5">
              <w:rPr>
                <w:rFonts w:ascii="Calibri" w:eastAsia="Times New Roman" w:hAnsi="Calibri" w:cs="Calibri"/>
                <w:sz w:val="20"/>
                <w:szCs w:val="20"/>
              </w:rPr>
              <w:t>Pseudo R</w:t>
            </w:r>
            <w:r>
              <w:rPr>
                <w:rFonts w:ascii="Calibri" w:eastAsia="Times New Roman" w:hAnsi="Calibri" w:cs="Calibri"/>
                <w:sz w:val="20"/>
                <w:szCs w:val="20"/>
                <w:vertAlign w:val="superscript"/>
              </w:rPr>
              <w:t>2</w:t>
            </w:r>
          </w:p>
        </w:tc>
        <w:tc>
          <w:tcPr>
            <w:tcW w:w="1310" w:type="dxa"/>
            <w:tcBorders>
              <w:top w:val="nil"/>
              <w:left w:val="nil"/>
              <w:bottom w:val="single" w:sz="4" w:space="0" w:color="auto"/>
              <w:right w:val="nil"/>
            </w:tcBorders>
            <w:shd w:val="clear" w:color="auto" w:fill="auto"/>
            <w:noWrap/>
            <w:vAlign w:val="center"/>
          </w:tcPr>
          <w:p w14:paraId="240D53FB"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0.107</w:t>
            </w:r>
          </w:p>
        </w:tc>
        <w:tc>
          <w:tcPr>
            <w:tcW w:w="1260" w:type="dxa"/>
            <w:tcBorders>
              <w:top w:val="nil"/>
              <w:left w:val="nil"/>
              <w:bottom w:val="single" w:sz="4" w:space="0" w:color="auto"/>
              <w:right w:val="nil"/>
            </w:tcBorders>
            <w:shd w:val="clear" w:color="auto" w:fill="auto"/>
            <w:noWrap/>
            <w:vAlign w:val="bottom"/>
          </w:tcPr>
          <w:p w14:paraId="2E5B9422"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0.097</w:t>
            </w:r>
          </w:p>
        </w:tc>
        <w:tc>
          <w:tcPr>
            <w:tcW w:w="1260" w:type="dxa"/>
            <w:tcBorders>
              <w:top w:val="nil"/>
              <w:left w:val="nil"/>
              <w:bottom w:val="single" w:sz="4" w:space="0" w:color="auto"/>
              <w:right w:val="nil"/>
            </w:tcBorders>
            <w:shd w:val="clear" w:color="auto" w:fill="auto"/>
            <w:noWrap/>
            <w:vAlign w:val="bottom"/>
          </w:tcPr>
          <w:p w14:paraId="0A4EAEED"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0.082</w:t>
            </w:r>
          </w:p>
        </w:tc>
        <w:tc>
          <w:tcPr>
            <w:tcW w:w="1260" w:type="dxa"/>
            <w:tcBorders>
              <w:top w:val="nil"/>
              <w:left w:val="nil"/>
              <w:bottom w:val="single" w:sz="4" w:space="0" w:color="auto"/>
              <w:right w:val="nil"/>
            </w:tcBorders>
            <w:shd w:val="clear" w:color="auto" w:fill="auto"/>
            <w:noWrap/>
            <w:vAlign w:val="bottom"/>
          </w:tcPr>
          <w:p w14:paraId="07997405" w14:textId="77777777" w:rsidR="00890FA4" w:rsidRPr="00533AA5" w:rsidRDefault="00890FA4" w:rsidP="00931F65">
            <w:pPr>
              <w:spacing w:after="0" w:line="240" w:lineRule="auto"/>
              <w:jc w:val="right"/>
              <w:rPr>
                <w:rFonts w:ascii="Calibri" w:eastAsia="Times New Roman" w:hAnsi="Calibri" w:cs="Calibri"/>
                <w:sz w:val="20"/>
                <w:szCs w:val="20"/>
              </w:rPr>
            </w:pPr>
            <w:r w:rsidRPr="00533AA5">
              <w:rPr>
                <w:rFonts w:ascii="Calibri" w:eastAsia="Times New Roman" w:hAnsi="Calibri" w:cs="Calibri"/>
                <w:sz w:val="20"/>
                <w:szCs w:val="20"/>
              </w:rPr>
              <w:t>0.071</w:t>
            </w:r>
          </w:p>
        </w:tc>
      </w:tr>
    </w:tbl>
    <w:p w14:paraId="3E85AEE4" w14:textId="77777777" w:rsidR="00890FA4" w:rsidRDefault="00890FA4" w:rsidP="00890FA4">
      <w:pPr>
        <w:contextualSpacing/>
      </w:pPr>
    </w:p>
    <w:p w14:paraId="299328E9" w14:textId="77777777" w:rsidR="00890FA4" w:rsidRDefault="00890FA4" w:rsidP="00890FA4">
      <w:pPr>
        <w:contextualSpacing/>
      </w:pPr>
    </w:p>
    <w:p w14:paraId="0D954272" w14:textId="77777777" w:rsidR="00890FA4" w:rsidRDefault="00890FA4" w:rsidP="00890FA4">
      <w:pPr>
        <w:contextualSpacing/>
      </w:pPr>
    </w:p>
    <w:p w14:paraId="3E0408E8" w14:textId="77777777" w:rsidR="00890FA4" w:rsidRDefault="00890FA4">
      <w:pPr>
        <w:rPr>
          <w:b/>
        </w:rPr>
      </w:pPr>
      <w:r>
        <w:rPr>
          <w:b/>
        </w:rPr>
        <w:br w:type="page"/>
      </w:r>
    </w:p>
    <w:p w14:paraId="3BD68BBE" w14:textId="5EE39B47" w:rsidR="00890FA4" w:rsidRPr="007F11D4" w:rsidRDefault="00890FA4" w:rsidP="00890FA4">
      <w:pPr>
        <w:contextualSpacing/>
        <w:rPr>
          <w:b/>
        </w:rPr>
      </w:pPr>
      <w:r w:rsidRPr="007F11D4">
        <w:rPr>
          <w:b/>
        </w:rPr>
        <w:lastRenderedPageBreak/>
        <w:t xml:space="preserve">Table </w:t>
      </w:r>
      <w:r>
        <w:rPr>
          <w:b/>
        </w:rPr>
        <w:t>A3</w:t>
      </w:r>
    </w:p>
    <w:p w14:paraId="30BBC6B3" w14:textId="77777777" w:rsidR="00890FA4" w:rsidRDefault="00890FA4" w:rsidP="00890FA4">
      <w:pPr>
        <w:contextualSpacing/>
      </w:pPr>
      <w:r>
        <w:t xml:space="preserve">Two-stage least squares regressions based on loan-level observations of first-lien, conventional, amortizing (non-balloon, non-interest only), fixed-rate mortgages for purchases of single-family residences or condominiums in Maryland and Virginia originated by nonbank originators between 2000 and 2015.  The sample is restricted to only mortgages originated by lenders that originated at least one mortgage before the policy change and at least one mortgage after the policy change.  </w:t>
      </w:r>
      <w:r w:rsidRPr="006A5966">
        <w:rPr>
          <w:i/>
        </w:rPr>
        <w:t>InitialRate</w:t>
      </w:r>
      <w:r>
        <w:t xml:space="preserve"> is the mortgage interest rate at origination.  </w:t>
      </w:r>
      <w:r w:rsidRPr="006A5966">
        <w:rPr>
          <w:i/>
        </w:rPr>
        <w:t>LTV</w:t>
      </w:r>
      <w:r>
        <w:t xml:space="preserve"> is the mortgage loan-to-value ratio at origination.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Pr="00EB01F8">
        <w:rPr>
          <w:i/>
        </w:rPr>
        <w:t>FICO</w:t>
      </w:r>
      <w:r>
        <w:t xml:space="preserve"> is the borrower’s FICO score at origination.  </w:t>
      </w:r>
      <w:r w:rsidRPr="006879D3">
        <w:rPr>
          <w:i/>
        </w:rPr>
        <w:t>RelLoanSize</w:t>
      </w:r>
      <w:r>
        <w:t xml:space="preserve"> is the loan amount at origination divided by the average loan amount for originations in the same vintage year and county.  </w:t>
      </w:r>
      <w:r w:rsidRPr="005339F7">
        <w:rPr>
          <w:i/>
        </w:rPr>
        <w:t>OwnerOcc</w:t>
      </w:r>
      <w:r>
        <w:t xml:space="preserve"> equals 1 if the mortgage is associated with an owner-occupied property, 0 otherwise.  </w:t>
      </w:r>
      <w:r>
        <w:rPr>
          <w:i/>
        </w:rPr>
        <w:t>Term30</w:t>
      </w:r>
      <w:r w:rsidRPr="007C5226">
        <w:t xml:space="preserve"> equals 1 if the mortgage has a thirty-year maturity and equals 0 if the mortgage has a fifteen-year maturity</w:t>
      </w:r>
      <w:r w:rsidRPr="00B40C92">
        <w:t xml:space="preserve">.  </w:t>
      </w:r>
      <w:r w:rsidRPr="005339F7">
        <w:rPr>
          <w:i/>
        </w:rPr>
        <w:t>Prime</w:t>
      </w:r>
      <w:r>
        <w:t xml:space="preserve"> is the monthly average bank prime lending rate at the time of origination from the Federal Reserve.  </w:t>
      </w:r>
      <w:r w:rsidRPr="00407E6D">
        <w:rPr>
          <w:i/>
        </w:rPr>
        <w:t>CensusAge15-34</w:t>
      </w:r>
      <w:r>
        <w:t xml:space="preserve"> is the percentage of residents in the borrower’s census tract between the ages of 15 and 34 years old.  </w:t>
      </w:r>
      <w:r w:rsidRPr="00407E6D">
        <w:rPr>
          <w:i/>
        </w:rPr>
        <w:t>Census</w:t>
      </w:r>
      <w:r w:rsidRPr="00562A33">
        <w:rPr>
          <w:i/>
        </w:rPr>
        <w:t>Age35-54</w:t>
      </w:r>
      <w:r>
        <w:t xml:space="preserve">, </w:t>
      </w:r>
      <w:r w:rsidRPr="00407E6D">
        <w:rPr>
          <w:i/>
        </w:rPr>
        <w:t>Census</w:t>
      </w:r>
      <w:r w:rsidRPr="00562A33">
        <w:rPr>
          <w:i/>
        </w:rPr>
        <w:t>Age55-69</w:t>
      </w:r>
      <w:r>
        <w:t xml:space="preserve">, and </w:t>
      </w:r>
      <w:r w:rsidRPr="00407E6D">
        <w:rPr>
          <w:i/>
        </w:rPr>
        <w:t>Census</w:t>
      </w:r>
      <w:r w:rsidRPr="00562A33">
        <w:rPr>
          <w:i/>
        </w:rPr>
        <w:t>Age70plus</w:t>
      </w:r>
      <w:r>
        <w:t xml:space="preserve"> are defined similarly for other age ranges.  </w:t>
      </w:r>
      <w:r w:rsidRPr="007C5226">
        <w:rPr>
          <w:i/>
        </w:rPr>
        <w:t>Value$1-$2</w:t>
      </w:r>
      <w:r>
        <w:t xml:space="preserve"> is the percentage of owner-occupied residences in the borrower’s census tract valued between $100,000 and $200,000.  </w:t>
      </w:r>
      <w:r w:rsidRPr="00562A33">
        <w:rPr>
          <w:i/>
        </w:rPr>
        <w:t>Value$2-$3</w:t>
      </w:r>
      <w:r>
        <w:t xml:space="preserve">, </w:t>
      </w:r>
      <w:r w:rsidRPr="00562A33">
        <w:rPr>
          <w:i/>
        </w:rPr>
        <w:t>Value$3-$5</w:t>
      </w:r>
      <w:r>
        <w:t xml:space="preserve">, and </w:t>
      </w:r>
      <w:r w:rsidRPr="00562A33">
        <w:rPr>
          <w:i/>
        </w:rPr>
        <w:t>Value$5plus</w:t>
      </w:r>
      <w:r>
        <w:t xml:space="preserve"> are defined similarly for other price ranges.  Vintage year indicators and a constant term are included in each specification.  Standard errors appear in parentheses</w:t>
      </w:r>
      <w:r w:rsidRPr="00957138">
        <w:t xml:space="preserve">.  </w:t>
      </w:r>
      <w:r>
        <w:t>Levels of significance are indicated by *, **, and *** for 10%, 5%, and 1%, respectively.</w:t>
      </w:r>
    </w:p>
    <w:p w14:paraId="2EC2903A" w14:textId="77777777" w:rsidR="00890FA4" w:rsidRDefault="00890FA4" w:rsidP="00890FA4">
      <w:pPr>
        <w:contextualSpacing/>
      </w:pPr>
    </w:p>
    <w:tbl>
      <w:tblPr>
        <w:tblW w:w="9720" w:type="dxa"/>
        <w:jc w:val="center"/>
        <w:tblLook w:val="04A0" w:firstRow="1" w:lastRow="0" w:firstColumn="1" w:lastColumn="0" w:noHBand="0" w:noVBand="1"/>
      </w:tblPr>
      <w:tblGrid>
        <w:gridCol w:w="1624"/>
        <w:gridCol w:w="262"/>
        <w:gridCol w:w="1288"/>
        <w:gridCol w:w="1260"/>
        <w:gridCol w:w="1260"/>
        <w:gridCol w:w="262"/>
        <w:gridCol w:w="1268"/>
        <w:gridCol w:w="1260"/>
        <w:gridCol w:w="1260"/>
      </w:tblGrid>
      <w:tr w:rsidR="00890FA4" w:rsidRPr="00351E73" w14:paraId="640EB796" w14:textId="77777777" w:rsidTr="00890FA4">
        <w:trPr>
          <w:trHeight w:val="255"/>
          <w:jc w:val="center"/>
        </w:trPr>
        <w:tc>
          <w:tcPr>
            <w:tcW w:w="1600" w:type="dxa"/>
            <w:tcBorders>
              <w:top w:val="single" w:sz="4" w:space="0" w:color="auto"/>
              <w:left w:val="nil"/>
              <w:bottom w:val="nil"/>
              <w:right w:val="nil"/>
            </w:tcBorders>
            <w:shd w:val="clear" w:color="auto" w:fill="auto"/>
            <w:noWrap/>
            <w:vAlign w:val="bottom"/>
            <w:hideMark/>
          </w:tcPr>
          <w:p w14:paraId="7923DAAE"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262" w:type="dxa"/>
            <w:tcBorders>
              <w:top w:val="single" w:sz="4" w:space="0" w:color="auto"/>
              <w:left w:val="nil"/>
              <w:bottom w:val="nil"/>
              <w:right w:val="nil"/>
            </w:tcBorders>
            <w:shd w:val="clear" w:color="auto" w:fill="auto"/>
            <w:noWrap/>
            <w:vAlign w:val="bottom"/>
            <w:hideMark/>
          </w:tcPr>
          <w:p w14:paraId="6F894EB4"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3808" w:type="dxa"/>
            <w:gridSpan w:val="3"/>
            <w:tcBorders>
              <w:top w:val="single" w:sz="4" w:space="0" w:color="auto"/>
              <w:left w:val="nil"/>
              <w:right w:val="nil"/>
            </w:tcBorders>
            <w:shd w:val="clear" w:color="auto" w:fill="auto"/>
            <w:noWrap/>
            <w:vAlign w:val="bottom"/>
            <w:hideMark/>
          </w:tcPr>
          <w:p w14:paraId="019D3539" w14:textId="77777777" w:rsidR="00890FA4" w:rsidRPr="00351E73" w:rsidRDefault="00890FA4" w:rsidP="00931F65">
            <w:pPr>
              <w:spacing w:after="0" w:line="240" w:lineRule="auto"/>
              <w:jc w:val="center"/>
              <w:rPr>
                <w:rFonts w:ascii="Calibri" w:eastAsia="Times New Roman" w:hAnsi="Calibri" w:cs="Calibri"/>
              </w:rPr>
            </w:pPr>
            <w:r w:rsidRPr="00351E73">
              <w:rPr>
                <w:rFonts w:ascii="Calibri" w:eastAsia="Times New Roman" w:hAnsi="Calibri" w:cs="Calibri"/>
              </w:rPr>
              <w:t xml:space="preserve">Dependent variable: </w:t>
            </w:r>
            <w:r w:rsidRPr="004961A2">
              <w:rPr>
                <w:rFonts w:ascii="Calibri" w:eastAsia="Times New Roman" w:hAnsi="Calibri" w:cs="Calibri"/>
                <w:i/>
              </w:rPr>
              <w:t>InitialRate</w:t>
            </w:r>
          </w:p>
        </w:tc>
        <w:tc>
          <w:tcPr>
            <w:tcW w:w="262" w:type="dxa"/>
            <w:tcBorders>
              <w:top w:val="single" w:sz="4" w:space="0" w:color="auto"/>
              <w:left w:val="nil"/>
              <w:bottom w:val="nil"/>
              <w:right w:val="nil"/>
            </w:tcBorders>
            <w:shd w:val="clear" w:color="auto" w:fill="auto"/>
            <w:noWrap/>
            <w:vAlign w:val="bottom"/>
            <w:hideMark/>
          </w:tcPr>
          <w:p w14:paraId="070F797E"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3788" w:type="dxa"/>
            <w:gridSpan w:val="3"/>
            <w:tcBorders>
              <w:top w:val="single" w:sz="4" w:space="0" w:color="auto"/>
              <w:left w:val="nil"/>
              <w:right w:val="nil"/>
            </w:tcBorders>
            <w:shd w:val="clear" w:color="auto" w:fill="auto"/>
            <w:noWrap/>
            <w:vAlign w:val="bottom"/>
            <w:hideMark/>
          </w:tcPr>
          <w:p w14:paraId="77B48993" w14:textId="77777777" w:rsidR="00890FA4" w:rsidRPr="00351E73" w:rsidRDefault="00890FA4" w:rsidP="00931F65">
            <w:pPr>
              <w:spacing w:after="0" w:line="240" w:lineRule="auto"/>
              <w:jc w:val="center"/>
              <w:rPr>
                <w:rFonts w:ascii="Calibri" w:eastAsia="Times New Roman" w:hAnsi="Calibri" w:cs="Calibri"/>
              </w:rPr>
            </w:pPr>
            <w:r w:rsidRPr="00351E73">
              <w:rPr>
                <w:rFonts w:ascii="Calibri" w:eastAsia="Times New Roman" w:hAnsi="Calibri" w:cs="Calibri"/>
              </w:rPr>
              <w:t xml:space="preserve">Dependent variable: </w:t>
            </w:r>
            <w:r w:rsidRPr="004961A2">
              <w:rPr>
                <w:rFonts w:ascii="Calibri" w:eastAsia="Times New Roman" w:hAnsi="Calibri" w:cs="Calibri"/>
                <w:i/>
              </w:rPr>
              <w:t>LTV</w:t>
            </w:r>
          </w:p>
        </w:tc>
      </w:tr>
      <w:tr w:rsidR="00890FA4" w:rsidRPr="00351E73" w14:paraId="3E00C3A5" w14:textId="77777777" w:rsidTr="00890FA4">
        <w:trPr>
          <w:trHeight w:val="255"/>
          <w:jc w:val="center"/>
        </w:trPr>
        <w:tc>
          <w:tcPr>
            <w:tcW w:w="1600" w:type="dxa"/>
            <w:tcBorders>
              <w:top w:val="nil"/>
              <w:left w:val="nil"/>
              <w:bottom w:val="single" w:sz="4" w:space="0" w:color="auto"/>
              <w:right w:val="nil"/>
            </w:tcBorders>
            <w:shd w:val="clear" w:color="auto" w:fill="auto"/>
            <w:noWrap/>
            <w:vAlign w:val="bottom"/>
            <w:hideMark/>
          </w:tcPr>
          <w:p w14:paraId="23A5DC5F"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hideMark/>
          </w:tcPr>
          <w:p w14:paraId="2D03EB0D"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single" w:sz="4" w:space="0" w:color="auto"/>
              <w:right w:val="nil"/>
            </w:tcBorders>
            <w:shd w:val="clear" w:color="auto" w:fill="auto"/>
            <w:noWrap/>
            <w:vAlign w:val="bottom"/>
            <w:hideMark/>
          </w:tcPr>
          <w:p w14:paraId="0A5D1097"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(1)</w:t>
            </w:r>
          </w:p>
        </w:tc>
        <w:tc>
          <w:tcPr>
            <w:tcW w:w="1260" w:type="dxa"/>
            <w:tcBorders>
              <w:top w:val="nil"/>
              <w:left w:val="nil"/>
              <w:bottom w:val="single" w:sz="4" w:space="0" w:color="auto"/>
              <w:right w:val="nil"/>
            </w:tcBorders>
            <w:shd w:val="clear" w:color="auto" w:fill="auto"/>
            <w:noWrap/>
            <w:vAlign w:val="center"/>
            <w:hideMark/>
          </w:tcPr>
          <w:p w14:paraId="2F52338B"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w:t>
            </w:r>
          </w:p>
        </w:tc>
        <w:tc>
          <w:tcPr>
            <w:tcW w:w="1260" w:type="dxa"/>
            <w:tcBorders>
              <w:top w:val="nil"/>
              <w:left w:val="nil"/>
              <w:bottom w:val="single" w:sz="4" w:space="0" w:color="auto"/>
              <w:right w:val="nil"/>
            </w:tcBorders>
            <w:shd w:val="clear" w:color="auto" w:fill="auto"/>
            <w:noWrap/>
            <w:vAlign w:val="center"/>
            <w:hideMark/>
          </w:tcPr>
          <w:p w14:paraId="7F90284B"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(3)</w:t>
            </w:r>
          </w:p>
        </w:tc>
        <w:tc>
          <w:tcPr>
            <w:tcW w:w="262" w:type="dxa"/>
            <w:tcBorders>
              <w:top w:val="nil"/>
              <w:left w:val="nil"/>
              <w:bottom w:val="nil"/>
              <w:right w:val="nil"/>
            </w:tcBorders>
            <w:shd w:val="clear" w:color="auto" w:fill="auto"/>
            <w:noWrap/>
            <w:vAlign w:val="center"/>
            <w:hideMark/>
          </w:tcPr>
          <w:p w14:paraId="5866CC6A"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1268" w:type="dxa"/>
            <w:tcBorders>
              <w:top w:val="nil"/>
              <w:left w:val="nil"/>
              <w:bottom w:val="single" w:sz="4" w:space="0" w:color="auto"/>
              <w:right w:val="nil"/>
            </w:tcBorders>
            <w:shd w:val="clear" w:color="auto" w:fill="auto"/>
            <w:noWrap/>
            <w:vAlign w:val="center"/>
            <w:hideMark/>
          </w:tcPr>
          <w:p w14:paraId="7ABCF26B"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(4)</w:t>
            </w:r>
          </w:p>
        </w:tc>
        <w:tc>
          <w:tcPr>
            <w:tcW w:w="1260" w:type="dxa"/>
            <w:tcBorders>
              <w:top w:val="nil"/>
              <w:left w:val="nil"/>
              <w:bottom w:val="single" w:sz="4" w:space="0" w:color="auto"/>
              <w:right w:val="nil"/>
            </w:tcBorders>
            <w:shd w:val="clear" w:color="auto" w:fill="auto"/>
            <w:noWrap/>
            <w:vAlign w:val="center"/>
            <w:hideMark/>
          </w:tcPr>
          <w:p w14:paraId="3DACF300"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(5)</w:t>
            </w:r>
          </w:p>
        </w:tc>
        <w:tc>
          <w:tcPr>
            <w:tcW w:w="1260" w:type="dxa"/>
            <w:tcBorders>
              <w:top w:val="nil"/>
              <w:left w:val="nil"/>
              <w:bottom w:val="single" w:sz="4" w:space="0" w:color="auto"/>
              <w:right w:val="nil"/>
            </w:tcBorders>
            <w:shd w:val="clear" w:color="auto" w:fill="auto"/>
            <w:noWrap/>
            <w:vAlign w:val="center"/>
            <w:hideMark/>
          </w:tcPr>
          <w:p w14:paraId="2EF311DB"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(6)</w:t>
            </w:r>
          </w:p>
        </w:tc>
      </w:tr>
      <w:tr w:rsidR="00890FA4" w:rsidRPr="00351E73" w14:paraId="02ABF9DE" w14:textId="77777777" w:rsidTr="00890FA4">
        <w:trPr>
          <w:trHeight w:val="255"/>
          <w:jc w:val="center"/>
        </w:trPr>
        <w:tc>
          <w:tcPr>
            <w:tcW w:w="1600" w:type="dxa"/>
            <w:tcBorders>
              <w:top w:val="single" w:sz="4" w:space="0" w:color="auto"/>
              <w:left w:val="nil"/>
              <w:bottom w:val="nil"/>
              <w:right w:val="nil"/>
            </w:tcBorders>
            <w:shd w:val="clear" w:color="auto" w:fill="auto"/>
            <w:noWrap/>
            <w:vAlign w:val="bottom"/>
            <w:hideMark/>
          </w:tcPr>
          <w:p w14:paraId="3E5E568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262" w:type="dxa"/>
            <w:tcBorders>
              <w:top w:val="nil"/>
              <w:left w:val="nil"/>
              <w:bottom w:val="nil"/>
              <w:right w:val="nil"/>
            </w:tcBorders>
            <w:shd w:val="clear" w:color="auto" w:fill="auto"/>
            <w:noWrap/>
            <w:vAlign w:val="bottom"/>
            <w:hideMark/>
          </w:tcPr>
          <w:p w14:paraId="442B2F3F"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single" w:sz="4" w:space="0" w:color="auto"/>
              <w:left w:val="nil"/>
              <w:bottom w:val="nil"/>
              <w:right w:val="nil"/>
            </w:tcBorders>
            <w:shd w:val="clear" w:color="auto" w:fill="auto"/>
            <w:noWrap/>
            <w:vAlign w:val="bottom"/>
          </w:tcPr>
          <w:p w14:paraId="47C05D6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single" w:sz="4" w:space="0" w:color="auto"/>
              <w:left w:val="nil"/>
              <w:bottom w:val="nil"/>
              <w:right w:val="nil"/>
            </w:tcBorders>
            <w:shd w:val="clear" w:color="auto" w:fill="auto"/>
            <w:noWrap/>
            <w:vAlign w:val="bottom"/>
          </w:tcPr>
          <w:p w14:paraId="39CCFAC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-.00265</w:t>
            </w:r>
          </w:p>
        </w:tc>
        <w:tc>
          <w:tcPr>
            <w:tcW w:w="1260" w:type="dxa"/>
            <w:tcBorders>
              <w:top w:val="single" w:sz="4" w:space="0" w:color="auto"/>
              <w:left w:val="nil"/>
              <w:bottom w:val="nil"/>
              <w:right w:val="nil"/>
            </w:tcBorders>
            <w:shd w:val="clear" w:color="auto" w:fill="auto"/>
            <w:noWrap/>
            <w:vAlign w:val="bottom"/>
          </w:tcPr>
          <w:p w14:paraId="07BCCE5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-.00155</w:t>
            </w:r>
          </w:p>
        </w:tc>
        <w:tc>
          <w:tcPr>
            <w:tcW w:w="262" w:type="dxa"/>
            <w:tcBorders>
              <w:top w:val="nil"/>
              <w:left w:val="nil"/>
              <w:bottom w:val="nil"/>
              <w:right w:val="nil"/>
            </w:tcBorders>
            <w:shd w:val="clear" w:color="auto" w:fill="auto"/>
            <w:noWrap/>
            <w:vAlign w:val="bottom"/>
          </w:tcPr>
          <w:p w14:paraId="71451F6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03D34C1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5C1A46A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-1.566***</w:t>
            </w:r>
          </w:p>
        </w:tc>
        <w:tc>
          <w:tcPr>
            <w:tcW w:w="1260" w:type="dxa"/>
            <w:tcBorders>
              <w:top w:val="nil"/>
              <w:left w:val="nil"/>
              <w:bottom w:val="nil"/>
              <w:right w:val="nil"/>
            </w:tcBorders>
            <w:shd w:val="clear" w:color="auto" w:fill="auto"/>
            <w:noWrap/>
            <w:vAlign w:val="bottom"/>
          </w:tcPr>
          <w:p w14:paraId="77152EA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-1.361***</w:t>
            </w:r>
          </w:p>
        </w:tc>
      </w:tr>
      <w:tr w:rsidR="00890FA4" w:rsidRPr="00351E73" w14:paraId="56FCEE5F"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A9D5F7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22650DD7"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19D0A9E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7512D09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(.00342)</w:t>
            </w:r>
          </w:p>
        </w:tc>
        <w:tc>
          <w:tcPr>
            <w:tcW w:w="1260" w:type="dxa"/>
            <w:tcBorders>
              <w:top w:val="nil"/>
              <w:left w:val="nil"/>
              <w:bottom w:val="nil"/>
              <w:right w:val="nil"/>
            </w:tcBorders>
            <w:shd w:val="clear" w:color="auto" w:fill="auto"/>
            <w:noWrap/>
            <w:vAlign w:val="bottom"/>
          </w:tcPr>
          <w:p w14:paraId="6DDA251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(.00424)</w:t>
            </w:r>
          </w:p>
        </w:tc>
        <w:tc>
          <w:tcPr>
            <w:tcW w:w="262" w:type="dxa"/>
            <w:tcBorders>
              <w:top w:val="nil"/>
              <w:left w:val="nil"/>
              <w:bottom w:val="nil"/>
              <w:right w:val="nil"/>
            </w:tcBorders>
            <w:shd w:val="clear" w:color="auto" w:fill="auto"/>
            <w:noWrap/>
            <w:vAlign w:val="bottom"/>
          </w:tcPr>
          <w:p w14:paraId="64CE18E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519E5A9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43072D2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055CDFA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4D966B0C"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40519125"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262" w:type="dxa"/>
            <w:tcBorders>
              <w:top w:val="nil"/>
              <w:left w:val="nil"/>
              <w:bottom w:val="nil"/>
              <w:right w:val="nil"/>
            </w:tcBorders>
            <w:shd w:val="clear" w:color="auto" w:fill="auto"/>
            <w:noWrap/>
            <w:vAlign w:val="bottom"/>
            <w:hideMark/>
          </w:tcPr>
          <w:p w14:paraId="143A2218"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153AAA8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06AD565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.0459***</w:t>
            </w:r>
          </w:p>
        </w:tc>
        <w:tc>
          <w:tcPr>
            <w:tcW w:w="1260" w:type="dxa"/>
            <w:tcBorders>
              <w:top w:val="nil"/>
              <w:left w:val="nil"/>
              <w:bottom w:val="nil"/>
              <w:right w:val="nil"/>
            </w:tcBorders>
            <w:shd w:val="clear" w:color="auto" w:fill="auto"/>
            <w:noWrap/>
            <w:vAlign w:val="bottom"/>
          </w:tcPr>
          <w:p w14:paraId="42D5F1C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.0468***</w:t>
            </w:r>
          </w:p>
        </w:tc>
        <w:tc>
          <w:tcPr>
            <w:tcW w:w="262" w:type="dxa"/>
            <w:tcBorders>
              <w:top w:val="nil"/>
              <w:left w:val="nil"/>
              <w:bottom w:val="nil"/>
              <w:right w:val="nil"/>
            </w:tcBorders>
            <w:shd w:val="clear" w:color="auto" w:fill="auto"/>
            <w:noWrap/>
            <w:vAlign w:val="bottom"/>
          </w:tcPr>
          <w:p w14:paraId="24A9B65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1DC4E6E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25DBB1D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-1.299**</w:t>
            </w:r>
          </w:p>
        </w:tc>
        <w:tc>
          <w:tcPr>
            <w:tcW w:w="1260" w:type="dxa"/>
            <w:tcBorders>
              <w:top w:val="nil"/>
              <w:left w:val="nil"/>
              <w:bottom w:val="nil"/>
              <w:right w:val="nil"/>
            </w:tcBorders>
            <w:shd w:val="clear" w:color="auto" w:fill="auto"/>
            <w:noWrap/>
            <w:vAlign w:val="bottom"/>
          </w:tcPr>
          <w:p w14:paraId="78436C1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-1.125**</w:t>
            </w:r>
          </w:p>
        </w:tc>
      </w:tr>
      <w:tr w:rsidR="00890FA4" w:rsidRPr="00351E73" w14:paraId="6509F6E7"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E958A4C"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69E73E67"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6751E97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4C76FB6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(.0146)</w:t>
            </w:r>
          </w:p>
        </w:tc>
        <w:tc>
          <w:tcPr>
            <w:tcW w:w="1260" w:type="dxa"/>
            <w:tcBorders>
              <w:top w:val="nil"/>
              <w:left w:val="nil"/>
              <w:bottom w:val="nil"/>
              <w:right w:val="nil"/>
            </w:tcBorders>
            <w:shd w:val="clear" w:color="auto" w:fill="auto"/>
            <w:noWrap/>
            <w:vAlign w:val="bottom"/>
          </w:tcPr>
          <w:p w14:paraId="0B96C76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(.0148)</w:t>
            </w:r>
          </w:p>
        </w:tc>
        <w:tc>
          <w:tcPr>
            <w:tcW w:w="262" w:type="dxa"/>
            <w:tcBorders>
              <w:top w:val="nil"/>
              <w:left w:val="nil"/>
              <w:bottom w:val="nil"/>
              <w:right w:val="nil"/>
            </w:tcBorders>
            <w:shd w:val="clear" w:color="auto" w:fill="auto"/>
            <w:noWrap/>
            <w:vAlign w:val="bottom"/>
          </w:tcPr>
          <w:p w14:paraId="326D7ED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2DA884B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34F8C65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(.55</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46DE9BC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(.556)</w:t>
            </w:r>
          </w:p>
        </w:tc>
      </w:tr>
      <w:tr w:rsidR="00890FA4" w:rsidRPr="00351E73" w14:paraId="551B1373"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4A51FA2C"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262" w:type="dxa"/>
            <w:tcBorders>
              <w:top w:val="nil"/>
              <w:left w:val="nil"/>
              <w:bottom w:val="nil"/>
              <w:right w:val="nil"/>
            </w:tcBorders>
            <w:shd w:val="clear" w:color="auto" w:fill="auto"/>
            <w:noWrap/>
            <w:vAlign w:val="bottom"/>
            <w:hideMark/>
          </w:tcPr>
          <w:p w14:paraId="45F7464C"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3A50A30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428C3AEF"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18BDBD6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-.00308</w:t>
            </w:r>
          </w:p>
        </w:tc>
        <w:tc>
          <w:tcPr>
            <w:tcW w:w="262" w:type="dxa"/>
            <w:tcBorders>
              <w:top w:val="nil"/>
              <w:left w:val="nil"/>
              <w:bottom w:val="nil"/>
              <w:right w:val="nil"/>
            </w:tcBorders>
            <w:shd w:val="clear" w:color="auto" w:fill="auto"/>
            <w:noWrap/>
            <w:vAlign w:val="bottom"/>
          </w:tcPr>
          <w:p w14:paraId="4218562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3AAD534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265FDCF3"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46AC252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-.577**</w:t>
            </w:r>
          </w:p>
        </w:tc>
      </w:tr>
      <w:tr w:rsidR="00890FA4" w:rsidRPr="00351E73" w14:paraId="28820186"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0AC61665"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6C55DE94"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3548D55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462C6083"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2F7F647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(.00708)</w:t>
            </w:r>
          </w:p>
        </w:tc>
        <w:tc>
          <w:tcPr>
            <w:tcW w:w="262" w:type="dxa"/>
            <w:tcBorders>
              <w:top w:val="nil"/>
              <w:left w:val="nil"/>
              <w:bottom w:val="nil"/>
              <w:right w:val="nil"/>
            </w:tcBorders>
            <w:shd w:val="clear" w:color="auto" w:fill="auto"/>
            <w:noWrap/>
            <w:vAlign w:val="bottom"/>
          </w:tcPr>
          <w:p w14:paraId="453F2CF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23AD990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55D3DD48"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3BDD012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(.266)</w:t>
            </w:r>
          </w:p>
        </w:tc>
      </w:tr>
      <w:tr w:rsidR="00890FA4" w:rsidRPr="00351E73" w14:paraId="4291724A"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E8128A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LTV</w:t>
            </w:r>
          </w:p>
        </w:tc>
        <w:tc>
          <w:tcPr>
            <w:tcW w:w="262" w:type="dxa"/>
            <w:tcBorders>
              <w:top w:val="nil"/>
              <w:left w:val="nil"/>
              <w:bottom w:val="nil"/>
              <w:right w:val="nil"/>
            </w:tcBorders>
            <w:shd w:val="clear" w:color="auto" w:fill="auto"/>
            <w:noWrap/>
            <w:vAlign w:val="bottom"/>
            <w:hideMark/>
          </w:tcPr>
          <w:p w14:paraId="5C025B20"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616EB22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.0133***</w:t>
            </w:r>
          </w:p>
        </w:tc>
        <w:tc>
          <w:tcPr>
            <w:tcW w:w="1260" w:type="dxa"/>
            <w:tcBorders>
              <w:top w:val="nil"/>
              <w:left w:val="nil"/>
              <w:bottom w:val="nil"/>
              <w:right w:val="nil"/>
            </w:tcBorders>
            <w:shd w:val="clear" w:color="auto" w:fill="auto"/>
            <w:noWrap/>
            <w:vAlign w:val="bottom"/>
          </w:tcPr>
          <w:p w14:paraId="6EB4EEE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.0133***</w:t>
            </w:r>
          </w:p>
        </w:tc>
        <w:tc>
          <w:tcPr>
            <w:tcW w:w="1260" w:type="dxa"/>
            <w:tcBorders>
              <w:top w:val="nil"/>
              <w:left w:val="nil"/>
              <w:bottom w:val="nil"/>
              <w:right w:val="nil"/>
            </w:tcBorders>
            <w:shd w:val="clear" w:color="auto" w:fill="auto"/>
            <w:noWrap/>
            <w:vAlign w:val="bottom"/>
          </w:tcPr>
          <w:p w14:paraId="2E3E46B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.0133***</w:t>
            </w:r>
          </w:p>
        </w:tc>
        <w:tc>
          <w:tcPr>
            <w:tcW w:w="262" w:type="dxa"/>
            <w:tcBorders>
              <w:top w:val="nil"/>
              <w:left w:val="nil"/>
              <w:bottom w:val="nil"/>
              <w:right w:val="nil"/>
            </w:tcBorders>
            <w:shd w:val="clear" w:color="auto" w:fill="auto"/>
            <w:noWrap/>
            <w:vAlign w:val="bottom"/>
          </w:tcPr>
          <w:p w14:paraId="262B03C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5B3D302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556D24DA"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572BB37C" w14:textId="77777777" w:rsidR="00890FA4" w:rsidRPr="00C72371" w:rsidRDefault="00890FA4" w:rsidP="00931F65">
            <w:pPr>
              <w:spacing w:after="0" w:line="240" w:lineRule="auto"/>
              <w:jc w:val="center"/>
              <w:rPr>
                <w:rFonts w:ascii="Times New Roman" w:eastAsia="Times New Roman" w:hAnsi="Times New Roman" w:cs="Times New Roman"/>
                <w:sz w:val="20"/>
                <w:szCs w:val="20"/>
              </w:rPr>
            </w:pPr>
          </w:p>
        </w:tc>
      </w:tr>
      <w:tr w:rsidR="00890FA4" w:rsidRPr="00351E73" w14:paraId="3462CDC2"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60DA5D58"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343BD85A"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76E7D74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(.000396)</w:t>
            </w:r>
          </w:p>
        </w:tc>
        <w:tc>
          <w:tcPr>
            <w:tcW w:w="1260" w:type="dxa"/>
            <w:tcBorders>
              <w:top w:val="nil"/>
              <w:left w:val="nil"/>
              <w:bottom w:val="nil"/>
              <w:right w:val="nil"/>
            </w:tcBorders>
            <w:shd w:val="clear" w:color="auto" w:fill="auto"/>
            <w:noWrap/>
            <w:vAlign w:val="bottom"/>
          </w:tcPr>
          <w:p w14:paraId="373B805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(.000395)</w:t>
            </w:r>
          </w:p>
        </w:tc>
        <w:tc>
          <w:tcPr>
            <w:tcW w:w="1260" w:type="dxa"/>
            <w:tcBorders>
              <w:top w:val="nil"/>
              <w:left w:val="nil"/>
              <w:bottom w:val="nil"/>
              <w:right w:val="nil"/>
            </w:tcBorders>
            <w:shd w:val="clear" w:color="auto" w:fill="auto"/>
            <w:noWrap/>
            <w:vAlign w:val="bottom"/>
          </w:tcPr>
          <w:p w14:paraId="00B640B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(.000395)</w:t>
            </w:r>
          </w:p>
        </w:tc>
        <w:tc>
          <w:tcPr>
            <w:tcW w:w="262" w:type="dxa"/>
            <w:tcBorders>
              <w:top w:val="nil"/>
              <w:left w:val="nil"/>
              <w:bottom w:val="nil"/>
              <w:right w:val="nil"/>
            </w:tcBorders>
            <w:shd w:val="clear" w:color="auto" w:fill="auto"/>
            <w:noWrap/>
            <w:vAlign w:val="bottom"/>
          </w:tcPr>
          <w:p w14:paraId="6ADDD3D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5B15E39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71C9B5B4"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624CB905" w14:textId="77777777" w:rsidR="00890FA4" w:rsidRPr="00C72371" w:rsidRDefault="00890FA4" w:rsidP="00931F65">
            <w:pPr>
              <w:spacing w:after="0" w:line="240" w:lineRule="auto"/>
              <w:jc w:val="center"/>
              <w:rPr>
                <w:rFonts w:ascii="Times New Roman" w:eastAsia="Times New Roman" w:hAnsi="Times New Roman" w:cs="Times New Roman"/>
                <w:sz w:val="20"/>
                <w:szCs w:val="20"/>
              </w:rPr>
            </w:pPr>
          </w:p>
        </w:tc>
      </w:tr>
      <w:tr w:rsidR="00890FA4" w:rsidRPr="00351E73" w14:paraId="18AB59AC"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4D7C564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InitialRate</w:t>
            </w:r>
          </w:p>
        </w:tc>
        <w:tc>
          <w:tcPr>
            <w:tcW w:w="262" w:type="dxa"/>
            <w:tcBorders>
              <w:top w:val="nil"/>
              <w:left w:val="nil"/>
              <w:bottom w:val="nil"/>
              <w:right w:val="nil"/>
            </w:tcBorders>
            <w:shd w:val="clear" w:color="auto" w:fill="auto"/>
            <w:noWrap/>
            <w:vAlign w:val="bottom"/>
            <w:hideMark/>
          </w:tcPr>
          <w:p w14:paraId="3605E018"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1A72C27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3F9A856D"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25FD83A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09B0B4C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5B14DE1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-5.598***</w:t>
            </w:r>
          </w:p>
        </w:tc>
        <w:tc>
          <w:tcPr>
            <w:tcW w:w="1260" w:type="dxa"/>
            <w:tcBorders>
              <w:top w:val="nil"/>
              <w:left w:val="nil"/>
              <w:bottom w:val="nil"/>
              <w:right w:val="nil"/>
            </w:tcBorders>
            <w:shd w:val="clear" w:color="auto" w:fill="auto"/>
            <w:noWrap/>
            <w:vAlign w:val="bottom"/>
          </w:tcPr>
          <w:p w14:paraId="4A99B68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-5.25</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05FB670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-5.294***</w:t>
            </w:r>
          </w:p>
        </w:tc>
      </w:tr>
      <w:tr w:rsidR="00890FA4" w:rsidRPr="00351E73" w14:paraId="3D6D2BB8"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009BD9D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76005249"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0561A42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0DE3EF59"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7C61E81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5312CF5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13A933F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(1.232)</w:t>
            </w:r>
          </w:p>
        </w:tc>
        <w:tc>
          <w:tcPr>
            <w:tcW w:w="1260" w:type="dxa"/>
            <w:tcBorders>
              <w:top w:val="nil"/>
              <w:left w:val="nil"/>
              <w:bottom w:val="nil"/>
              <w:right w:val="nil"/>
            </w:tcBorders>
            <w:shd w:val="clear" w:color="auto" w:fill="auto"/>
            <w:noWrap/>
            <w:vAlign w:val="bottom"/>
          </w:tcPr>
          <w:p w14:paraId="5D3B722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(1.223)</w:t>
            </w:r>
          </w:p>
        </w:tc>
        <w:tc>
          <w:tcPr>
            <w:tcW w:w="1260" w:type="dxa"/>
            <w:tcBorders>
              <w:top w:val="nil"/>
              <w:left w:val="nil"/>
              <w:bottom w:val="nil"/>
              <w:right w:val="nil"/>
            </w:tcBorders>
            <w:shd w:val="clear" w:color="auto" w:fill="auto"/>
            <w:noWrap/>
            <w:vAlign w:val="bottom"/>
          </w:tcPr>
          <w:p w14:paraId="4C964F4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(1.224)</w:t>
            </w:r>
          </w:p>
        </w:tc>
      </w:tr>
      <w:tr w:rsidR="00890FA4" w:rsidRPr="00351E73" w14:paraId="0F7F16DE"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032F728"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262" w:type="dxa"/>
            <w:tcBorders>
              <w:top w:val="nil"/>
              <w:left w:val="nil"/>
              <w:bottom w:val="nil"/>
              <w:right w:val="nil"/>
            </w:tcBorders>
            <w:shd w:val="clear" w:color="auto" w:fill="auto"/>
            <w:noWrap/>
            <w:vAlign w:val="bottom"/>
            <w:hideMark/>
          </w:tcPr>
          <w:p w14:paraId="5E406DAE"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68BC963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-.00128***</w:t>
            </w:r>
          </w:p>
        </w:tc>
        <w:tc>
          <w:tcPr>
            <w:tcW w:w="1260" w:type="dxa"/>
            <w:tcBorders>
              <w:top w:val="nil"/>
              <w:left w:val="nil"/>
              <w:bottom w:val="nil"/>
              <w:right w:val="nil"/>
            </w:tcBorders>
            <w:shd w:val="clear" w:color="auto" w:fill="auto"/>
            <w:noWrap/>
            <w:vAlign w:val="bottom"/>
          </w:tcPr>
          <w:p w14:paraId="25DC567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-.00127***</w:t>
            </w:r>
          </w:p>
        </w:tc>
        <w:tc>
          <w:tcPr>
            <w:tcW w:w="1260" w:type="dxa"/>
            <w:tcBorders>
              <w:top w:val="nil"/>
              <w:left w:val="nil"/>
              <w:bottom w:val="nil"/>
              <w:right w:val="nil"/>
            </w:tcBorders>
            <w:shd w:val="clear" w:color="auto" w:fill="auto"/>
            <w:noWrap/>
            <w:vAlign w:val="bottom"/>
          </w:tcPr>
          <w:p w14:paraId="10EDBE7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-.00127***</w:t>
            </w:r>
          </w:p>
        </w:tc>
        <w:tc>
          <w:tcPr>
            <w:tcW w:w="262" w:type="dxa"/>
            <w:tcBorders>
              <w:top w:val="nil"/>
              <w:left w:val="nil"/>
              <w:bottom w:val="nil"/>
              <w:right w:val="nil"/>
            </w:tcBorders>
            <w:shd w:val="clear" w:color="auto" w:fill="auto"/>
            <w:noWrap/>
            <w:vAlign w:val="bottom"/>
          </w:tcPr>
          <w:p w14:paraId="0BB0ADA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1402B20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-.0755***</w:t>
            </w:r>
          </w:p>
        </w:tc>
        <w:tc>
          <w:tcPr>
            <w:tcW w:w="1260" w:type="dxa"/>
            <w:tcBorders>
              <w:top w:val="nil"/>
              <w:left w:val="nil"/>
              <w:bottom w:val="nil"/>
              <w:right w:val="nil"/>
            </w:tcBorders>
            <w:shd w:val="clear" w:color="auto" w:fill="auto"/>
            <w:noWrap/>
            <w:vAlign w:val="bottom"/>
          </w:tcPr>
          <w:p w14:paraId="46740ED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-.0746***</w:t>
            </w:r>
          </w:p>
        </w:tc>
        <w:tc>
          <w:tcPr>
            <w:tcW w:w="1260" w:type="dxa"/>
            <w:tcBorders>
              <w:top w:val="nil"/>
              <w:left w:val="nil"/>
              <w:bottom w:val="nil"/>
              <w:right w:val="nil"/>
            </w:tcBorders>
            <w:shd w:val="clear" w:color="auto" w:fill="auto"/>
            <w:noWrap/>
            <w:vAlign w:val="bottom"/>
          </w:tcPr>
          <w:p w14:paraId="6D69D0E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-.0746***</w:t>
            </w:r>
          </w:p>
        </w:tc>
      </w:tr>
      <w:tr w:rsidR="00890FA4" w:rsidRPr="00351E73" w14:paraId="3AD8D4BD"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99CEEE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348707B7"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3B3FB67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(.0000446)</w:t>
            </w:r>
          </w:p>
        </w:tc>
        <w:tc>
          <w:tcPr>
            <w:tcW w:w="1260" w:type="dxa"/>
            <w:tcBorders>
              <w:top w:val="nil"/>
              <w:left w:val="nil"/>
              <w:bottom w:val="nil"/>
              <w:right w:val="nil"/>
            </w:tcBorders>
            <w:shd w:val="clear" w:color="auto" w:fill="auto"/>
            <w:noWrap/>
            <w:vAlign w:val="bottom"/>
          </w:tcPr>
          <w:p w14:paraId="1648F6C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(.0000445)</w:t>
            </w:r>
          </w:p>
        </w:tc>
        <w:tc>
          <w:tcPr>
            <w:tcW w:w="1260" w:type="dxa"/>
            <w:tcBorders>
              <w:top w:val="nil"/>
              <w:left w:val="nil"/>
              <w:bottom w:val="nil"/>
              <w:right w:val="nil"/>
            </w:tcBorders>
            <w:shd w:val="clear" w:color="auto" w:fill="auto"/>
            <w:noWrap/>
            <w:vAlign w:val="bottom"/>
          </w:tcPr>
          <w:p w14:paraId="082F5B6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(.0000445)</w:t>
            </w:r>
          </w:p>
        </w:tc>
        <w:tc>
          <w:tcPr>
            <w:tcW w:w="262" w:type="dxa"/>
            <w:tcBorders>
              <w:top w:val="nil"/>
              <w:left w:val="nil"/>
              <w:bottom w:val="nil"/>
              <w:right w:val="nil"/>
            </w:tcBorders>
            <w:shd w:val="clear" w:color="auto" w:fill="auto"/>
            <w:noWrap/>
            <w:vAlign w:val="bottom"/>
          </w:tcPr>
          <w:p w14:paraId="1BD2399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6AF9028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(.00283)</w:t>
            </w:r>
          </w:p>
        </w:tc>
        <w:tc>
          <w:tcPr>
            <w:tcW w:w="1260" w:type="dxa"/>
            <w:tcBorders>
              <w:top w:val="nil"/>
              <w:left w:val="nil"/>
              <w:bottom w:val="nil"/>
              <w:right w:val="nil"/>
            </w:tcBorders>
            <w:shd w:val="clear" w:color="auto" w:fill="auto"/>
            <w:noWrap/>
            <w:vAlign w:val="bottom"/>
          </w:tcPr>
          <w:p w14:paraId="6DE3656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(.00281)</w:t>
            </w:r>
          </w:p>
        </w:tc>
        <w:tc>
          <w:tcPr>
            <w:tcW w:w="1260" w:type="dxa"/>
            <w:tcBorders>
              <w:top w:val="nil"/>
              <w:left w:val="nil"/>
              <w:bottom w:val="nil"/>
              <w:right w:val="nil"/>
            </w:tcBorders>
            <w:shd w:val="clear" w:color="auto" w:fill="auto"/>
            <w:noWrap/>
            <w:vAlign w:val="bottom"/>
          </w:tcPr>
          <w:p w14:paraId="47B661F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(.00281)</w:t>
            </w:r>
          </w:p>
        </w:tc>
      </w:tr>
      <w:tr w:rsidR="00890FA4" w:rsidRPr="00351E73" w14:paraId="01A7BD00"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B661D3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262" w:type="dxa"/>
            <w:tcBorders>
              <w:top w:val="nil"/>
              <w:left w:val="nil"/>
              <w:bottom w:val="nil"/>
              <w:right w:val="nil"/>
            </w:tcBorders>
            <w:shd w:val="clear" w:color="auto" w:fill="auto"/>
            <w:noWrap/>
            <w:vAlign w:val="bottom"/>
            <w:hideMark/>
          </w:tcPr>
          <w:p w14:paraId="077CB16A"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55AED37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-.21</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2EF3A9F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-.21</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4CD315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-.21</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262" w:type="dxa"/>
            <w:tcBorders>
              <w:top w:val="nil"/>
              <w:left w:val="nil"/>
              <w:bottom w:val="nil"/>
              <w:right w:val="nil"/>
            </w:tcBorders>
            <w:shd w:val="clear" w:color="auto" w:fill="auto"/>
            <w:noWrap/>
            <w:vAlign w:val="bottom"/>
          </w:tcPr>
          <w:p w14:paraId="5EEBB08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12E0DD0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8.161***</w:t>
            </w:r>
          </w:p>
        </w:tc>
        <w:tc>
          <w:tcPr>
            <w:tcW w:w="1260" w:type="dxa"/>
            <w:tcBorders>
              <w:top w:val="nil"/>
              <w:left w:val="nil"/>
              <w:bottom w:val="nil"/>
              <w:right w:val="nil"/>
            </w:tcBorders>
            <w:shd w:val="clear" w:color="auto" w:fill="auto"/>
            <w:noWrap/>
            <w:vAlign w:val="bottom"/>
          </w:tcPr>
          <w:p w14:paraId="578D0EA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8.192***</w:t>
            </w:r>
          </w:p>
        </w:tc>
        <w:tc>
          <w:tcPr>
            <w:tcW w:w="1260" w:type="dxa"/>
            <w:tcBorders>
              <w:top w:val="nil"/>
              <w:left w:val="nil"/>
              <w:bottom w:val="nil"/>
              <w:right w:val="nil"/>
            </w:tcBorders>
            <w:shd w:val="clear" w:color="auto" w:fill="auto"/>
            <w:noWrap/>
            <w:vAlign w:val="bottom"/>
          </w:tcPr>
          <w:p w14:paraId="597892E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8.198***</w:t>
            </w:r>
          </w:p>
        </w:tc>
      </w:tr>
      <w:tr w:rsidR="00890FA4" w:rsidRPr="00351E73" w14:paraId="19D5370E"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B0A54C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76627350"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39EEAB6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(.00482)</w:t>
            </w:r>
          </w:p>
        </w:tc>
        <w:tc>
          <w:tcPr>
            <w:tcW w:w="1260" w:type="dxa"/>
            <w:tcBorders>
              <w:top w:val="nil"/>
              <w:left w:val="nil"/>
              <w:bottom w:val="nil"/>
              <w:right w:val="nil"/>
            </w:tcBorders>
            <w:shd w:val="clear" w:color="auto" w:fill="auto"/>
            <w:noWrap/>
            <w:vAlign w:val="bottom"/>
          </w:tcPr>
          <w:p w14:paraId="1433514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(.00482)</w:t>
            </w:r>
          </w:p>
        </w:tc>
        <w:tc>
          <w:tcPr>
            <w:tcW w:w="1260" w:type="dxa"/>
            <w:tcBorders>
              <w:top w:val="nil"/>
              <w:left w:val="nil"/>
              <w:bottom w:val="nil"/>
              <w:right w:val="nil"/>
            </w:tcBorders>
            <w:shd w:val="clear" w:color="auto" w:fill="auto"/>
            <w:noWrap/>
            <w:vAlign w:val="bottom"/>
          </w:tcPr>
          <w:p w14:paraId="0FC22B7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(.00482)</w:t>
            </w:r>
          </w:p>
        </w:tc>
        <w:tc>
          <w:tcPr>
            <w:tcW w:w="262" w:type="dxa"/>
            <w:tcBorders>
              <w:top w:val="nil"/>
              <w:left w:val="nil"/>
              <w:bottom w:val="nil"/>
              <w:right w:val="nil"/>
            </w:tcBorders>
            <w:shd w:val="clear" w:color="auto" w:fill="auto"/>
            <w:noWrap/>
            <w:vAlign w:val="bottom"/>
          </w:tcPr>
          <w:p w14:paraId="27098AA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34192B7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(.204)</w:t>
            </w:r>
          </w:p>
        </w:tc>
        <w:tc>
          <w:tcPr>
            <w:tcW w:w="1260" w:type="dxa"/>
            <w:tcBorders>
              <w:top w:val="nil"/>
              <w:left w:val="nil"/>
              <w:bottom w:val="nil"/>
              <w:right w:val="nil"/>
            </w:tcBorders>
            <w:shd w:val="clear" w:color="auto" w:fill="auto"/>
            <w:noWrap/>
            <w:vAlign w:val="bottom"/>
          </w:tcPr>
          <w:p w14:paraId="44A6602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(.203)</w:t>
            </w:r>
          </w:p>
        </w:tc>
        <w:tc>
          <w:tcPr>
            <w:tcW w:w="1260" w:type="dxa"/>
            <w:tcBorders>
              <w:top w:val="nil"/>
              <w:left w:val="nil"/>
              <w:bottom w:val="nil"/>
              <w:right w:val="nil"/>
            </w:tcBorders>
            <w:shd w:val="clear" w:color="auto" w:fill="auto"/>
            <w:noWrap/>
            <w:vAlign w:val="bottom"/>
          </w:tcPr>
          <w:p w14:paraId="3DC3C12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(.203)</w:t>
            </w:r>
          </w:p>
        </w:tc>
      </w:tr>
      <w:tr w:rsidR="00890FA4" w:rsidRPr="00351E73" w14:paraId="043DE384"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3ADD7AC"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OwnerOcc</w:t>
            </w:r>
          </w:p>
        </w:tc>
        <w:tc>
          <w:tcPr>
            <w:tcW w:w="262" w:type="dxa"/>
            <w:tcBorders>
              <w:top w:val="nil"/>
              <w:left w:val="nil"/>
              <w:bottom w:val="nil"/>
              <w:right w:val="nil"/>
            </w:tcBorders>
            <w:shd w:val="clear" w:color="auto" w:fill="auto"/>
            <w:noWrap/>
            <w:vAlign w:val="bottom"/>
            <w:hideMark/>
          </w:tcPr>
          <w:p w14:paraId="5F37B52D"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772E7B6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-.274***</w:t>
            </w:r>
          </w:p>
        </w:tc>
        <w:tc>
          <w:tcPr>
            <w:tcW w:w="1260" w:type="dxa"/>
            <w:tcBorders>
              <w:top w:val="nil"/>
              <w:left w:val="nil"/>
              <w:bottom w:val="nil"/>
              <w:right w:val="nil"/>
            </w:tcBorders>
            <w:shd w:val="clear" w:color="auto" w:fill="auto"/>
            <w:noWrap/>
            <w:vAlign w:val="bottom"/>
          </w:tcPr>
          <w:p w14:paraId="4D41FD0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-.274***</w:t>
            </w:r>
          </w:p>
        </w:tc>
        <w:tc>
          <w:tcPr>
            <w:tcW w:w="1260" w:type="dxa"/>
            <w:tcBorders>
              <w:top w:val="nil"/>
              <w:left w:val="nil"/>
              <w:bottom w:val="nil"/>
              <w:right w:val="nil"/>
            </w:tcBorders>
            <w:shd w:val="clear" w:color="auto" w:fill="auto"/>
            <w:noWrap/>
            <w:vAlign w:val="bottom"/>
          </w:tcPr>
          <w:p w14:paraId="77940BA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-.274***</w:t>
            </w:r>
          </w:p>
        </w:tc>
        <w:tc>
          <w:tcPr>
            <w:tcW w:w="262" w:type="dxa"/>
            <w:tcBorders>
              <w:top w:val="nil"/>
              <w:left w:val="nil"/>
              <w:bottom w:val="nil"/>
              <w:right w:val="nil"/>
            </w:tcBorders>
            <w:shd w:val="clear" w:color="auto" w:fill="auto"/>
            <w:noWrap/>
            <w:vAlign w:val="bottom"/>
          </w:tcPr>
          <w:p w14:paraId="0590861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1474508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-.273</w:t>
            </w:r>
          </w:p>
        </w:tc>
        <w:tc>
          <w:tcPr>
            <w:tcW w:w="1260" w:type="dxa"/>
            <w:tcBorders>
              <w:top w:val="nil"/>
              <w:left w:val="nil"/>
              <w:bottom w:val="nil"/>
              <w:right w:val="nil"/>
            </w:tcBorders>
            <w:shd w:val="clear" w:color="auto" w:fill="auto"/>
            <w:noWrap/>
            <w:vAlign w:val="bottom"/>
          </w:tcPr>
          <w:p w14:paraId="4D4346A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-.217</w:t>
            </w:r>
          </w:p>
        </w:tc>
        <w:tc>
          <w:tcPr>
            <w:tcW w:w="1260" w:type="dxa"/>
            <w:tcBorders>
              <w:top w:val="nil"/>
              <w:left w:val="nil"/>
              <w:bottom w:val="nil"/>
              <w:right w:val="nil"/>
            </w:tcBorders>
            <w:shd w:val="clear" w:color="auto" w:fill="auto"/>
            <w:noWrap/>
            <w:vAlign w:val="bottom"/>
          </w:tcPr>
          <w:p w14:paraId="28F96FA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-.229</w:t>
            </w:r>
          </w:p>
        </w:tc>
      </w:tr>
      <w:tr w:rsidR="00890FA4" w:rsidRPr="00351E73" w14:paraId="66F984A8"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554E041C"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2D00991D"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0AFEB97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(.00452)</w:t>
            </w:r>
          </w:p>
        </w:tc>
        <w:tc>
          <w:tcPr>
            <w:tcW w:w="1260" w:type="dxa"/>
            <w:tcBorders>
              <w:top w:val="nil"/>
              <w:left w:val="nil"/>
              <w:bottom w:val="nil"/>
              <w:right w:val="nil"/>
            </w:tcBorders>
            <w:shd w:val="clear" w:color="auto" w:fill="auto"/>
            <w:noWrap/>
            <w:vAlign w:val="bottom"/>
          </w:tcPr>
          <w:p w14:paraId="691CD79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(.00452)</w:t>
            </w:r>
          </w:p>
        </w:tc>
        <w:tc>
          <w:tcPr>
            <w:tcW w:w="1260" w:type="dxa"/>
            <w:tcBorders>
              <w:top w:val="nil"/>
              <w:left w:val="nil"/>
              <w:bottom w:val="nil"/>
              <w:right w:val="nil"/>
            </w:tcBorders>
            <w:shd w:val="clear" w:color="auto" w:fill="auto"/>
            <w:noWrap/>
            <w:vAlign w:val="bottom"/>
          </w:tcPr>
          <w:p w14:paraId="1288079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(.00452)</w:t>
            </w:r>
          </w:p>
        </w:tc>
        <w:tc>
          <w:tcPr>
            <w:tcW w:w="262" w:type="dxa"/>
            <w:tcBorders>
              <w:top w:val="nil"/>
              <w:left w:val="nil"/>
              <w:bottom w:val="nil"/>
              <w:right w:val="nil"/>
            </w:tcBorders>
            <w:shd w:val="clear" w:color="auto" w:fill="auto"/>
            <w:noWrap/>
            <w:vAlign w:val="bottom"/>
          </w:tcPr>
          <w:p w14:paraId="0797DAC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67B0397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(.355)</w:t>
            </w:r>
          </w:p>
        </w:tc>
        <w:tc>
          <w:tcPr>
            <w:tcW w:w="1260" w:type="dxa"/>
            <w:tcBorders>
              <w:top w:val="nil"/>
              <w:left w:val="nil"/>
              <w:bottom w:val="nil"/>
              <w:right w:val="nil"/>
            </w:tcBorders>
            <w:shd w:val="clear" w:color="auto" w:fill="auto"/>
            <w:noWrap/>
            <w:vAlign w:val="bottom"/>
          </w:tcPr>
          <w:p w14:paraId="6E986C4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(.353)</w:t>
            </w:r>
          </w:p>
        </w:tc>
        <w:tc>
          <w:tcPr>
            <w:tcW w:w="1260" w:type="dxa"/>
            <w:tcBorders>
              <w:top w:val="nil"/>
              <w:left w:val="nil"/>
              <w:bottom w:val="nil"/>
              <w:right w:val="nil"/>
            </w:tcBorders>
            <w:shd w:val="clear" w:color="auto" w:fill="auto"/>
            <w:noWrap/>
            <w:vAlign w:val="bottom"/>
          </w:tcPr>
          <w:p w14:paraId="687EE3E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(.353)</w:t>
            </w:r>
          </w:p>
        </w:tc>
      </w:tr>
      <w:tr w:rsidR="00890FA4" w:rsidRPr="00351E73" w14:paraId="6C8FFCBB"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0D63114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Term30</w:t>
            </w:r>
          </w:p>
        </w:tc>
        <w:tc>
          <w:tcPr>
            <w:tcW w:w="262" w:type="dxa"/>
            <w:tcBorders>
              <w:top w:val="nil"/>
              <w:left w:val="nil"/>
              <w:bottom w:val="nil"/>
              <w:right w:val="nil"/>
            </w:tcBorders>
            <w:shd w:val="clear" w:color="auto" w:fill="auto"/>
            <w:noWrap/>
            <w:vAlign w:val="bottom"/>
            <w:hideMark/>
          </w:tcPr>
          <w:p w14:paraId="2C9A8804"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3F60D64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.516***</w:t>
            </w:r>
          </w:p>
        </w:tc>
        <w:tc>
          <w:tcPr>
            <w:tcW w:w="1260" w:type="dxa"/>
            <w:tcBorders>
              <w:top w:val="nil"/>
              <w:left w:val="nil"/>
              <w:bottom w:val="nil"/>
              <w:right w:val="nil"/>
            </w:tcBorders>
            <w:shd w:val="clear" w:color="auto" w:fill="auto"/>
            <w:noWrap/>
            <w:vAlign w:val="bottom"/>
          </w:tcPr>
          <w:p w14:paraId="0109069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.516***</w:t>
            </w:r>
          </w:p>
        </w:tc>
        <w:tc>
          <w:tcPr>
            <w:tcW w:w="1260" w:type="dxa"/>
            <w:tcBorders>
              <w:top w:val="nil"/>
              <w:left w:val="nil"/>
              <w:bottom w:val="nil"/>
              <w:right w:val="nil"/>
            </w:tcBorders>
            <w:shd w:val="clear" w:color="auto" w:fill="auto"/>
            <w:noWrap/>
            <w:vAlign w:val="bottom"/>
          </w:tcPr>
          <w:p w14:paraId="524E631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.516***</w:t>
            </w:r>
          </w:p>
        </w:tc>
        <w:tc>
          <w:tcPr>
            <w:tcW w:w="262" w:type="dxa"/>
            <w:tcBorders>
              <w:top w:val="nil"/>
              <w:left w:val="nil"/>
              <w:bottom w:val="nil"/>
              <w:right w:val="nil"/>
            </w:tcBorders>
            <w:shd w:val="clear" w:color="auto" w:fill="auto"/>
            <w:noWrap/>
            <w:vAlign w:val="bottom"/>
          </w:tcPr>
          <w:p w14:paraId="243C1E7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316A31A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16.71***</w:t>
            </w:r>
          </w:p>
        </w:tc>
        <w:tc>
          <w:tcPr>
            <w:tcW w:w="1260" w:type="dxa"/>
            <w:tcBorders>
              <w:top w:val="nil"/>
              <w:left w:val="nil"/>
              <w:bottom w:val="nil"/>
              <w:right w:val="nil"/>
            </w:tcBorders>
            <w:shd w:val="clear" w:color="auto" w:fill="auto"/>
            <w:noWrap/>
            <w:vAlign w:val="bottom"/>
          </w:tcPr>
          <w:p w14:paraId="520056E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16.44***</w:t>
            </w:r>
          </w:p>
        </w:tc>
        <w:tc>
          <w:tcPr>
            <w:tcW w:w="1260" w:type="dxa"/>
            <w:tcBorders>
              <w:top w:val="nil"/>
              <w:left w:val="nil"/>
              <w:bottom w:val="nil"/>
              <w:right w:val="nil"/>
            </w:tcBorders>
            <w:shd w:val="clear" w:color="auto" w:fill="auto"/>
            <w:noWrap/>
            <w:vAlign w:val="bottom"/>
          </w:tcPr>
          <w:p w14:paraId="7213617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16.45***</w:t>
            </w:r>
          </w:p>
        </w:tc>
      </w:tr>
      <w:tr w:rsidR="00890FA4" w:rsidRPr="00351E73" w14:paraId="7C11953D"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6ADF89B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1CB428F3"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4693AD8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(.00932)</w:t>
            </w:r>
          </w:p>
        </w:tc>
        <w:tc>
          <w:tcPr>
            <w:tcW w:w="1260" w:type="dxa"/>
            <w:tcBorders>
              <w:top w:val="nil"/>
              <w:left w:val="nil"/>
              <w:bottom w:val="nil"/>
              <w:right w:val="nil"/>
            </w:tcBorders>
            <w:shd w:val="clear" w:color="auto" w:fill="auto"/>
            <w:noWrap/>
            <w:vAlign w:val="bottom"/>
          </w:tcPr>
          <w:p w14:paraId="2A75A15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(.00931)</w:t>
            </w:r>
          </w:p>
        </w:tc>
        <w:tc>
          <w:tcPr>
            <w:tcW w:w="1260" w:type="dxa"/>
            <w:tcBorders>
              <w:top w:val="nil"/>
              <w:left w:val="nil"/>
              <w:bottom w:val="nil"/>
              <w:right w:val="nil"/>
            </w:tcBorders>
            <w:shd w:val="clear" w:color="auto" w:fill="auto"/>
            <w:noWrap/>
            <w:vAlign w:val="bottom"/>
          </w:tcPr>
          <w:p w14:paraId="7DBB330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(.0093</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262" w:type="dxa"/>
            <w:tcBorders>
              <w:top w:val="nil"/>
              <w:left w:val="nil"/>
              <w:bottom w:val="nil"/>
              <w:right w:val="nil"/>
            </w:tcBorders>
            <w:shd w:val="clear" w:color="auto" w:fill="auto"/>
            <w:noWrap/>
            <w:vAlign w:val="bottom"/>
          </w:tcPr>
          <w:p w14:paraId="11A1D57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0886C6A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(.902)</w:t>
            </w:r>
          </w:p>
        </w:tc>
        <w:tc>
          <w:tcPr>
            <w:tcW w:w="1260" w:type="dxa"/>
            <w:tcBorders>
              <w:top w:val="nil"/>
              <w:left w:val="nil"/>
              <w:bottom w:val="nil"/>
              <w:right w:val="nil"/>
            </w:tcBorders>
            <w:shd w:val="clear" w:color="auto" w:fill="auto"/>
            <w:noWrap/>
            <w:vAlign w:val="bottom"/>
          </w:tcPr>
          <w:p w14:paraId="357F52F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(.895)</w:t>
            </w:r>
          </w:p>
        </w:tc>
        <w:tc>
          <w:tcPr>
            <w:tcW w:w="1260" w:type="dxa"/>
            <w:tcBorders>
              <w:top w:val="nil"/>
              <w:left w:val="nil"/>
              <w:bottom w:val="nil"/>
              <w:right w:val="nil"/>
            </w:tcBorders>
            <w:shd w:val="clear" w:color="auto" w:fill="auto"/>
            <w:noWrap/>
            <w:vAlign w:val="bottom"/>
          </w:tcPr>
          <w:p w14:paraId="709E182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(.895)</w:t>
            </w:r>
          </w:p>
        </w:tc>
      </w:tr>
      <w:tr w:rsidR="00890FA4" w:rsidRPr="00351E73" w14:paraId="19B02E00"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499735C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Prime</w:t>
            </w:r>
          </w:p>
        </w:tc>
        <w:tc>
          <w:tcPr>
            <w:tcW w:w="262" w:type="dxa"/>
            <w:tcBorders>
              <w:top w:val="nil"/>
              <w:left w:val="nil"/>
              <w:bottom w:val="nil"/>
              <w:right w:val="nil"/>
            </w:tcBorders>
            <w:shd w:val="clear" w:color="auto" w:fill="auto"/>
            <w:noWrap/>
            <w:vAlign w:val="bottom"/>
            <w:hideMark/>
          </w:tcPr>
          <w:p w14:paraId="48F6ED6E"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43FF828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.139***</w:t>
            </w:r>
          </w:p>
        </w:tc>
        <w:tc>
          <w:tcPr>
            <w:tcW w:w="1260" w:type="dxa"/>
            <w:tcBorders>
              <w:top w:val="nil"/>
              <w:left w:val="nil"/>
              <w:bottom w:val="nil"/>
              <w:right w:val="nil"/>
            </w:tcBorders>
            <w:shd w:val="clear" w:color="auto" w:fill="auto"/>
            <w:noWrap/>
            <w:vAlign w:val="bottom"/>
          </w:tcPr>
          <w:p w14:paraId="3C3E7E2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.139***</w:t>
            </w:r>
          </w:p>
        </w:tc>
        <w:tc>
          <w:tcPr>
            <w:tcW w:w="1260" w:type="dxa"/>
            <w:tcBorders>
              <w:top w:val="nil"/>
              <w:left w:val="nil"/>
              <w:bottom w:val="nil"/>
              <w:right w:val="nil"/>
            </w:tcBorders>
            <w:shd w:val="clear" w:color="auto" w:fill="auto"/>
            <w:noWrap/>
            <w:vAlign w:val="bottom"/>
          </w:tcPr>
          <w:p w14:paraId="4479AE1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.139***</w:t>
            </w:r>
          </w:p>
        </w:tc>
        <w:tc>
          <w:tcPr>
            <w:tcW w:w="262" w:type="dxa"/>
            <w:tcBorders>
              <w:top w:val="nil"/>
              <w:left w:val="nil"/>
              <w:bottom w:val="nil"/>
              <w:right w:val="nil"/>
            </w:tcBorders>
            <w:shd w:val="clear" w:color="auto" w:fill="auto"/>
            <w:noWrap/>
            <w:vAlign w:val="bottom"/>
          </w:tcPr>
          <w:p w14:paraId="0B17F2E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30CF811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2398D130"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389DD2E3" w14:textId="77777777" w:rsidR="00890FA4" w:rsidRPr="00C72371" w:rsidRDefault="00890FA4" w:rsidP="00931F65">
            <w:pPr>
              <w:spacing w:after="0" w:line="240" w:lineRule="auto"/>
              <w:jc w:val="center"/>
              <w:rPr>
                <w:rFonts w:ascii="Times New Roman" w:eastAsia="Times New Roman" w:hAnsi="Times New Roman" w:cs="Times New Roman"/>
                <w:sz w:val="20"/>
                <w:szCs w:val="20"/>
              </w:rPr>
            </w:pPr>
          </w:p>
        </w:tc>
      </w:tr>
      <w:tr w:rsidR="00890FA4" w:rsidRPr="00351E73" w14:paraId="5982CBD0"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6E1802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63FF37CE"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510CC48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(.00425)</w:t>
            </w:r>
          </w:p>
        </w:tc>
        <w:tc>
          <w:tcPr>
            <w:tcW w:w="1260" w:type="dxa"/>
            <w:tcBorders>
              <w:top w:val="nil"/>
              <w:left w:val="nil"/>
              <w:bottom w:val="nil"/>
              <w:right w:val="nil"/>
            </w:tcBorders>
            <w:shd w:val="clear" w:color="auto" w:fill="auto"/>
            <w:noWrap/>
            <w:vAlign w:val="bottom"/>
          </w:tcPr>
          <w:p w14:paraId="71DC886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(.00426)</w:t>
            </w:r>
          </w:p>
        </w:tc>
        <w:tc>
          <w:tcPr>
            <w:tcW w:w="1260" w:type="dxa"/>
            <w:tcBorders>
              <w:top w:val="nil"/>
              <w:left w:val="nil"/>
              <w:bottom w:val="nil"/>
              <w:right w:val="nil"/>
            </w:tcBorders>
            <w:shd w:val="clear" w:color="auto" w:fill="auto"/>
            <w:noWrap/>
            <w:vAlign w:val="bottom"/>
          </w:tcPr>
          <w:p w14:paraId="346A6A1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(.00426)</w:t>
            </w:r>
          </w:p>
        </w:tc>
        <w:tc>
          <w:tcPr>
            <w:tcW w:w="262" w:type="dxa"/>
            <w:tcBorders>
              <w:top w:val="nil"/>
              <w:left w:val="nil"/>
              <w:bottom w:val="nil"/>
              <w:right w:val="nil"/>
            </w:tcBorders>
            <w:shd w:val="clear" w:color="auto" w:fill="auto"/>
            <w:noWrap/>
            <w:vAlign w:val="bottom"/>
          </w:tcPr>
          <w:p w14:paraId="717563C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3F80A3B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4514FA0C"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50C9670A" w14:textId="77777777" w:rsidR="00890FA4" w:rsidRPr="00C72371" w:rsidRDefault="00890FA4" w:rsidP="00931F65">
            <w:pPr>
              <w:spacing w:after="0" w:line="240" w:lineRule="auto"/>
              <w:jc w:val="center"/>
              <w:rPr>
                <w:rFonts w:ascii="Times New Roman" w:eastAsia="Times New Roman" w:hAnsi="Times New Roman" w:cs="Times New Roman"/>
                <w:sz w:val="20"/>
                <w:szCs w:val="20"/>
              </w:rPr>
            </w:pPr>
          </w:p>
        </w:tc>
      </w:tr>
      <w:tr w:rsidR="00890FA4" w:rsidRPr="00351E73" w14:paraId="5C44CE11"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09D1DAF5"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Age15-34</w:t>
            </w:r>
          </w:p>
        </w:tc>
        <w:tc>
          <w:tcPr>
            <w:tcW w:w="262" w:type="dxa"/>
            <w:tcBorders>
              <w:top w:val="nil"/>
              <w:left w:val="nil"/>
              <w:bottom w:val="nil"/>
              <w:right w:val="nil"/>
            </w:tcBorders>
            <w:shd w:val="clear" w:color="auto" w:fill="auto"/>
            <w:noWrap/>
            <w:vAlign w:val="bottom"/>
            <w:hideMark/>
          </w:tcPr>
          <w:p w14:paraId="52C9AE29"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1E2B4DD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7E55D6A4"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3E1851D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4609173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65CBD4C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.105***</w:t>
            </w:r>
          </w:p>
        </w:tc>
        <w:tc>
          <w:tcPr>
            <w:tcW w:w="1260" w:type="dxa"/>
            <w:tcBorders>
              <w:top w:val="nil"/>
              <w:left w:val="nil"/>
              <w:bottom w:val="nil"/>
              <w:right w:val="nil"/>
            </w:tcBorders>
            <w:shd w:val="clear" w:color="auto" w:fill="auto"/>
            <w:noWrap/>
            <w:vAlign w:val="bottom"/>
          </w:tcPr>
          <w:p w14:paraId="57AF64B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.104***</w:t>
            </w:r>
          </w:p>
        </w:tc>
        <w:tc>
          <w:tcPr>
            <w:tcW w:w="1260" w:type="dxa"/>
            <w:tcBorders>
              <w:top w:val="nil"/>
              <w:left w:val="nil"/>
              <w:bottom w:val="nil"/>
              <w:right w:val="nil"/>
            </w:tcBorders>
            <w:shd w:val="clear" w:color="auto" w:fill="auto"/>
            <w:noWrap/>
            <w:vAlign w:val="bottom"/>
          </w:tcPr>
          <w:p w14:paraId="7EB7625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.104***</w:t>
            </w:r>
          </w:p>
        </w:tc>
      </w:tr>
      <w:tr w:rsidR="00890FA4" w:rsidRPr="00351E73" w14:paraId="7C599DD4"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56A2450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2A3E279C"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2D8242E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794D2002"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1ED1DE3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7447D18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023F170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(.0144)</w:t>
            </w:r>
          </w:p>
        </w:tc>
        <w:tc>
          <w:tcPr>
            <w:tcW w:w="1260" w:type="dxa"/>
            <w:tcBorders>
              <w:top w:val="nil"/>
              <w:left w:val="nil"/>
              <w:bottom w:val="nil"/>
              <w:right w:val="nil"/>
            </w:tcBorders>
            <w:shd w:val="clear" w:color="auto" w:fill="auto"/>
            <w:noWrap/>
            <w:vAlign w:val="bottom"/>
          </w:tcPr>
          <w:p w14:paraId="4963CE8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(.0143)</w:t>
            </w:r>
          </w:p>
        </w:tc>
        <w:tc>
          <w:tcPr>
            <w:tcW w:w="1260" w:type="dxa"/>
            <w:tcBorders>
              <w:top w:val="nil"/>
              <w:left w:val="nil"/>
              <w:bottom w:val="nil"/>
              <w:right w:val="nil"/>
            </w:tcBorders>
            <w:shd w:val="clear" w:color="auto" w:fill="auto"/>
            <w:noWrap/>
            <w:vAlign w:val="bottom"/>
          </w:tcPr>
          <w:p w14:paraId="14F7AAA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(.0143)</w:t>
            </w:r>
          </w:p>
        </w:tc>
      </w:tr>
      <w:tr w:rsidR="00890FA4" w:rsidRPr="00351E73" w14:paraId="2ECFA997"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508C8D3"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Age35-54</w:t>
            </w:r>
          </w:p>
        </w:tc>
        <w:tc>
          <w:tcPr>
            <w:tcW w:w="262" w:type="dxa"/>
            <w:tcBorders>
              <w:top w:val="nil"/>
              <w:left w:val="nil"/>
              <w:bottom w:val="nil"/>
              <w:right w:val="nil"/>
            </w:tcBorders>
            <w:shd w:val="clear" w:color="auto" w:fill="auto"/>
            <w:noWrap/>
            <w:vAlign w:val="bottom"/>
            <w:hideMark/>
          </w:tcPr>
          <w:p w14:paraId="0D0D1568"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49FAE69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396CDDFC"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208CF00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59E204F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4EE4E38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.104***</w:t>
            </w:r>
          </w:p>
        </w:tc>
        <w:tc>
          <w:tcPr>
            <w:tcW w:w="1260" w:type="dxa"/>
            <w:tcBorders>
              <w:top w:val="nil"/>
              <w:left w:val="nil"/>
              <w:bottom w:val="nil"/>
              <w:right w:val="nil"/>
            </w:tcBorders>
            <w:shd w:val="clear" w:color="auto" w:fill="auto"/>
            <w:noWrap/>
            <w:vAlign w:val="bottom"/>
          </w:tcPr>
          <w:p w14:paraId="3DF87DB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.104***</w:t>
            </w:r>
          </w:p>
        </w:tc>
        <w:tc>
          <w:tcPr>
            <w:tcW w:w="1260" w:type="dxa"/>
            <w:tcBorders>
              <w:top w:val="nil"/>
              <w:left w:val="nil"/>
              <w:bottom w:val="nil"/>
              <w:right w:val="nil"/>
            </w:tcBorders>
            <w:shd w:val="clear" w:color="auto" w:fill="auto"/>
            <w:noWrap/>
            <w:vAlign w:val="bottom"/>
          </w:tcPr>
          <w:p w14:paraId="00FAC12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.104***</w:t>
            </w:r>
          </w:p>
        </w:tc>
      </w:tr>
      <w:tr w:rsidR="00890FA4" w:rsidRPr="00351E73" w14:paraId="42CCE1F5"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6FA9CBD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lastRenderedPageBreak/>
              <w:t> </w:t>
            </w:r>
          </w:p>
        </w:tc>
        <w:tc>
          <w:tcPr>
            <w:tcW w:w="262" w:type="dxa"/>
            <w:tcBorders>
              <w:top w:val="nil"/>
              <w:left w:val="nil"/>
              <w:bottom w:val="nil"/>
              <w:right w:val="nil"/>
            </w:tcBorders>
            <w:shd w:val="clear" w:color="auto" w:fill="auto"/>
            <w:noWrap/>
            <w:vAlign w:val="bottom"/>
            <w:hideMark/>
          </w:tcPr>
          <w:p w14:paraId="5FFDCF1B"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26FF38D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2835725E"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2571523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076B1E0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336BF8E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(.0251)</w:t>
            </w:r>
          </w:p>
        </w:tc>
        <w:tc>
          <w:tcPr>
            <w:tcW w:w="1260" w:type="dxa"/>
            <w:tcBorders>
              <w:top w:val="nil"/>
              <w:left w:val="nil"/>
              <w:bottom w:val="nil"/>
              <w:right w:val="nil"/>
            </w:tcBorders>
            <w:shd w:val="clear" w:color="auto" w:fill="auto"/>
            <w:noWrap/>
            <w:vAlign w:val="bottom"/>
          </w:tcPr>
          <w:p w14:paraId="5038107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(.025</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11DC12E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(.025</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59A778F8"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490551E4"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Age55-69</w:t>
            </w:r>
          </w:p>
        </w:tc>
        <w:tc>
          <w:tcPr>
            <w:tcW w:w="262" w:type="dxa"/>
            <w:tcBorders>
              <w:top w:val="nil"/>
              <w:left w:val="nil"/>
              <w:bottom w:val="nil"/>
              <w:right w:val="nil"/>
            </w:tcBorders>
            <w:shd w:val="clear" w:color="auto" w:fill="auto"/>
            <w:noWrap/>
            <w:vAlign w:val="bottom"/>
            <w:hideMark/>
          </w:tcPr>
          <w:p w14:paraId="6C236228"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2479799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63396BD7"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2CEB11D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51182CD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277BFAE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A54895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7825B54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001A1FDD"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08D8B3C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7C75085E"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30CEF7C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0F039FD3"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19172D0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29275B6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65EA73E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(.0188)</w:t>
            </w:r>
          </w:p>
        </w:tc>
        <w:tc>
          <w:tcPr>
            <w:tcW w:w="1260" w:type="dxa"/>
            <w:tcBorders>
              <w:top w:val="nil"/>
              <w:left w:val="nil"/>
              <w:bottom w:val="nil"/>
              <w:right w:val="nil"/>
            </w:tcBorders>
            <w:shd w:val="clear" w:color="auto" w:fill="auto"/>
            <w:noWrap/>
            <w:vAlign w:val="bottom"/>
          </w:tcPr>
          <w:p w14:paraId="6E6D5DE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(.0187)</w:t>
            </w:r>
          </w:p>
        </w:tc>
        <w:tc>
          <w:tcPr>
            <w:tcW w:w="1260" w:type="dxa"/>
            <w:tcBorders>
              <w:top w:val="nil"/>
              <w:left w:val="nil"/>
              <w:bottom w:val="nil"/>
              <w:right w:val="nil"/>
            </w:tcBorders>
            <w:shd w:val="clear" w:color="auto" w:fill="auto"/>
            <w:noWrap/>
            <w:vAlign w:val="bottom"/>
          </w:tcPr>
          <w:p w14:paraId="74B9345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(.0187)</w:t>
            </w:r>
          </w:p>
        </w:tc>
      </w:tr>
      <w:tr w:rsidR="00890FA4" w:rsidRPr="00351E73" w14:paraId="568AE1EF"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0545198F"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Age70plus</w:t>
            </w:r>
          </w:p>
        </w:tc>
        <w:tc>
          <w:tcPr>
            <w:tcW w:w="262" w:type="dxa"/>
            <w:tcBorders>
              <w:top w:val="nil"/>
              <w:left w:val="nil"/>
              <w:bottom w:val="nil"/>
              <w:right w:val="nil"/>
            </w:tcBorders>
            <w:shd w:val="clear" w:color="auto" w:fill="auto"/>
            <w:noWrap/>
            <w:vAlign w:val="bottom"/>
            <w:hideMark/>
          </w:tcPr>
          <w:p w14:paraId="46F2463C"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577D585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7EB3659C"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434E079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2386C1E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03CA0A7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-.0679***</w:t>
            </w:r>
          </w:p>
        </w:tc>
        <w:tc>
          <w:tcPr>
            <w:tcW w:w="1260" w:type="dxa"/>
            <w:tcBorders>
              <w:top w:val="nil"/>
              <w:left w:val="nil"/>
              <w:bottom w:val="nil"/>
              <w:right w:val="nil"/>
            </w:tcBorders>
            <w:shd w:val="clear" w:color="auto" w:fill="auto"/>
            <w:noWrap/>
            <w:vAlign w:val="bottom"/>
          </w:tcPr>
          <w:p w14:paraId="79007CF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-.0681***</w:t>
            </w:r>
          </w:p>
        </w:tc>
        <w:tc>
          <w:tcPr>
            <w:tcW w:w="1260" w:type="dxa"/>
            <w:tcBorders>
              <w:top w:val="nil"/>
              <w:left w:val="nil"/>
              <w:bottom w:val="nil"/>
              <w:right w:val="nil"/>
            </w:tcBorders>
            <w:shd w:val="clear" w:color="auto" w:fill="auto"/>
            <w:noWrap/>
            <w:vAlign w:val="bottom"/>
          </w:tcPr>
          <w:p w14:paraId="22C7656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-.0682***</w:t>
            </w:r>
          </w:p>
        </w:tc>
      </w:tr>
      <w:tr w:rsidR="00890FA4" w:rsidRPr="00351E73" w14:paraId="7AF51F6A"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90A77C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11A1BAA1"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048161D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72936D83"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1CDD36D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6D8CF66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53D668C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(.018</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637F32B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(.018</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21CAC50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(.018</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79A56B05"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8C3141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Value$1-$2</w:t>
            </w:r>
          </w:p>
        </w:tc>
        <w:tc>
          <w:tcPr>
            <w:tcW w:w="262" w:type="dxa"/>
            <w:tcBorders>
              <w:top w:val="nil"/>
              <w:left w:val="nil"/>
              <w:bottom w:val="nil"/>
              <w:right w:val="nil"/>
            </w:tcBorders>
            <w:shd w:val="clear" w:color="auto" w:fill="auto"/>
            <w:noWrap/>
            <w:vAlign w:val="bottom"/>
            <w:hideMark/>
          </w:tcPr>
          <w:p w14:paraId="5EE7072E"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600B527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2D678882"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77EC9E9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4B8C1B7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590732C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-.0706***</w:t>
            </w:r>
          </w:p>
        </w:tc>
        <w:tc>
          <w:tcPr>
            <w:tcW w:w="1260" w:type="dxa"/>
            <w:tcBorders>
              <w:top w:val="nil"/>
              <w:left w:val="nil"/>
              <w:bottom w:val="nil"/>
              <w:right w:val="nil"/>
            </w:tcBorders>
            <w:shd w:val="clear" w:color="auto" w:fill="auto"/>
            <w:noWrap/>
            <w:vAlign w:val="bottom"/>
          </w:tcPr>
          <w:p w14:paraId="0434924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-.0681***</w:t>
            </w:r>
          </w:p>
        </w:tc>
        <w:tc>
          <w:tcPr>
            <w:tcW w:w="1260" w:type="dxa"/>
            <w:tcBorders>
              <w:top w:val="nil"/>
              <w:left w:val="nil"/>
              <w:bottom w:val="nil"/>
              <w:right w:val="nil"/>
            </w:tcBorders>
            <w:shd w:val="clear" w:color="auto" w:fill="auto"/>
            <w:noWrap/>
            <w:vAlign w:val="bottom"/>
          </w:tcPr>
          <w:p w14:paraId="6FDC834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-.0682***</w:t>
            </w:r>
          </w:p>
        </w:tc>
      </w:tr>
      <w:tr w:rsidR="00890FA4" w:rsidRPr="00351E73" w14:paraId="22351DAD"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5A07A769"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72AE4613"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22C34C6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3957BF73"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76586E0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3982C94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6971946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(.00948)</w:t>
            </w:r>
          </w:p>
        </w:tc>
        <w:tc>
          <w:tcPr>
            <w:tcW w:w="1260" w:type="dxa"/>
            <w:tcBorders>
              <w:top w:val="nil"/>
              <w:left w:val="nil"/>
              <w:bottom w:val="nil"/>
              <w:right w:val="nil"/>
            </w:tcBorders>
            <w:shd w:val="clear" w:color="auto" w:fill="auto"/>
            <w:noWrap/>
            <w:vAlign w:val="bottom"/>
          </w:tcPr>
          <w:p w14:paraId="4557B9F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(.00943)</w:t>
            </w:r>
          </w:p>
        </w:tc>
        <w:tc>
          <w:tcPr>
            <w:tcW w:w="1260" w:type="dxa"/>
            <w:tcBorders>
              <w:top w:val="nil"/>
              <w:left w:val="nil"/>
              <w:bottom w:val="nil"/>
              <w:right w:val="nil"/>
            </w:tcBorders>
            <w:shd w:val="clear" w:color="auto" w:fill="auto"/>
            <w:noWrap/>
            <w:vAlign w:val="bottom"/>
          </w:tcPr>
          <w:p w14:paraId="5186248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(.00944)</w:t>
            </w:r>
          </w:p>
        </w:tc>
      </w:tr>
      <w:tr w:rsidR="00890FA4" w:rsidRPr="00351E73" w14:paraId="6D95DEA2"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6AC0314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Value$2-$3</w:t>
            </w:r>
          </w:p>
        </w:tc>
        <w:tc>
          <w:tcPr>
            <w:tcW w:w="262" w:type="dxa"/>
            <w:tcBorders>
              <w:top w:val="nil"/>
              <w:left w:val="nil"/>
              <w:bottom w:val="nil"/>
              <w:right w:val="nil"/>
            </w:tcBorders>
            <w:shd w:val="clear" w:color="auto" w:fill="auto"/>
            <w:noWrap/>
            <w:vAlign w:val="bottom"/>
            <w:hideMark/>
          </w:tcPr>
          <w:p w14:paraId="6A2ED91D"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224C1E7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5D3917B7"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724F9D9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735CDEE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4CE111B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-.152***</w:t>
            </w:r>
          </w:p>
        </w:tc>
        <w:tc>
          <w:tcPr>
            <w:tcW w:w="1260" w:type="dxa"/>
            <w:tcBorders>
              <w:top w:val="nil"/>
              <w:left w:val="nil"/>
              <w:bottom w:val="nil"/>
              <w:right w:val="nil"/>
            </w:tcBorders>
            <w:shd w:val="clear" w:color="auto" w:fill="auto"/>
            <w:noWrap/>
            <w:vAlign w:val="bottom"/>
          </w:tcPr>
          <w:p w14:paraId="7171C82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-.152***</w:t>
            </w:r>
          </w:p>
        </w:tc>
        <w:tc>
          <w:tcPr>
            <w:tcW w:w="1260" w:type="dxa"/>
            <w:tcBorders>
              <w:top w:val="nil"/>
              <w:left w:val="nil"/>
              <w:bottom w:val="nil"/>
              <w:right w:val="nil"/>
            </w:tcBorders>
            <w:shd w:val="clear" w:color="auto" w:fill="auto"/>
            <w:noWrap/>
            <w:vAlign w:val="bottom"/>
          </w:tcPr>
          <w:p w14:paraId="3517D01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-.152***</w:t>
            </w:r>
          </w:p>
        </w:tc>
      </w:tr>
      <w:tr w:rsidR="00890FA4" w:rsidRPr="00351E73" w14:paraId="037CA05D"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98AF17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525E9C47"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129E2A2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58C41C9E"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768ABC4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4366CD2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59DA5D9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(.00891)</w:t>
            </w:r>
          </w:p>
        </w:tc>
        <w:tc>
          <w:tcPr>
            <w:tcW w:w="1260" w:type="dxa"/>
            <w:tcBorders>
              <w:top w:val="nil"/>
              <w:left w:val="nil"/>
              <w:bottom w:val="nil"/>
              <w:right w:val="nil"/>
            </w:tcBorders>
            <w:shd w:val="clear" w:color="auto" w:fill="auto"/>
            <w:noWrap/>
            <w:vAlign w:val="bottom"/>
          </w:tcPr>
          <w:p w14:paraId="29462C3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(.00888)</w:t>
            </w:r>
          </w:p>
        </w:tc>
        <w:tc>
          <w:tcPr>
            <w:tcW w:w="1260" w:type="dxa"/>
            <w:tcBorders>
              <w:top w:val="nil"/>
              <w:left w:val="nil"/>
              <w:bottom w:val="nil"/>
              <w:right w:val="nil"/>
            </w:tcBorders>
            <w:shd w:val="clear" w:color="auto" w:fill="auto"/>
            <w:noWrap/>
            <w:vAlign w:val="bottom"/>
          </w:tcPr>
          <w:p w14:paraId="041A640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(.00888)</w:t>
            </w:r>
          </w:p>
        </w:tc>
      </w:tr>
      <w:tr w:rsidR="00890FA4" w:rsidRPr="00351E73" w14:paraId="562E7464"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5F20C342"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Value$3-$5</w:t>
            </w:r>
          </w:p>
        </w:tc>
        <w:tc>
          <w:tcPr>
            <w:tcW w:w="262" w:type="dxa"/>
            <w:tcBorders>
              <w:top w:val="nil"/>
              <w:left w:val="nil"/>
              <w:bottom w:val="nil"/>
              <w:right w:val="nil"/>
            </w:tcBorders>
            <w:shd w:val="clear" w:color="auto" w:fill="auto"/>
            <w:noWrap/>
            <w:vAlign w:val="bottom"/>
            <w:hideMark/>
          </w:tcPr>
          <w:p w14:paraId="06EFB304"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34B3537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5E9663E8"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4A83AD6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389FEE0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6A7B89C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-.132***</w:t>
            </w:r>
          </w:p>
        </w:tc>
        <w:tc>
          <w:tcPr>
            <w:tcW w:w="1260" w:type="dxa"/>
            <w:tcBorders>
              <w:top w:val="nil"/>
              <w:left w:val="nil"/>
              <w:bottom w:val="nil"/>
              <w:right w:val="nil"/>
            </w:tcBorders>
            <w:shd w:val="clear" w:color="auto" w:fill="auto"/>
            <w:noWrap/>
            <w:vAlign w:val="bottom"/>
          </w:tcPr>
          <w:p w14:paraId="2061DEE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-.131***</w:t>
            </w:r>
          </w:p>
        </w:tc>
        <w:tc>
          <w:tcPr>
            <w:tcW w:w="1260" w:type="dxa"/>
            <w:tcBorders>
              <w:top w:val="nil"/>
              <w:left w:val="nil"/>
              <w:bottom w:val="nil"/>
              <w:right w:val="nil"/>
            </w:tcBorders>
            <w:shd w:val="clear" w:color="auto" w:fill="auto"/>
            <w:noWrap/>
            <w:vAlign w:val="bottom"/>
          </w:tcPr>
          <w:p w14:paraId="65B1198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-.131***</w:t>
            </w:r>
          </w:p>
        </w:tc>
      </w:tr>
      <w:tr w:rsidR="00890FA4" w:rsidRPr="00351E73" w14:paraId="71D99CB2"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4F33FA5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262" w:type="dxa"/>
            <w:tcBorders>
              <w:top w:val="nil"/>
              <w:left w:val="nil"/>
              <w:bottom w:val="nil"/>
              <w:right w:val="nil"/>
            </w:tcBorders>
            <w:shd w:val="clear" w:color="auto" w:fill="auto"/>
            <w:noWrap/>
            <w:vAlign w:val="bottom"/>
            <w:hideMark/>
          </w:tcPr>
          <w:p w14:paraId="1816D509"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3EF78B6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39AC56D9"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238C878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6138A8A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55A9E6C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(.00937)</w:t>
            </w:r>
          </w:p>
        </w:tc>
        <w:tc>
          <w:tcPr>
            <w:tcW w:w="1260" w:type="dxa"/>
            <w:tcBorders>
              <w:top w:val="nil"/>
              <w:left w:val="nil"/>
              <w:bottom w:val="nil"/>
              <w:right w:val="nil"/>
            </w:tcBorders>
            <w:shd w:val="clear" w:color="auto" w:fill="auto"/>
            <w:noWrap/>
            <w:vAlign w:val="bottom"/>
          </w:tcPr>
          <w:p w14:paraId="720651C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(.00933)</w:t>
            </w:r>
          </w:p>
        </w:tc>
        <w:tc>
          <w:tcPr>
            <w:tcW w:w="1260" w:type="dxa"/>
            <w:tcBorders>
              <w:top w:val="nil"/>
              <w:left w:val="nil"/>
              <w:bottom w:val="nil"/>
              <w:right w:val="nil"/>
            </w:tcBorders>
            <w:shd w:val="clear" w:color="auto" w:fill="auto"/>
            <w:noWrap/>
            <w:vAlign w:val="bottom"/>
          </w:tcPr>
          <w:p w14:paraId="777C2D0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(.00933)</w:t>
            </w:r>
          </w:p>
        </w:tc>
      </w:tr>
      <w:tr w:rsidR="00890FA4" w:rsidRPr="00351E73" w14:paraId="1FFEFBF1"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445D496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Value$5plus</w:t>
            </w:r>
          </w:p>
        </w:tc>
        <w:tc>
          <w:tcPr>
            <w:tcW w:w="262" w:type="dxa"/>
            <w:tcBorders>
              <w:top w:val="nil"/>
              <w:left w:val="nil"/>
              <w:bottom w:val="nil"/>
              <w:right w:val="nil"/>
            </w:tcBorders>
            <w:shd w:val="clear" w:color="auto" w:fill="auto"/>
            <w:noWrap/>
            <w:vAlign w:val="bottom"/>
            <w:hideMark/>
          </w:tcPr>
          <w:p w14:paraId="49D6E909"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54B6E39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07454810"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07EA302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3E45432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022EB90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-.267***</w:t>
            </w:r>
          </w:p>
        </w:tc>
        <w:tc>
          <w:tcPr>
            <w:tcW w:w="1260" w:type="dxa"/>
            <w:tcBorders>
              <w:top w:val="nil"/>
              <w:left w:val="nil"/>
              <w:bottom w:val="nil"/>
              <w:right w:val="nil"/>
            </w:tcBorders>
            <w:shd w:val="clear" w:color="auto" w:fill="auto"/>
            <w:noWrap/>
            <w:vAlign w:val="bottom"/>
          </w:tcPr>
          <w:p w14:paraId="557C939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-.266***</w:t>
            </w:r>
          </w:p>
        </w:tc>
        <w:tc>
          <w:tcPr>
            <w:tcW w:w="1260" w:type="dxa"/>
            <w:tcBorders>
              <w:top w:val="nil"/>
              <w:left w:val="nil"/>
              <w:bottom w:val="nil"/>
              <w:right w:val="nil"/>
            </w:tcBorders>
            <w:shd w:val="clear" w:color="auto" w:fill="auto"/>
            <w:noWrap/>
            <w:vAlign w:val="bottom"/>
          </w:tcPr>
          <w:p w14:paraId="2737BA9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-.266***</w:t>
            </w:r>
          </w:p>
        </w:tc>
      </w:tr>
      <w:tr w:rsidR="00890FA4" w:rsidRPr="00351E73" w14:paraId="59049A74"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4141D67"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hideMark/>
          </w:tcPr>
          <w:p w14:paraId="62B8AB84"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6198E28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41368339" w14:textId="77777777" w:rsidR="00890FA4" w:rsidRPr="00C72371" w:rsidRDefault="00890FA4" w:rsidP="00931F65">
            <w:pPr>
              <w:spacing w:after="0" w:line="240" w:lineRule="auto"/>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6354EE0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4C3D92C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7135F57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(.00911)</w:t>
            </w:r>
          </w:p>
        </w:tc>
        <w:tc>
          <w:tcPr>
            <w:tcW w:w="1260" w:type="dxa"/>
            <w:tcBorders>
              <w:top w:val="nil"/>
              <w:left w:val="nil"/>
              <w:bottom w:val="nil"/>
              <w:right w:val="nil"/>
            </w:tcBorders>
            <w:shd w:val="clear" w:color="auto" w:fill="auto"/>
            <w:noWrap/>
            <w:vAlign w:val="bottom"/>
          </w:tcPr>
          <w:p w14:paraId="3E1720D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(.00907)</w:t>
            </w:r>
          </w:p>
        </w:tc>
        <w:tc>
          <w:tcPr>
            <w:tcW w:w="1260" w:type="dxa"/>
            <w:tcBorders>
              <w:top w:val="nil"/>
              <w:left w:val="nil"/>
              <w:bottom w:val="nil"/>
              <w:right w:val="nil"/>
            </w:tcBorders>
            <w:shd w:val="clear" w:color="auto" w:fill="auto"/>
            <w:noWrap/>
            <w:vAlign w:val="bottom"/>
          </w:tcPr>
          <w:p w14:paraId="1853919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(.00907)</w:t>
            </w:r>
          </w:p>
        </w:tc>
      </w:tr>
      <w:tr w:rsidR="00890FA4" w:rsidRPr="00351E73" w14:paraId="6F082844"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0A63D1E"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hideMark/>
          </w:tcPr>
          <w:p w14:paraId="24836DBC"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bottom"/>
          </w:tcPr>
          <w:p w14:paraId="611583D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1170827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2449C62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262" w:type="dxa"/>
            <w:tcBorders>
              <w:top w:val="nil"/>
              <w:left w:val="nil"/>
              <w:bottom w:val="nil"/>
              <w:right w:val="nil"/>
            </w:tcBorders>
            <w:shd w:val="clear" w:color="auto" w:fill="auto"/>
            <w:noWrap/>
            <w:vAlign w:val="bottom"/>
          </w:tcPr>
          <w:p w14:paraId="3D43A57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bottom"/>
          </w:tcPr>
          <w:p w14:paraId="673014F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3AA0DA7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47E9CA7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r>
      <w:tr w:rsidR="00890FA4" w:rsidRPr="00351E73" w14:paraId="15FACC27"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6FDA307"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Observations</w:t>
            </w:r>
          </w:p>
        </w:tc>
        <w:tc>
          <w:tcPr>
            <w:tcW w:w="262" w:type="dxa"/>
            <w:tcBorders>
              <w:top w:val="nil"/>
              <w:left w:val="nil"/>
              <w:bottom w:val="nil"/>
              <w:right w:val="nil"/>
            </w:tcBorders>
            <w:shd w:val="clear" w:color="auto" w:fill="auto"/>
            <w:noWrap/>
            <w:vAlign w:val="bottom"/>
            <w:hideMark/>
          </w:tcPr>
          <w:p w14:paraId="6B6413CA"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nil"/>
              <w:right w:val="nil"/>
            </w:tcBorders>
            <w:shd w:val="clear" w:color="auto" w:fill="auto"/>
            <w:noWrap/>
            <w:vAlign w:val="center"/>
          </w:tcPr>
          <w:p w14:paraId="79581AD3"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89,249 </w:t>
            </w:r>
          </w:p>
        </w:tc>
        <w:tc>
          <w:tcPr>
            <w:tcW w:w="1260" w:type="dxa"/>
            <w:tcBorders>
              <w:top w:val="nil"/>
              <w:left w:val="nil"/>
              <w:bottom w:val="nil"/>
              <w:right w:val="nil"/>
            </w:tcBorders>
            <w:shd w:val="clear" w:color="auto" w:fill="auto"/>
            <w:noWrap/>
            <w:vAlign w:val="center"/>
          </w:tcPr>
          <w:p w14:paraId="440A06F7"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89,249 </w:t>
            </w:r>
          </w:p>
        </w:tc>
        <w:tc>
          <w:tcPr>
            <w:tcW w:w="1260" w:type="dxa"/>
            <w:tcBorders>
              <w:top w:val="nil"/>
              <w:left w:val="nil"/>
              <w:bottom w:val="nil"/>
              <w:right w:val="nil"/>
            </w:tcBorders>
            <w:shd w:val="clear" w:color="auto" w:fill="auto"/>
            <w:noWrap/>
            <w:vAlign w:val="center"/>
          </w:tcPr>
          <w:p w14:paraId="4FBA0460"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89,249 </w:t>
            </w:r>
          </w:p>
        </w:tc>
        <w:tc>
          <w:tcPr>
            <w:tcW w:w="262" w:type="dxa"/>
            <w:tcBorders>
              <w:top w:val="nil"/>
              <w:left w:val="nil"/>
              <w:bottom w:val="nil"/>
              <w:right w:val="nil"/>
            </w:tcBorders>
            <w:shd w:val="clear" w:color="auto" w:fill="auto"/>
            <w:noWrap/>
            <w:vAlign w:val="center"/>
          </w:tcPr>
          <w:p w14:paraId="2E46BE21"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nil"/>
              <w:right w:val="nil"/>
            </w:tcBorders>
            <w:shd w:val="clear" w:color="auto" w:fill="auto"/>
            <w:noWrap/>
            <w:vAlign w:val="center"/>
          </w:tcPr>
          <w:p w14:paraId="6AF8B700"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89,249 </w:t>
            </w:r>
          </w:p>
        </w:tc>
        <w:tc>
          <w:tcPr>
            <w:tcW w:w="1260" w:type="dxa"/>
            <w:tcBorders>
              <w:top w:val="nil"/>
              <w:left w:val="nil"/>
              <w:bottom w:val="nil"/>
              <w:right w:val="nil"/>
            </w:tcBorders>
            <w:shd w:val="clear" w:color="auto" w:fill="auto"/>
            <w:noWrap/>
            <w:vAlign w:val="center"/>
          </w:tcPr>
          <w:p w14:paraId="629171FC"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89,249 </w:t>
            </w:r>
          </w:p>
        </w:tc>
        <w:tc>
          <w:tcPr>
            <w:tcW w:w="1260" w:type="dxa"/>
            <w:tcBorders>
              <w:top w:val="nil"/>
              <w:left w:val="nil"/>
              <w:bottom w:val="nil"/>
              <w:right w:val="nil"/>
            </w:tcBorders>
            <w:shd w:val="clear" w:color="auto" w:fill="auto"/>
            <w:noWrap/>
            <w:vAlign w:val="center"/>
          </w:tcPr>
          <w:p w14:paraId="00CEBB79"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89,249 </w:t>
            </w:r>
          </w:p>
        </w:tc>
      </w:tr>
      <w:tr w:rsidR="00890FA4" w:rsidRPr="00351E73" w14:paraId="5FAFFC80" w14:textId="77777777" w:rsidTr="00890FA4">
        <w:trPr>
          <w:trHeight w:val="255"/>
          <w:jc w:val="center"/>
        </w:trPr>
        <w:tc>
          <w:tcPr>
            <w:tcW w:w="1600" w:type="dxa"/>
            <w:tcBorders>
              <w:top w:val="nil"/>
              <w:left w:val="nil"/>
              <w:bottom w:val="single" w:sz="4" w:space="0" w:color="auto"/>
              <w:right w:val="nil"/>
            </w:tcBorders>
            <w:shd w:val="clear" w:color="auto" w:fill="auto"/>
            <w:noWrap/>
            <w:vAlign w:val="bottom"/>
            <w:hideMark/>
          </w:tcPr>
          <w:p w14:paraId="5176BAAD"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R</w:t>
            </w:r>
            <w:r w:rsidRPr="00351E73">
              <w:rPr>
                <w:rFonts w:ascii="Calibri" w:eastAsia="Times New Roman" w:hAnsi="Calibri" w:cs="Calibri"/>
                <w:sz w:val="20"/>
                <w:szCs w:val="20"/>
                <w:vertAlign w:val="superscript"/>
              </w:rPr>
              <w:t>2</w:t>
            </w:r>
          </w:p>
        </w:tc>
        <w:tc>
          <w:tcPr>
            <w:tcW w:w="262" w:type="dxa"/>
            <w:tcBorders>
              <w:top w:val="nil"/>
              <w:left w:val="nil"/>
              <w:bottom w:val="single" w:sz="4" w:space="0" w:color="auto"/>
              <w:right w:val="nil"/>
            </w:tcBorders>
            <w:shd w:val="clear" w:color="auto" w:fill="auto"/>
            <w:noWrap/>
            <w:vAlign w:val="bottom"/>
            <w:hideMark/>
          </w:tcPr>
          <w:p w14:paraId="52E46144"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8" w:type="dxa"/>
            <w:tcBorders>
              <w:top w:val="nil"/>
              <w:left w:val="nil"/>
              <w:bottom w:val="single" w:sz="4" w:space="0" w:color="auto"/>
              <w:right w:val="nil"/>
            </w:tcBorders>
            <w:shd w:val="clear" w:color="auto" w:fill="auto"/>
            <w:noWrap/>
            <w:vAlign w:val="center"/>
          </w:tcPr>
          <w:p w14:paraId="1E744AC4"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0.802</w:t>
            </w:r>
          </w:p>
        </w:tc>
        <w:tc>
          <w:tcPr>
            <w:tcW w:w="1260" w:type="dxa"/>
            <w:tcBorders>
              <w:top w:val="nil"/>
              <w:left w:val="nil"/>
              <w:bottom w:val="single" w:sz="4" w:space="0" w:color="auto"/>
              <w:right w:val="nil"/>
            </w:tcBorders>
            <w:shd w:val="clear" w:color="auto" w:fill="auto"/>
            <w:noWrap/>
            <w:vAlign w:val="center"/>
          </w:tcPr>
          <w:p w14:paraId="6E650B9B"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0.802</w:t>
            </w:r>
          </w:p>
        </w:tc>
        <w:tc>
          <w:tcPr>
            <w:tcW w:w="1260" w:type="dxa"/>
            <w:tcBorders>
              <w:top w:val="nil"/>
              <w:left w:val="nil"/>
              <w:bottom w:val="single" w:sz="4" w:space="0" w:color="auto"/>
              <w:right w:val="nil"/>
            </w:tcBorders>
            <w:shd w:val="clear" w:color="auto" w:fill="auto"/>
            <w:noWrap/>
            <w:vAlign w:val="center"/>
          </w:tcPr>
          <w:p w14:paraId="357B214F"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0.802</w:t>
            </w:r>
          </w:p>
        </w:tc>
        <w:tc>
          <w:tcPr>
            <w:tcW w:w="262" w:type="dxa"/>
            <w:tcBorders>
              <w:top w:val="nil"/>
              <w:left w:val="nil"/>
              <w:bottom w:val="single" w:sz="4" w:space="0" w:color="auto"/>
              <w:right w:val="nil"/>
            </w:tcBorders>
            <w:shd w:val="clear" w:color="auto" w:fill="auto"/>
            <w:noWrap/>
            <w:vAlign w:val="center"/>
          </w:tcPr>
          <w:p w14:paraId="4FB9B209"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w:t>
            </w:r>
          </w:p>
        </w:tc>
        <w:tc>
          <w:tcPr>
            <w:tcW w:w="1268" w:type="dxa"/>
            <w:tcBorders>
              <w:top w:val="nil"/>
              <w:left w:val="nil"/>
              <w:bottom w:val="single" w:sz="4" w:space="0" w:color="auto"/>
              <w:right w:val="nil"/>
            </w:tcBorders>
            <w:shd w:val="clear" w:color="auto" w:fill="auto"/>
            <w:noWrap/>
            <w:vAlign w:val="center"/>
          </w:tcPr>
          <w:p w14:paraId="21EFD10C"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0.095</w:t>
            </w:r>
          </w:p>
        </w:tc>
        <w:tc>
          <w:tcPr>
            <w:tcW w:w="1260" w:type="dxa"/>
            <w:tcBorders>
              <w:top w:val="nil"/>
              <w:left w:val="nil"/>
              <w:bottom w:val="single" w:sz="4" w:space="0" w:color="auto"/>
              <w:right w:val="nil"/>
            </w:tcBorders>
            <w:shd w:val="clear" w:color="auto" w:fill="auto"/>
            <w:noWrap/>
            <w:vAlign w:val="center"/>
          </w:tcPr>
          <w:p w14:paraId="083381AB"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0.1</w:t>
            </w:r>
          </w:p>
        </w:tc>
        <w:tc>
          <w:tcPr>
            <w:tcW w:w="1260" w:type="dxa"/>
            <w:tcBorders>
              <w:top w:val="nil"/>
              <w:left w:val="nil"/>
              <w:bottom w:val="single" w:sz="4" w:space="0" w:color="auto"/>
              <w:right w:val="nil"/>
            </w:tcBorders>
            <w:shd w:val="clear" w:color="auto" w:fill="auto"/>
            <w:noWrap/>
            <w:vAlign w:val="center"/>
          </w:tcPr>
          <w:p w14:paraId="3B023B76"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0.099</w:t>
            </w:r>
          </w:p>
        </w:tc>
      </w:tr>
    </w:tbl>
    <w:p w14:paraId="7D76A425" w14:textId="77777777" w:rsidR="00890FA4" w:rsidRDefault="00890FA4" w:rsidP="00890FA4">
      <w:pPr>
        <w:contextualSpacing/>
      </w:pPr>
    </w:p>
    <w:p w14:paraId="4B8423FD" w14:textId="77777777" w:rsidR="00890FA4" w:rsidRDefault="00890FA4" w:rsidP="00890FA4">
      <w:pPr>
        <w:contextualSpacing/>
      </w:pPr>
    </w:p>
    <w:p w14:paraId="27658730" w14:textId="77777777" w:rsidR="00890FA4" w:rsidRDefault="00890FA4" w:rsidP="00890FA4">
      <w:pPr>
        <w:contextualSpacing/>
      </w:pPr>
    </w:p>
    <w:p w14:paraId="05ECA491" w14:textId="77777777" w:rsidR="00890FA4" w:rsidRDefault="00890FA4">
      <w:pPr>
        <w:rPr>
          <w:b/>
        </w:rPr>
      </w:pPr>
      <w:r>
        <w:rPr>
          <w:b/>
        </w:rPr>
        <w:br w:type="page"/>
      </w:r>
    </w:p>
    <w:p w14:paraId="6271FE67" w14:textId="366001D8" w:rsidR="00890FA4" w:rsidRPr="007F11D4" w:rsidRDefault="00890FA4" w:rsidP="00890FA4">
      <w:pPr>
        <w:contextualSpacing/>
        <w:rPr>
          <w:b/>
        </w:rPr>
      </w:pPr>
      <w:r w:rsidRPr="007F11D4">
        <w:rPr>
          <w:b/>
        </w:rPr>
        <w:lastRenderedPageBreak/>
        <w:t xml:space="preserve">Table </w:t>
      </w:r>
      <w:r>
        <w:rPr>
          <w:b/>
        </w:rPr>
        <w:t>A4</w:t>
      </w:r>
    </w:p>
    <w:p w14:paraId="4A39AA4E" w14:textId="77777777" w:rsidR="00890FA4" w:rsidRDefault="00890FA4" w:rsidP="00890FA4">
      <w:pPr>
        <w:contextualSpacing/>
      </w:pPr>
      <w:r>
        <w:t xml:space="preserve">Two-stage least squares regressions based on loan-level observations of first-lien, conventional, amortizing (non-balloon, non-interest only), fixed-rate mortgages for purchases of single-family residences or condominiums in Maryland and Virginia originated by nonbank originators between 2000 and 2015.  The sample is restricted to only mortgages originated by lenders that originated at least one mortgage in each of the ranges of years listed.  </w:t>
      </w:r>
      <w:r w:rsidRPr="006A5966">
        <w:rPr>
          <w:i/>
        </w:rPr>
        <w:t>InitialRate</w:t>
      </w:r>
      <w:r>
        <w:t xml:space="preserve"> is the mortgage interest rate at origination.  </w:t>
      </w:r>
      <w:r w:rsidRPr="006A5966">
        <w:rPr>
          <w:i/>
        </w:rPr>
        <w:t>LTV</w:t>
      </w:r>
      <w:r>
        <w:t xml:space="preserve"> is the mortgage loan-to-value ratio at origination.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Pr="00EB01F8">
        <w:rPr>
          <w:i/>
        </w:rPr>
        <w:t>FICO</w:t>
      </w:r>
      <w:r>
        <w:t xml:space="preserve"> is the borrower’s FICO score at origination.  </w:t>
      </w:r>
      <w:r w:rsidRPr="006879D3">
        <w:rPr>
          <w:i/>
        </w:rPr>
        <w:t>RelLoanSize</w:t>
      </w:r>
      <w:r>
        <w:t xml:space="preserve"> is the loan amount at origination divided by the average loan amount for originations in the same vintage year and county.  </w:t>
      </w:r>
      <w:r w:rsidRPr="005339F7">
        <w:rPr>
          <w:i/>
        </w:rPr>
        <w:t>OwnerOcc</w:t>
      </w:r>
      <w:r>
        <w:t xml:space="preserve"> equals 1 if the mortgage is associated with an owner-occupied property, 0 otherwise.  </w:t>
      </w:r>
      <w:r>
        <w:rPr>
          <w:i/>
        </w:rPr>
        <w:t>Term30</w:t>
      </w:r>
      <w:r w:rsidRPr="007C5226">
        <w:t xml:space="preserve"> equals 1 if the mortgage has a thirty-year maturity and equals 0 if the mortgage has a fifteen-year maturity</w:t>
      </w:r>
      <w:r w:rsidRPr="00B40C92">
        <w:t>.</w:t>
      </w:r>
      <w:r>
        <w:t xml:space="preserve">  </w:t>
      </w:r>
      <w:r w:rsidRPr="005339F7">
        <w:rPr>
          <w:i/>
        </w:rPr>
        <w:t>Prime</w:t>
      </w:r>
      <w:r>
        <w:t xml:space="preserve"> is the monthly average bank prime lending rate at the time of origination from the Federal Reserve.  </w:t>
      </w:r>
      <w:r w:rsidRPr="00407E6D">
        <w:rPr>
          <w:i/>
        </w:rPr>
        <w:t>CensusAge15-34</w:t>
      </w:r>
      <w:r>
        <w:t xml:space="preserve"> is the percentage of residents in the borrower’s census tract between the ages of 15 and 34 years old.  </w:t>
      </w:r>
      <w:r w:rsidRPr="00407E6D">
        <w:rPr>
          <w:i/>
        </w:rPr>
        <w:t>Census</w:t>
      </w:r>
      <w:r w:rsidRPr="00562A33">
        <w:rPr>
          <w:i/>
        </w:rPr>
        <w:t>Age35-54</w:t>
      </w:r>
      <w:r>
        <w:t xml:space="preserve">, </w:t>
      </w:r>
      <w:r w:rsidRPr="00407E6D">
        <w:rPr>
          <w:i/>
        </w:rPr>
        <w:t>Census</w:t>
      </w:r>
      <w:r w:rsidRPr="00562A33">
        <w:rPr>
          <w:i/>
        </w:rPr>
        <w:t>Age55-69</w:t>
      </w:r>
      <w:r>
        <w:t xml:space="preserve">, and </w:t>
      </w:r>
      <w:r w:rsidRPr="00407E6D">
        <w:rPr>
          <w:i/>
        </w:rPr>
        <w:t>Census</w:t>
      </w:r>
      <w:r w:rsidRPr="00562A33">
        <w:rPr>
          <w:i/>
        </w:rPr>
        <w:t>Age70plus</w:t>
      </w:r>
      <w:r>
        <w:t xml:space="preserve"> are defined similarly for other age ranges.  </w:t>
      </w:r>
      <w:r w:rsidRPr="007C5226">
        <w:rPr>
          <w:i/>
        </w:rPr>
        <w:t>Value$1-$2</w:t>
      </w:r>
      <w:r>
        <w:t xml:space="preserve"> is the percentage of owner-occupied residences in the borrower’s census tract valued between $100,000 and $200,000.  </w:t>
      </w:r>
      <w:r w:rsidRPr="00562A33">
        <w:rPr>
          <w:i/>
        </w:rPr>
        <w:t>Value$2-$3</w:t>
      </w:r>
      <w:r>
        <w:t xml:space="preserve">, </w:t>
      </w:r>
      <w:r w:rsidRPr="00562A33">
        <w:rPr>
          <w:i/>
        </w:rPr>
        <w:t>Value$3-$5</w:t>
      </w:r>
      <w:r>
        <w:t xml:space="preserve">, and </w:t>
      </w:r>
      <w:r w:rsidRPr="00562A33">
        <w:rPr>
          <w:i/>
        </w:rPr>
        <w:t>Value$5plus</w:t>
      </w:r>
      <w:r>
        <w:t xml:space="preserve"> are defined similarly for other price ranges.  Vintage year indicators and a constant term are included in each specification.  Standard errors appear in parentheses</w:t>
      </w:r>
      <w:r w:rsidRPr="00957138">
        <w:t xml:space="preserve">.  </w:t>
      </w:r>
      <w:r>
        <w:t>Levels of significance are indicated by *, **, and *** for 10%, 5%, and 1%, respectively.</w:t>
      </w:r>
    </w:p>
    <w:p w14:paraId="214759F7" w14:textId="77777777" w:rsidR="00890FA4" w:rsidRDefault="00890FA4" w:rsidP="00890FA4">
      <w:pPr>
        <w:contextualSpacing/>
      </w:pPr>
    </w:p>
    <w:tbl>
      <w:tblPr>
        <w:tblW w:w="7920" w:type="dxa"/>
        <w:jc w:val="center"/>
        <w:tblLook w:val="04A0" w:firstRow="1" w:lastRow="0" w:firstColumn="1" w:lastColumn="0" w:noHBand="0" w:noVBand="1"/>
      </w:tblPr>
      <w:tblGrid>
        <w:gridCol w:w="1624"/>
        <w:gridCol w:w="1280"/>
        <w:gridCol w:w="1260"/>
        <w:gridCol w:w="1260"/>
        <w:gridCol w:w="1260"/>
        <w:gridCol w:w="1260"/>
      </w:tblGrid>
      <w:tr w:rsidR="00890FA4" w:rsidRPr="00351E73" w14:paraId="740585C9" w14:textId="77777777" w:rsidTr="00890FA4">
        <w:trPr>
          <w:trHeight w:val="255"/>
          <w:jc w:val="center"/>
        </w:trPr>
        <w:tc>
          <w:tcPr>
            <w:tcW w:w="1600" w:type="dxa"/>
            <w:tcBorders>
              <w:top w:val="single" w:sz="4" w:space="0" w:color="auto"/>
              <w:left w:val="nil"/>
              <w:bottom w:val="nil"/>
              <w:right w:val="nil"/>
            </w:tcBorders>
            <w:shd w:val="clear" w:color="auto" w:fill="auto"/>
            <w:noWrap/>
            <w:vAlign w:val="bottom"/>
            <w:hideMark/>
          </w:tcPr>
          <w:p w14:paraId="49531439"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6320" w:type="dxa"/>
            <w:gridSpan w:val="5"/>
            <w:tcBorders>
              <w:top w:val="single" w:sz="4" w:space="0" w:color="auto"/>
              <w:left w:val="nil"/>
              <w:bottom w:val="nil"/>
              <w:right w:val="nil"/>
            </w:tcBorders>
            <w:shd w:val="clear" w:color="auto" w:fill="auto"/>
            <w:noWrap/>
            <w:vAlign w:val="bottom"/>
            <w:hideMark/>
          </w:tcPr>
          <w:p w14:paraId="133BB117"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xml:space="preserve">Dependent variable: </w:t>
            </w:r>
            <w:r w:rsidRPr="004961A2">
              <w:rPr>
                <w:rFonts w:ascii="Calibri" w:eastAsia="Times New Roman" w:hAnsi="Calibri" w:cs="Calibri"/>
                <w:i/>
                <w:sz w:val="20"/>
                <w:szCs w:val="20"/>
              </w:rPr>
              <w:t>InitialRate</w:t>
            </w:r>
          </w:p>
        </w:tc>
      </w:tr>
      <w:tr w:rsidR="00890FA4" w:rsidRPr="00351E73" w14:paraId="0B367C69" w14:textId="77777777" w:rsidTr="00890FA4">
        <w:trPr>
          <w:trHeight w:val="255"/>
          <w:jc w:val="center"/>
        </w:trPr>
        <w:tc>
          <w:tcPr>
            <w:tcW w:w="1600" w:type="dxa"/>
            <w:tcBorders>
              <w:top w:val="nil"/>
              <w:left w:val="nil"/>
              <w:right w:val="nil"/>
            </w:tcBorders>
            <w:shd w:val="clear" w:color="auto" w:fill="auto"/>
            <w:noWrap/>
            <w:vAlign w:val="bottom"/>
            <w:hideMark/>
          </w:tcPr>
          <w:p w14:paraId="12EA6656" w14:textId="77777777" w:rsidR="00890FA4" w:rsidRPr="00351E73" w:rsidRDefault="00890FA4" w:rsidP="00931F65">
            <w:pPr>
              <w:spacing w:after="0" w:line="240" w:lineRule="auto"/>
              <w:jc w:val="center"/>
              <w:rPr>
                <w:rFonts w:ascii="Calibri" w:eastAsia="Times New Roman" w:hAnsi="Calibri" w:cs="Calibri"/>
                <w:sz w:val="18"/>
                <w:szCs w:val="18"/>
              </w:rPr>
            </w:pPr>
            <w:r w:rsidRPr="00351E73">
              <w:rPr>
                <w:rFonts w:ascii="Calibri" w:eastAsia="Times New Roman" w:hAnsi="Calibri" w:cs="Calibri"/>
                <w:sz w:val="18"/>
                <w:szCs w:val="18"/>
              </w:rPr>
              <w:t> </w:t>
            </w:r>
          </w:p>
        </w:tc>
        <w:tc>
          <w:tcPr>
            <w:tcW w:w="1280" w:type="dxa"/>
            <w:tcBorders>
              <w:top w:val="nil"/>
              <w:left w:val="nil"/>
              <w:right w:val="nil"/>
            </w:tcBorders>
            <w:shd w:val="clear" w:color="auto" w:fill="auto"/>
            <w:noWrap/>
            <w:vAlign w:val="bottom"/>
            <w:hideMark/>
          </w:tcPr>
          <w:p w14:paraId="45649D86"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2008-2010</w:t>
            </w:r>
          </w:p>
        </w:tc>
        <w:tc>
          <w:tcPr>
            <w:tcW w:w="1260" w:type="dxa"/>
            <w:tcBorders>
              <w:top w:val="nil"/>
              <w:left w:val="nil"/>
              <w:right w:val="nil"/>
            </w:tcBorders>
            <w:shd w:val="clear" w:color="auto" w:fill="auto"/>
            <w:noWrap/>
            <w:vAlign w:val="bottom"/>
            <w:hideMark/>
          </w:tcPr>
          <w:p w14:paraId="3FFC04EE"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2007-2011</w:t>
            </w:r>
          </w:p>
        </w:tc>
        <w:tc>
          <w:tcPr>
            <w:tcW w:w="1260" w:type="dxa"/>
            <w:tcBorders>
              <w:top w:val="nil"/>
              <w:left w:val="nil"/>
              <w:right w:val="nil"/>
            </w:tcBorders>
            <w:shd w:val="clear" w:color="auto" w:fill="auto"/>
            <w:noWrap/>
            <w:vAlign w:val="bottom"/>
            <w:hideMark/>
          </w:tcPr>
          <w:p w14:paraId="425603D7"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2006-2012</w:t>
            </w:r>
          </w:p>
        </w:tc>
        <w:tc>
          <w:tcPr>
            <w:tcW w:w="1260" w:type="dxa"/>
            <w:tcBorders>
              <w:top w:val="nil"/>
              <w:left w:val="nil"/>
              <w:right w:val="nil"/>
            </w:tcBorders>
            <w:shd w:val="clear" w:color="auto" w:fill="auto"/>
            <w:noWrap/>
            <w:vAlign w:val="bottom"/>
            <w:hideMark/>
          </w:tcPr>
          <w:p w14:paraId="78DE1FBA"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2005-2013</w:t>
            </w:r>
          </w:p>
        </w:tc>
        <w:tc>
          <w:tcPr>
            <w:tcW w:w="1260" w:type="dxa"/>
            <w:tcBorders>
              <w:top w:val="nil"/>
              <w:left w:val="nil"/>
              <w:right w:val="nil"/>
            </w:tcBorders>
            <w:shd w:val="clear" w:color="auto" w:fill="auto"/>
            <w:noWrap/>
            <w:vAlign w:val="bottom"/>
            <w:hideMark/>
          </w:tcPr>
          <w:p w14:paraId="7C740D7D"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2004-2014</w:t>
            </w:r>
          </w:p>
        </w:tc>
      </w:tr>
      <w:tr w:rsidR="00890FA4" w:rsidRPr="00351E73" w14:paraId="005A1151" w14:textId="77777777" w:rsidTr="00890FA4">
        <w:trPr>
          <w:trHeight w:val="255"/>
          <w:jc w:val="center"/>
        </w:trPr>
        <w:tc>
          <w:tcPr>
            <w:tcW w:w="1600" w:type="dxa"/>
            <w:tcBorders>
              <w:top w:val="nil"/>
              <w:left w:val="nil"/>
              <w:bottom w:val="single" w:sz="4" w:space="0" w:color="auto"/>
              <w:right w:val="nil"/>
            </w:tcBorders>
            <w:shd w:val="clear" w:color="auto" w:fill="auto"/>
            <w:noWrap/>
            <w:vAlign w:val="bottom"/>
            <w:hideMark/>
          </w:tcPr>
          <w:p w14:paraId="444F6F55"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1280" w:type="dxa"/>
            <w:tcBorders>
              <w:top w:val="nil"/>
              <w:left w:val="nil"/>
              <w:bottom w:val="single" w:sz="4" w:space="0" w:color="auto"/>
              <w:right w:val="nil"/>
            </w:tcBorders>
            <w:shd w:val="clear" w:color="auto" w:fill="auto"/>
            <w:noWrap/>
            <w:vAlign w:val="bottom"/>
            <w:hideMark/>
          </w:tcPr>
          <w:p w14:paraId="366EE9A5"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(1)</w:t>
            </w:r>
          </w:p>
        </w:tc>
        <w:tc>
          <w:tcPr>
            <w:tcW w:w="1260" w:type="dxa"/>
            <w:tcBorders>
              <w:top w:val="nil"/>
              <w:left w:val="nil"/>
              <w:bottom w:val="single" w:sz="4" w:space="0" w:color="auto"/>
              <w:right w:val="nil"/>
            </w:tcBorders>
            <w:shd w:val="clear" w:color="auto" w:fill="auto"/>
            <w:noWrap/>
            <w:vAlign w:val="bottom"/>
            <w:hideMark/>
          </w:tcPr>
          <w:p w14:paraId="580629A5"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w:t>
            </w:r>
          </w:p>
        </w:tc>
        <w:tc>
          <w:tcPr>
            <w:tcW w:w="1260" w:type="dxa"/>
            <w:tcBorders>
              <w:top w:val="nil"/>
              <w:left w:val="nil"/>
              <w:bottom w:val="single" w:sz="4" w:space="0" w:color="auto"/>
              <w:right w:val="nil"/>
            </w:tcBorders>
            <w:shd w:val="clear" w:color="auto" w:fill="auto"/>
            <w:noWrap/>
            <w:vAlign w:val="bottom"/>
            <w:hideMark/>
          </w:tcPr>
          <w:p w14:paraId="7F787C73"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(3)</w:t>
            </w:r>
          </w:p>
        </w:tc>
        <w:tc>
          <w:tcPr>
            <w:tcW w:w="1260" w:type="dxa"/>
            <w:tcBorders>
              <w:top w:val="nil"/>
              <w:left w:val="nil"/>
              <w:bottom w:val="single" w:sz="4" w:space="0" w:color="auto"/>
              <w:right w:val="nil"/>
            </w:tcBorders>
            <w:shd w:val="clear" w:color="auto" w:fill="auto"/>
            <w:noWrap/>
            <w:vAlign w:val="bottom"/>
            <w:hideMark/>
          </w:tcPr>
          <w:p w14:paraId="4C4B3BFE"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(4)</w:t>
            </w:r>
          </w:p>
        </w:tc>
        <w:tc>
          <w:tcPr>
            <w:tcW w:w="1260" w:type="dxa"/>
            <w:tcBorders>
              <w:top w:val="nil"/>
              <w:left w:val="nil"/>
              <w:bottom w:val="single" w:sz="4" w:space="0" w:color="auto"/>
              <w:right w:val="nil"/>
            </w:tcBorders>
            <w:shd w:val="clear" w:color="auto" w:fill="auto"/>
            <w:noWrap/>
            <w:vAlign w:val="bottom"/>
            <w:hideMark/>
          </w:tcPr>
          <w:p w14:paraId="7D494E9E"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(5)</w:t>
            </w:r>
          </w:p>
        </w:tc>
      </w:tr>
      <w:tr w:rsidR="00890FA4" w:rsidRPr="00351E73" w14:paraId="74C66D4C" w14:textId="77777777" w:rsidTr="00890FA4">
        <w:trPr>
          <w:trHeight w:val="255"/>
          <w:jc w:val="center"/>
        </w:trPr>
        <w:tc>
          <w:tcPr>
            <w:tcW w:w="1600" w:type="dxa"/>
            <w:tcBorders>
              <w:top w:val="single" w:sz="4" w:space="0" w:color="auto"/>
              <w:left w:val="nil"/>
              <w:bottom w:val="nil"/>
              <w:right w:val="nil"/>
            </w:tcBorders>
            <w:shd w:val="clear" w:color="auto" w:fill="auto"/>
            <w:noWrap/>
            <w:vAlign w:val="bottom"/>
            <w:hideMark/>
          </w:tcPr>
          <w:p w14:paraId="1A57051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280" w:type="dxa"/>
            <w:tcBorders>
              <w:top w:val="single" w:sz="4" w:space="0" w:color="auto"/>
              <w:left w:val="nil"/>
              <w:bottom w:val="nil"/>
              <w:right w:val="nil"/>
            </w:tcBorders>
            <w:shd w:val="clear" w:color="auto" w:fill="auto"/>
            <w:noWrap/>
            <w:vAlign w:val="bottom"/>
          </w:tcPr>
          <w:p w14:paraId="176B848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-.074</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single" w:sz="4" w:space="0" w:color="auto"/>
              <w:left w:val="nil"/>
              <w:bottom w:val="nil"/>
              <w:right w:val="nil"/>
            </w:tcBorders>
            <w:shd w:val="clear" w:color="auto" w:fill="auto"/>
            <w:noWrap/>
            <w:vAlign w:val="bottom"/>
          </w:tcPr>
          <w:p w14:paraId="12C7D4D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-.0657***</w:t>
            </w:r>
          </w:p>
        </w:tc>
        <w:tc>
          <w:tcPr>
            <w:tcW w:w="1260" w:type="dxa"/>
            <w:tcBorders>
              <w:top w:val="single" w:sz="4" w:space="0" w:color="auto"/>
              <w:left w:val="nil"/>
              <w:bottom w:val="nil"/>
              <w:right w:val="nil"/>
            </w:tcBorders>
            <w:shd w:val="clear" w:color="auto" w:fill="auto"/>
            <w:noWrap/>
            <w:vAlign w:val="bottom"/>
          </w:tcPr>
          <w:p w14:paraId="173DF99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-.0681***</w:t>
            </w:r>
          </w:p>
        </w:tc>
        <w:tc>
          <w:tcPr>
            <w:tcW w:w="1260" w:type="dxa"/>
            <w:tcBorders>
              <w:top w:val="single" w:sz="4" w:space="0" w:color="auto"/>
              <w:left w:val="nil"/>
              <w:bottom w:val="nil"/>
              <w:right w:val="nil"/>
            </w:tcBorders>
            <w:shd w:val="clear" w:color="auto" w:fill="auto"/>
            <w:noWrap/>
            <w:vAlign w:val="bottom"/>
          </w:tcPr>
          <w:p w14:paraId="3F9BB5B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-.0744***</w:t>
            </w:r>
          </w:p>
        </w:tc>
        <w:tc>
          <w:tcPr>
            <w:tcW w:w="1260" w:type="dxa"/>
            <w:tcBorders>
              <w:top w:val="single" w:sz="4" w:space="0" w:color="auto"/>
              <w:left w:val="nil"/>
              <w:bottom w:val="nil"/>
              <w:right w:val="nil"/>
            </w:tcBorders>
            <w:shd w:val="clear" w:color="auto" w:fill="auto"/>
            <w:noWrap/>
            <w:vAlign w:val="bottom"/>
          </w:tcPr>
          <w:p w14:paraId="5397773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-.103***</w:t>
            </w:r>
          </w:p>
        </w:tc>
      </w:tr>
      <w:tr w:rsidR="00890FA4" w:rsidRPr="00351E73" w14:paraId="25B501E2"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7B5BEC6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089058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(.00657)</w:t>
            </w:r>
          </w:p>
        </w:tc>
        <w:tc>
          <w:tcPr>
            <w:tcW w:w="1260" w:type="dxa"/>
            <w:tcBorders>
              <w:top w:val="nil"/>
              <w:left w:val="nil"/>
              <w:bottom w:val="nil"/>
              <w:right w:val="nil"/>
            </w:tcBorders>
            <w:shd w:val="clear" w:color="auto" w:fill="auto"/>
            <w:noWrap/>
            <w:vAlign w:val="bottom"/>
          </w:tcPr>
          <w:p w14:paraId="73A7063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(.00642)</w:t>
            </w:r>
          </w:p>
        </w:tc>
        <w:tc>
          <w:tcPr>
            <w:tcW w:w="1260" w:type="dxa"/>
            <w:tcBorders>
              <w:top w:val="nil"/>
              <w:left w:val="nil"/>
              <w:bottom w:val="nil"/>
              <w:right w:val="nil"/>
            </w:tcBorders>
            <w:shd w:val="clear" w:color="auto" w:fill="auto"/>
            <w:noWrap/>
            <w:vAlign w:val="bottom"/>
          </w:tcPr>
          <w:p w14:paraId="69A5EF2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(.00775)</w:t>
            </w:r>
          </w:p>
        </w:tc>
        <w:tc>
          <w:tcPr>
            <w:tcW w:w="1260" w:type="dxa"/>
            <w:tcBorders>
              <w:top w:val="nil"/>
              <w:left w:val="nil"/>
              <w:bottom w:val="nil"/>
              <w:right w:val="nil"/>
            </w:tcBorders>
            <w:shd w:val="clear" w:color="auto" w:fill="auto"/>
            <w:noWrap/>
            <w:vAlign w:val="bottom"/>
          </w:tcPr>
          <w:p w14:paraId="1DD390B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(.00794)</w:t>
            </w:r>
          </w:p>
        </w:tc>
        <w:tc>
          <w:tcPr>
            <w:tcW w:w="1260" w:type="dxa"/>
            <w:tcBorders>
              <w:top w:val="nil"/>
              <w:left w:val="nil"/>
              <w:bottom w:val="nil"/>
              <w:right w:val="nil"/>
            </w:tcBorders>
            <w:shd w:val="clear" w:color="auto" w:fill="auto"/>
            <w:noWrap/>
            <w:vAlign w:val="bottom"/>
          </w:tcPr>
          <w:p w14:paraId="5864950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(.00835)</w:t>
            </w:r>
          </w:p>
        </w:tc>
      </w:tr>
      <w:tr w:rsidR="00890FA4" w:rsidRPr="00351E73" w14:paraId="23B902B5"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C160F9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280" w:type="dxa"/>
            <w:tcBorders>
              <w:top w:val="nil"/>
              <w:left w:val="nil"/>
              <w:bottom w:val="nil"/>
              <w:right w:val="nil"/>
            </w:tcBorders>
            <w:shd w:val="clear" w:color="auto" w:fill="auto"/>
            <w:noWrap/>
            <w:vAlign w:val="bottom"/>
          </w:tcPr>
          <w:p w14:paraId="65621C6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.0237</w:t>
            </w:r>
          </w:p>
        </w:tc>
        <w:tc>
          <w:tcPr>
            <w:tcW w:w="1260" w:type="dxa"/>
            <w:tcBorders>
              <w:top w:val="nil"/>
              <w:left w:val="nil"/>
              <w:bottom w:val="nil"/>
              <w:right w:val="nil"/>
            </w:tcBorders>
            <w:shd w:val="clear" w:color="auto" w:fill="auto"/>
            <w:noWrap/>
            <w:vAlign w:val="bottom"/>
          </w:tcPr>
          <w:p w14:paraId="7FE88CD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.0398**</w:t>
            </w:r>
          </w:p>
        </w:tc>
        <w:tc>
          <w:tcPr>
            <w:tcW w:w="1260" w:type="dxa"/>
            <w:tcBorders>
              <w:top w:val="nil"/>
              <w:left w:val="nil"/>
              <w:bottom w:val="nil"/>
              <w:right w:val="nil"/>
            </w:tcBorders>
            <w:shd w:val="clear" w:color="auto" w:fill="auto"/>
            <w:noWrap/>
            <w:vAlign w:val="bottom"/>
          </w:tcPr>
          <w:p w14:paraId="1770ADE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.0584***</w:t>
            </w:r>
          </w:p>
        </w:tc>
        <w:tc>
          <w:tcPr>
            <w:tcW w:w="1260" w:type="dxa"/>
            <w:tcBorders>
              <w:top w:val="nil"/>
              <w:left w:val="nil"/>
              <w:bottom w:val="nil"/>
              <w:right w:val="nil"/>
            </w:tcBorders>
            <w:shd w:val="clear" w:color="auto" w:fill="auto"/>
            <w:noWrap/>
            <w:vAlign w:val="bottom"/>
          </w:tcPr>
          <w:p w14:paraId="58CCA35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.0553***</w:t>
            </w:r>
          </w:p>
        </w:tc>
        <w:tc>
          <w:tcPr>
            <w:tcW w:w="1260" w:type="dxa"/>
            <w:tcBorders>
              <w:top w:val="nil"/>
              <w:left w:val="nil"/>
              <w:bottom w:val="nil"/>
              <w:right w:val="nil"/>
            </w:tcBorders>
            <w:shd w:val="clear" w:color="auto" w:fill="auto"/>
            <w:noWrap/>
            <w:vAlign w:val="bottom"/>
          </w:tcPr>
          <w:p w14:paraId="3DA2A5A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.0549***</w:t>
            </w:r>
          </w:p>
        </w:tc>
      </w:tr>
      <w:tr w:rsidR="00890FA4" w:rsidRPr="00351E73" w14:paraId="601B9132"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0BA99ED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53F63B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(.0153)</w:t>
            </w:r>
          </w:p>
        </w:tc>
        <w:tc>
          <w:tcPr>
            <w:tcW w:w="1260" w:type="dxa"/>
            <w:tcBorders>
              <w:top w:val="nil"/>
              <w:left w:val="nil"/>
              <w:bottom w:val="nil"/>
              <w:right w:val="nil"/>
            </w:tcBorders>
            <w:shd w:val="clear" w:color="auto" w:fill="auto"/>
            <w:noWrap/>
            <w:vAlign w:val="bottom"/>
          </w:tcPr>
          <w:p w14:paraId="6BE1338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(.0166)</w:t>
            </w:r>
          </w:p>
        </w:tc>
        <w:tc>
          <w:tcPr>
            <w:tcW w:w="1260" w:type="dxa"/>
            <w:tcBorders>
              <w:top w:val="nil"/>
              <w:left w:val="nil"/>
              <w:bottom w:val="nil"/>
              <w:right w:val="nil"/>
            </w:tcBorders>
            <w:shd w:val="clear" w:color="auto" w:fill="auto"/>
            <w:noWrap/>
            <w:vAlign w:val="bottom"/>
          </w:tcPr>
          <w:p w14:paraId="3981B56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(.0176)</w:t>
            </w:r>
          </w:p>
        </w:tc>
        <w:tc>
          <w:tcPr>
            <w:tcW w:w="1260" w:type="dxa"/>
            <w:tcBorders>
              <w:top w:val="nil"/>
              <w:left w:val="nil"/>
              <w:bottom w:val="nil"/>
              <w:right w:val="nil"/>
            </w:tcBorders>
            <w:shd w:val="clear" w:color="auto" w:fill="auto"/>
            <w:noWrap/>
            <w:vAlign w:val="bottom"/>
          </w:tcPr>
          <w:p w14:paraId="40190CA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(.0182)</w:t>
            </w:r>
          </w:p>
        </w:tc>
        <w:tc>
          <w:tcPr>
            <w:tcW w:w="1260" w:type="dxa"/>
            <w:tcBorders>
              <w:top w:val="nil"/>
              <w:left w:val="nil"/>
              <w:bottom w:val="nil"/>
              <w:right w:val="nil"/>
            </w:tcBorders>
            <w:shd w:val="clear" w:color="auto" w:fill="auto"/>
            <w:noWrap/>
            <w:vAlign w:val="bottom"/>
          </w:tcPr>
          <w:p w14:paraId="1C07538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(.0193)</w:t>
            </w:r>
          </w:p>
        </w:tc>
      </w:tr>
      <w:tr w:rsidR="00890FA4" w:rsidRPr="00351E73" w14:paraId="2ED7B699"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C9E056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280" w:type="dxa"/>
            <w:tcBorders>
              <w:top w:val="nil"/>
              <w:left w:val="nil"/>
              <w:bottom w:val="nil"/>
              <w:right w:val="nil"/>
            </w:tcBorders>
            <w:shd w:val="clear" w:color="auto" w:fill="auto"/>
            <w:noWrap/>
            <w:vAlign w:val="bottom"/>
          </w:tcPr>
          <w:p w14:paraId="7541286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.0772***</w:t>
            </w:r>
          </w:p>
        </w:tc>
        <w:tc>
          <w:tcPr>
            <w:tcW w:w="1260" w:type="dxa"/>
            <w:tcBorders>
              <w:top w:val="nil"/>
              <w:left w:val="nil"/>
              <w:bottom w:val="nil"/>
              <w:right w:val="nil"/>
            </w:tcBorders>
            <w:shd w:val="clear" w:color="auto" w:fill="auto"/>
            <w:noWrap/>
            <w:vAlign w:val="bottom"/>
          </w:tcPr>
          <w:p w14:paraId="5FB7491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.0752***</w:t>
            </w:r>
          </w:p>
        </w:tc>
        <w:tc>
          <w:tcPr>
            <w:tcW w:w="1260" w:type="dxa"/>
            <w:tcBorders>
              <w:top w:val="nil"/>
              <w:left w:val="nil"/>
              <w:bottom w:val="nil"/>
              <w:right w:val="nil"/>
            </w:tcBorders>
            <w:shd w:val="clear" w:color="auto" w:fill="auto"/>
            <w:noWrap/>
            <w:vAlign w:val="bottom"/>
          </w:tcPr>
          <w:p w14:paraId="157CADC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.0732***</w:t>
            </w:r>
          </w:p>
        </w:tc>
        <w:tc>
          <w:tcPr>
            <w:tcW w:w="1260" w:type="dxa"/>
            <w:tcBorders>
              <w:top w:val="nil"/>
              <w:left w:val="nil"/>
              <w:bottom w:val="nil"/>
              <w:right w:val="nil"/>
            </w:tcBorders>
            <w:shd w:val="clear" w:color="auto" w:fill="auto"/>
            <w:noWrap/>
            <w:vAlign w:val="bottom"/>
          </w:tcPr>
          <w:p w14:paraId="6B23C01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.0801***</w:t>
            </w:r>
          </w:p>
        </w:tc>
        <w:tc>
          <w:tcPr>
            <w:tcW w:w="1260" w:type="dxa"/>
            <w:tcBorders>
              <w:top w:val="nil"/>
              <w:left w:val="nil"/>
              <w:bottom w:val="nil"/>
              <w:right w:val="nil"/>
            </w:tcBorders>
            <w:shd w:val="clear" w:color="auto" w:fill="auto"/>
            <w:noWrap/>
            <w:vAlign w:val="bottom"/>
          </w:tcPr>
          <w:p w14:paraId="558D753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.107***</w:t>
            </w:r>
          </w:p>
        </w:tc>
      </w:tr>
      <w:tr w:rsidR="00890FA4" w:rsidRPr="00351E73" w14:paraId="413DCD59"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484D4B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6E12EC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(.00877)</w:t>
            </w:r>
          </w:p>
        </w:tc>
        <w:tc>
          <w:tcPr>
            <w:tcW w:w="1260" w:type="dxa"/>
            <w:tcBorders>
              <w:top w:val="nil"/>
              <w:left w:val="nil"/>
              <w:bottom w:val="nil"/>
              <w:right w:val="nil"/>
            </w:tcBorders>
            <w:shd w:val="clear" w:color="auto" w:fill="auto"/>
            <w:noWrap/>
            <w:vAlign w:val="bottom"/>
          </w:tcPr>
          <w:p w14:paraId="57CB2D0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(.00866)</w:t>
            </w:r>
          </w:p>
        </w:tc>
        <w:tc>
          <w:tcPr>
            <w:tcW w:w="1260" w:type="dxa"/>
            <w:tcBorders>
              <w:top w:val="nil"/>
              <w:left w:val="nil"/>
              <w:bottom w:val="nil"/>
              <w:right w:val="nil"/>
            </w:tcBorders>
            <w:shd w:val="clear" w:color="auto" w:fill="auto"/>
            <w:noWrap/>
            <w:vAlign w:val="bottom"/>
          </w:tcPr>
          <w:p w14:paraId="288C397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(.00974)</w:t>
            </w:r>
          </w:p>
        </w:tc>
        <w:tc>
          <w:tcPr>
            <w:tcW w:w="1260" w:type="dxa"/>
            <w:tcBorders>
              <w:top w:val="nil"/>
              <w:left w:val="nil"/>
              <w:bottom w:val="nil"/>
              <w:right w:val="nil"/>
            </w:tcBorders>
            <w:shd w:val="clear" w:color="auto" w:fill="auto"/>
            <w:noWrap/>
            <w:vAlign w:val="bottom"/>
          </w:tcPr>
          <w:p w14:paraId="2686749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(.00997)</w:t>
            </w:r>
          </w:p>
        </w:tc>
        <w:tc>
          <w:tcPr>
            <w:tcW w:w="1260" w:type="dxa"/>
            <w:tcBorders>
              <w:top w:val="nil"/>
              <w:left w:val="nil"/>
              <w:bottom w:val="nil"/>
              <w:right w:val="nil"/>
            </w:tcBorders>
            <w:shd w:val="clear" w:color="auto" w:fill="auto"/>
            <w:noWrap/>
            <w:vAlign w:val="bottom"/>
          </w:tcPr>
          <w:p w14:paraId="0F3361D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(.0104)</w:t>
            </w:r>
          </w:p>
        </w:tc>
      </w:tr>
      <w:tr w:rsidR="00890FA4" w:rsidRPr="00351E73" w14:paraId="7EA0DE87"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7AFBB169"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LTV</w:t>
            </w:r>
          </w:p>
        </w:tc>
        <w:tc>
          <w:tcPr>
            <w:tcW w:w="1280" w:type="dxa"/>
            <w:tcBorders>
              <w:top w:val="nil"/>
              <w:left w:val="nil"/>
              <w:bottom w:val="nil"/>
              <w:right w:val="nil"/>
            </w:tcBorders>
            <w:shd w:val="clear" w:color="auto" w:fill="auto"/>
            <w:noWrap/>
            <w:vAlign w:val="bottom"/>
          </w:tcPr>
          <w:p w14:paraId="24D2006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.0123***</w:t>
            </w:r>
          </w:p>
        </w:tc>
        <w:tc>
          <w:tcPr>
            <w:tcW w:w="1260" w:type="dxa"/>
            <w:tcBorders>
              <w:top w:val="nil"/>
              <w:left w:val="nil"/>
              <w:bottom w:val="nil"/>
              <w:right w:val="nil"/>
            </w:tcBorders>
            <w:shd w:val="clear" w:color="auto" w:fill="auto"/>
            <w:noWrap/>
            <w:vAlign w:val="bottom"/>
          </w:tcPr>
          <w:p w14:paraId="27675C6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.0132***</w:t>
            </w:r>
          </w:p>
        </w:tc>
        <w:tc>
          <w:tcPr>
            <w:tcW w:w="1260" w:type="dxa"/>
            <w:tcBorders>
              <w:top w:val="nil"/>
              <w:left w:val="nil"/>
              <w:bottom w:val="nil"/>
              <w:right w:val="nil"/>
            </w:tcBorders>
            <w:shd w:val="clear" w:color="auto" w:fill="auto"/>
            <w:noWrap/>
            <w:vAlign w:val="bottom"/>
          </w:tcPr>
          <w:p w14:paraId="43505FC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.0136***</w:t>
            </w:r>
          </w:p>
        </w:tc>
        <w:tc>
          <w:tcPr>
            <w:tcW w:w="1260" w:type="dxa"/>
            <w:tcBorders>
              <w:top w:val="nil"/>
              <w:left w:val="nil"/>
              <w:bottom w:val="nil"/>
              <w:right w:val="nil"/>
            </w:tcBorders>
            <w:shd w:val="clear" w:color="auto" w:fill="auto"/>
            <w:noWrap/>
            <w:vAlign w:val="bottom"/>
          </w:tcPr>
          <w:p w14:paraId="7D76AA3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.0135***</w:t>
            </w:r>
          </w:p>
        </w:tc>
        <w:tc>
          <w:tcPr>
            <w:tcW w:w="1260" w:type="dxa"/>
            <w:tcBorders>
              <w:top w:val="nil"/>
              <w:left w:val="nil"/>
              <w:bottom w:val="nil"/>
              <w:right w:val="nil"/>
            </w:tcBorders>
            <w:shd w:val="clear" w:color="auto" w:fill="auto"/>
            <w:noWrap/>
            <w:vAlign w:val="bottom"/>
          </w:tcPr>
          <w:p w14:paraId="4C6CA27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.0135***</w:t>
            </w:r>
          </w:p>
        </w:tc>
      </w:tr>
      <w:tr w:rsidR="00890FA4" w:rsidRPr="00351E73" w14:paraId="44FF6A61"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7C85EF8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944070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(.000483)</w:t>
            </w:r>
          </w:p>
        </w:tc>
        <w:tc>
          <w:tcPr>
            <w:tcW w:w="1260" w:type="dxa"/>
            <w:tcBorders>
              <w:top w:val="nil"/>
              <w:left w:val="nil"/>
              <w:bottom w:val="nil"/>
              <w:right w:val="nil"/>
            </w:tcBorders>
            <w:shd w:val="clear" w:color="auto" w:fill="auto"/>
            <w:noWrap/>
            <w:vAlign w:val="bottom"/>
          </w:tcPr>
          <w:p w14:paraId="01CDAB4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(.000476)</w:t>
            </w:r>
          </w:p>
        </w:tc>
        <w:tc>
          <w:tcPr>
            <w:tcW w:w="1260" w:type="dxa"/>
            <w:tcBorders>
              <w:top w:val="nil"/>
              <w:left w:val="nil"/>
              <w:bottom w:val="nil"/>
              <w:right w:val="nil"/>
            </w:tcBorders>
            <w:shd w:val="clear" w:color="auto" w:fill="auto"/>
            <w:noWrap/>
            <w:vAlign w:val="bottom"/>
          </w:tcPr>
          <w:p w14:paraId="4A30643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(.000525)</w:t>
            </w:r>
          </w:p>
        </w:tc>
        <w:tc>
          <w:tcPr>
            <w:tcW w:w="1260" w:type="dxa"/>
            <w:tcBorders>
              <w:top w:val="nil"/>
              <w:left w:val="nil"/>
              <w:bottom w:val="nil"/>
              <w:right w:val="nil"/>
            </w:tcBorders>
            <w:shd w:val="clear" w:color="auto" w:fill="auto"/>
            <w:noWrap/>
            <w:vAlign w:val="bottom"/>
          </w:tcPr>
          <w:p w14:paraId="3D8145E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(.000533)</w:t>
            </w:r>
          </w:p>
        </w:tc>
        <w:tc>
          <w:tcPr>
            <w:tcW w:w="1260" w:type="dxa"/>
            <w:tcBorders>
              <w:top w:val="nil"/>
              <w:left w:val="nil"/>
              <w:bottom w:val="nil"/>
              <w:right w:val="nil"/>
            </w:tcBorders>
            <w:shd w:val="clear" w:color="auto" w:fill="auto"/>
            <w:noWrap/>
            <w:vAlign w:val="bottom"/>
          </w:tcPr>
          <w:p w14:paraId="2363C16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(.00055</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26D01598"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5A0DC8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280" w:type="dxa"/>
            <w:tcBorders>
              <w:top w:val="nil"/>
              <w:left w:val="nil"/>
              <w:bottom w:val="nil"/>
              <w:right w:val="nil"/>
            </w:tcBorders>
            <w:shd w:val="clear" w:color="auto" w:fill="auto"/>
            <w:noWrap/>
            <w:vAlign w:val="bottom"/>
          </w:tcPr>
          <w:p w14:paraId="573950A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-.00154***</w:t>
            </w:r>
          </w:p>
        </w:tc>
        <w:tc>
          <w:tcPr>
            <w:tcW w:w="1260" w:type="dxa"/>
            <w:tcBorders>
              <w:top w:val="nil"/>
              <w:left w:val="nil"/>
              <w:bottom w:val="nil"/>
              <w:right w:val="nil"/>
            </w:tcBorders>
            <w:shd w:val="clear" w:color="auto" w:fill="auto"/>
            <w:noWrap/>
            <w:vAlign w:val="bottom"/>
          </w:tcPr>
          <w:p w14:paraId="4CD9060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-.00153***</w:t>
            </w:r>
          </w:p>
        </w:tc>
        <w:tc>
          <w:tcPr>
            <w:tcW w:w="1260" w:type="dxa"/>
            <w:tcBorders>
              <w:top w:val="nil"/>
              <w:left w:val="nil"/>
              <w:bottom w:val="nil"/>
              <w:right w:val="nil"/>
            </w:tcBorders>
            <w:shd w:val="clear" w:color="auto" w:fill="auto"/>
            <w:noWrap/>
            <w:vAlign w:val="bottom"/>
          </w:tcPr>
          <w:p w14:paraId="3CC99DE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-.00131***</w:t>
            </w:r>
          </w:p>
        </w:tc>
        <w:tc>
          <w:tcPr>
            <w:tcW w:w="1260" w:type="dxa"/>
            <w:tcBorders>
              <w:top w:val="nil"/>
              <w:left w:val="nil"/>
              <w:bottom w:val="nil"/>
              <w:right w:val="nil"/>
            </w:tcBorders>
            <w:shd w:val="clear" w:color="auto" w:fill="auto"/>
            <w:noWrap/>
            <w:vAlign w:val="bottom"/>
          </w:tcPr>
          <w:p w14:paraId="1DBA77F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-.00139***</w:t>
            </w:r>
          </w:p>
        </w:tc>
        <w:tc>
          <w:tcPr>
            <w:tcW w:w="1260" w:type="dxa"/>
            <w:tcBorders>
              <w:top w:val="nil"/>
              <w:left w:val="nil"/>
              <w:bottom w:val="nil"/>
              <w:right w:val="nil"/>
            </w:tcBorders>
            <w:shd w:val="clear" w:color="auto" w:fill="auto"/>
            <w:noWrap/>
            <w:vAlign w:val="bottom"/>
          </w:tcPr>
          <w:p w14:paraId="1598ED3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-.00138***</w:t>
            </w:r>
          </w:p>
        </w:tc>
      </w:tr>
      <w:tr w:rsidR="00890FA4" w:rsidRPr="00351E73" w14:paraId="34C3F367"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7D922D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019610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(.0000548)</w:t>
            </w:r>
          </w:p>
        </w:tc>
        <w:tc>
          <w:tcPr>
            <w:tcW w:w="1260" w:type="dxa"/>
            <w:tcBorders>
              <w:top w:val="nil"/>
              <w:left w:val="nil"/>
              <w:bottom w:val="nil"/>
              <w:right w:val="nil"/>
            </w:tcBorders>
            <w:shd w:val="clear" w:color="auto" w:fill="auto"/>
            <w:noWrap/>
            <w:vAlign w:val="bottom"/>
          </w:tcPr>
          <w:p w14:paraId="68AD013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(.0000543)</w:t>
            </w:r>
          </w:p>
        </w:tc>
        <w:tc>
          <w:tcPr>
            <w:tcW w:w="1260" w:type="dxa"/>
            <w:tcBorders>
              <w:top w:val="nil"/>
              <w:left w:val="nil"/>
              <w:bottom w:val="nil"/>
              <w:right w:val="nil"/>
            </w:tcBorders>
            <w:shd w:val="clear" w:color="auto" w:fill="auto"/>
            <w:noWrap/>
            <w:vAlign w:val="bottom"/>
          </w:tcPr>
          <w:p w14:paraId="5015995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(.0000592)</w:t>
            </w:r>
          </w:p>
        </w:tc>
        <w:tc>
          <w:tcPr>
            <w:tcW w:w="1260" w:type="dxa"/>
            <w:tcBorders>
              <w:top w:val="nil"/>
              <w:left w:val="nil"/>
              <w:bottom w:val="nil"/>
              <w:right w:val="nil"/>
            </w:tcBorders>
            <w:shd w:val="clear" w:color="auto" w:fill="auto"/>
            <w:noWrap/>
            <w:vAlign w:val="bottom"/>
          </w:tcPr>
          <w:p w14:paraId="67A882B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(.0000597)</w:t>
            </w:r>
          </w:p>
        </w:tc>
        <w:tc>
          <w:tcPr>
            <w:tcW w:w="1260" w:type="dxa"/>
            <w:tcBorders>
              <w:top w:val="nil"/>
              <w:left w:val="nil"/>
              <w:bottom w:val="nil"/>
              <w:right w:val="nil"/>
            </w:tcBorders>
            <w:shd w:val="clear" w:color="auto" w:fill="auto"/>
            <w:noWrap/>
            <w:vAlign w:val="bottom"/>
          </w:tcPr>
          <w:p w14:paraId="46AB4D5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(.0000617)</w:t>
            </w:r>
          </w:p>
        </w:tc>
      </w:tr>
      <w:tr w:rsidR="00890FA4" w:rsidRPr="00351E73" w14:paraId="67EE216A"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5C5D919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280" w:type="dxa"/>
            <w:tcBorders>
              <w:top w:val="nil"/>
              <w:left w:val="nil"/>
              <w:bottom w:val="nil"/>
              <w:right w:val="nil"/>
            </w:tcBorders>
            <w:shd w:val="clear" w:color="auto" w:fill="auto"/>
            <w:noWrap/>
            <w:vAlign w:val="bottom"/>
          </w:tcPr>
          <w:p w14:paraId="0CA7C35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-.184***</w:t>
            </w:r>
          </w:p>
        </w:tc>
        <w:tc>
          <w:tcPr>
            <w:tcW w:w="1260" w:type="dxa"/>
            <w:tcBorders>
              <w:top w:val="nil"/>
              <w:left w:val="nil"/>
              <w:bottom w:val="nil"/>
              <w:right w:val="nil"/>
            </w:tcBorders>
            <w:shd w:val="clear" w:color="auto" w:fill="auto"/>
            <w:noWrap/>
            <w:vAlign w:val="bottom"/>
          </w:tcPr>
          <w:p w14:paraId="1AFCFCB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-.196***</w:t>
            </w:r>
          </w:p>
        </w:tc>
        <w:tc>
          <w:tcPr>
            <w:tcW w:w="1260" w:type="dxa"/>
            <w:tcBorders>
              <w:top w:val="nil"/>
              <w:left w:val="nil"/>
              <w:bottom w:val="nil"/>
              <w:right w:val="nil"/>
            </w:tcBorders>
            <w:shd w:val="clear" w:color="auto" w:fill="auto"/>
            <w:noWrap/>
            <w:vAlign w:val="bottom"/>
          </w:tcPr>
          <w:p w14:paraId="7678408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-.188***</w:t>
            </w:r>
          </w:p>
        </w:tc>
        <w:tc>
          <w:tcPr>
            <w:tcW w:w="1260" w:type="dxa"/>
            <w:tcBorders>
              <w:top w:val="nil"/>
              <w:left w:val="nil"/>
              <w:bottom w:val="nil"/>
              <w:right w:val="nil"/>
            </w:tcBorders>
            <w:shd w:val="clear" w:color="auto" w:fill="auto"/>
            <w:noWrap/>
            <w:vAlign w:val="bottom"/>
          </w:tcPr>
          <w:p w14:paraId="7E50C73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-.186***</w:t>
            </w:r>
          </w:p>
        </w:tc>
        <w:tc>
          <w:tcPr>
            <w:tcW w:w="1260" w:type="dxa"/>
            <w:tcBorders>
              <w:top w:val="nil"/>
              <w:left w:val="nil"/>
              <w:bottom w:val="nil"/>
              <w:right w:val="nil"/>
            </w:tcBorders>
            <w:shd w:val="clear" w:color="auto" w:fill="auto"/>
            <w:noWrap/>
            <w:vAlign w:val="bottom"/>
          </w:tcPr>
          <w:p w14:paraId="7BF7AE7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-.189***</w:t>
            </w:r>
          </w:p>
        </w:tc>
      </w:tr>
      <w:tr w:rsidR="00890FA4" w:rsidRPr="00351E73" w14:paraId="4DAD0740"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3584D346"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3A9F04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(.00574)</w:t>
            </w:r>
          </w:p>
        </w:tc>
        <w:tc>
          <w:tcPr>
            <w:tcW w:w="1260" w:type="dxa"/>
            <w:tcBorders>
              <w:top w:val="nil"/>
              <w:left w:val="nil"/>
              <w:bottom w:val="nil"/>
              <w:right w:val="nil"/>
            </w:tcBorders>
            <w:shd w:val="clear" w:color="auto" w:fill="auto"/>
            <w:noWrap/>
            <w:vAlign w:val="bottom"/>
          </w:tcPr>
          <w:p w14:paraId="6972E6E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(.00578)</w:t>
            </w:r>
          </w:p>
        </w:tc>
        <w:tc>
          <w:tcPr>
            <w:tcW w:w="1260" w:type="dxa"/>
            <w:tcBorders>
              <w:top w:val="nil"/>
              <w:left w:val="nil"/>
              <w:bottom w:val="nil"/>
              <w:right w:val="nil"/>
            </w:tcBorders>
            <w:shd w:val="clear" w:color="auto" w:fill="auto"/>
            <w:noWrap/>
            <w:vAlign w:val="bottom"/>
          </w:tcPr>
          <w:p w14:paraId="7811C87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(.00617)</w:t>
            </w:r>
          </w:p>
        </w:tc>
        <w:tc>
          <w:tcPr>
            <w:tcW w:w="1260" w:type="dxa"/>
            <w:tcBorders>
              <w:top w:val="nil"/>
              <w:left w:val="nil"/>
              <w:bottom w:val="nil"/>
              <w:right w:val="nil"/>
            </w:tcBorders>
            <w:shd w:val="clear" w:color="auto" w:fill="auto"/>
            <w:noWrap/>
            <w:vAlign w:val="bottom"/>
          </w:tcPr>
          <w:p w14:paraId="5D45850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(.00627)</w:t>
            </w:r>
          </w:p>
        </w:tc>
        <w:tc>
          <w:tcPr>
            <w:tcW w:w="1260" w:type="dxa"/>
            <w:tcBorders>
              <w:top w:val="nil"/>
              <w:left w:val="nil"/>
              <w:bottom w:val="nil"/>
              <w:right w:val="nil"/>
            </w:tcBorders>
            <w:shd w:val="clear" w:color="auto" w:fill="auto"/>
            <w:noWrap/>
            <w:vAlign w:val="bottom"/>
          </w:tcPr>
          <w:p w14:paraId="4F0D561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(.00651)</w:t>
            </w:r>
          </w:p>
        </w:tc>
      </w:tr>
      <w:tr w:rsidR="00890FA4" w:rsidRPr="00351E73" w14:paraId="6473806A"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01FBF9F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OwnerOcc</w:t>
            </w:r>
          </w:p>
        </w:tc>
        <w:tc>
          <w:tcPr>
            <w:tcW w:w="1280" w:type="dxa"/>
            <w:tcBorders>
              <w:top w:val="nil"/>
              <w:left w:val="nil"/>
              <w:bottom w:val="nil"/>
              <w:right w:val="nil"/>
            </w:tcBorders>
            <w:shd w:val="clear" w:color="auto" w:fill="auto"/>
            <w:noWrap/>
            <w:vAlign w:val="bottom"/>
          </w:tcPr>
          <w:p w14:paraId="3AB253A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-.257***</w:t>
            </w:r>
          </w:p>
        </w:tc>
        <w:tc>
          <w:tcPr>
            <w:tcW w:w="1260" w:type="dxa"/>
            <w:tcBorders>
              <w:top w:val="nil"/>
              <w:left w:val="nil"/>
              <w:bottom w:val="nil"/>
              <w:right w:val="nil"/>
            </w:tcBorders>
            <w:shd w:val="clear" w:color="auto" w:fill="auto"/>
            <w:noWrap/>
            <w:vAlign w:val="bottom"/>
          </w:tcPr>
          <w:p w14:paraId="663FE0F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-.261***</w:t>
            </w:r>
          </w:p>
        </w:tc>
        <w:tc>
          <w:tcPr>
            <w:tcW w:w="1260" w:type="dxa"/>
            <w:tcBorders>
              <w:top w:val="nil"/>
              <w:left w:val="nil"/>
              <w:bottom w:val="nil"/>
              <w:right w:val="nil"/>
            </w:tcBorders>
            <w:shd w:val="clear" w:color="auto" w:fill="auto"/>
            <w:noWrap/>
            <w:vAlign w:val="bottom"/>
          </w:tcPr>
          <w:p w14:paraId="3BA7716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-.252***</w:t>
            </w:r>
          </w:p>
        </w:tc>
        <w:tc>
          <w:tcPr>
            <w:tcW w:w="1260" w:type="dxa"/>
            <w:tcBorders>
              <w:top w:val="nil"/>
              <w:left w:val="nil"/>
              <w:bottom w:val="nil"/>
              <w:right w:val="nil"/>
            </w:tcBorders>
            <w:shd w:val="clear" w:color="auto" w:fill="auto"/>
            <w:noWrap/>
            <w:vAlign w:val="bottom"/>
          </w:tcPr>
          <w:p w14:paraId="21B5487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-.251***</w:t>
            </w:r>
          </w:p>
        </w:tc>
        <w:tc>
          <w:tcPr>
            <w:tcW w:w="1260" w:type="dxa"/>
            <w:tcBorders>
              <w:top w:val="nil"/>
              <w:left w:val="nil"/>
              <w:bottom w:val="nil"/>
              <w:right w:val="nil"/>
            </w:tcBorders>
            <w:shd w:val="clear" w:color="auto" w:fill="auto"/>
            <w:noWrap/>
            <w:vAlign w:val="bottom"/>
          </w:tcPr>
          <w:p w14:paraId="42A8E55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-.248***</w:t>
            </w:r>
          </w:p>
        </w:tc>
      </w:tr>
      <w:tr w:rsidR="00890FA4" w:rsidRPr="00351E73" w14:paraId="18EC66F4"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3E1250B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5FAFD0D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(.00571)</w:t>
            </w:r>
          </w:p>
        </w:tc>
        <w:tc>
          <w:tcPr>
            <w:tcW w:w="1260" w:type="dxa"/>
            <w:tcBorders>
              <w:top w:val="nil"/>
              <w:left w:val="nil"/>
              <w:bottom w:val="nil"/>
              <w:right w:val="nil"/>
            </w:tcBorders>
            <w:shd w:val="clear" w:color="auto" w:fill="auto"/>
            <w:noWrap/>
            <w:vAlign w:val="bottom"/>
          </w:tcPr>
          <w:p w14:paraId="76EB260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(.00567)</w:t>
            </w:r>
          </w:p>
        </w:tc>
        <w:tc>
          <w:tcPr>
            <w:tcW w:w="1260" w:type="dxa"/>
            <w:tcBorders>
              <w:top w:val="nil"/>
              <w:left w:val="nil"/>
              <w:bottom w:val="nil"/>
              <w:right w:val="nil"/>
            </w:tcBorders>
            <w:shd w:val="clear" w:color="auto" w:fill="auto"/>
            <w:noWrap/>
            <w:vAlign w:val="bottom"/>
          </w:tcPr>
          <w:p w14:paraId="361E287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(.00611)</w:t>
            </w:r>
          </w:p>
        </w:tc>
        <w:tc>
          <w:tcPr>
            <w:tcW w:w="1260" w:type="dxa"/>
            <w:tcBorders>
              <w:top w:val="nil"/>
              <w:left w:val="nil"/>
              <w:bottom w:val="nil"/>
              <w:right w:val="nil"/>
            </w:tcBorders>
            <w:shd w:val="clear" w:color="auto" w:fill="auto"/>
            <w:noWrap/>
            <w:vAlign w:val="bottom"/>
          </w:tcPr>
          <w:p w14:paraId="3E0436B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(.0062</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42B445F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(.00636)</w:t>
            </w:r>
          </w:p>
        </w:tc>
      </w:tr>
      <w:tr w:rsidR="00890FA4" w:rsidRPr="00351E73" w14:paraId="7FC2CEF8"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403652C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Term30</w:t>
            </w:r>
          </w:p>
        </w:tc>
        <w:tc>
          <w:tcPr>
            <w:tcW w:w="1280" w:type="dxa"/>
            <w:tcBorders>
              <w:top w:val="nil"/>
              <w:left w:val="nil"/>
              <w:bottom w:val="nil"/>
              <w:right w:val="nil"/>
            </w:tcBorders>
            <w:shd w:val="clear" w:color="auto" w:fill="auto"/>
            <w:noWrap/>
            <w:vAlign w:val="bottom"/>
          </w:tcPr>
          <w:p w14:paraId="7F12F96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.539***</w:t>
            </w:r>
          </w:p>
        </w:tc>
        <w:tc>
          <w:tcPr>
            <w:tcW w:w="1260" w:type="dxa"/>
            <w:tcBorders>
              <w:top w:val="nil"/>
              <w:left w:val="nil"/>
              <w:bottom w:val="nil"/>
              <w:right w:val="nil"/>
            </w:tcBorders>
            <w:shd w:val="clear" w:color="auto" w:fill="auto"/>
            <w:noWrap/>
            <w:vAlign w:val="bottom"/>
          </w:tcPr>
          <w:p w14:paraId="15F6E57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.528***</w:t>
            </w:r>
          </w:p>
        </w:tc>
        <w:tc>
          <w:tcPr>
            <w:tcW w:w="1260" w:type="dxa"/>
            <w:tcBorders>
              <w:top w:val="nil"/>
              <w:left w:val="nil"/>
              <w:bottom w:val="nil"/>
              <w:right w:val="nil"/>
            </w:tcBorders>
            <w:shd w:val="clear" w:color="auto" w:fill="auto"/>
            <w:noWrap/>
            <w:vAlign w:val="bottom"/>
          </w:tcPr>
          <w:p w14:paraId="3BCD182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.541***</w:t>
            </w:r>
          </w:p>
        </w:tc>
        <w:tc>
          <w:tcPr>
            <w:tcW w:w="1260" w:type="dxa"/>
            <w:tcBorders>
              <w:top w:val="nil"/>
              <w:left w:val="nil"/>
              <w:bottom w:val="nil"/>
              <w:right w:val="nil"/>
            </w:tcBorders>
            <w:shd w:val="clear" w:color="auto" w:fill="auto"/>
            <w:noWrap/>
            <w:vAlign w:val="bottom"/>
          </w:tcPr>
          <w:p w14:paraId="4624BD4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.55</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0A7D30B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.549***</w:t>
            </w:r>
          </w:p>
        </w:tc>
      </w:tr>
      <w:tr w:rsidR="00890FA4" w:rsidRPr="00351E73" w14:paraId="7C58C61B"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6F8AEEE9"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FFC535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(.0111)</w:t>
            </w:r>
          </w:p>
        </w:tc>
        <w:tc>
          <w:tcPr>
            <w:tcW w:w="1260" w:type="dxa"/>
            <w:tcBorders>
              <w:top w:val="nil"/>
              <w:left w:val="nil"/>
              <w:bottom w:val="nil"/>
              <w:right w:val="nil"/>
            </w:tcBorders>
            <w:shd w:val="clear" w:color="auto" w:fill="auto"/>
            <w:noWrap/>
            <w:vAlign w:val="bottom"/>
          </w:tcPr>
          <w:p w14:paraId="4E16CDD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(.0109)</w:t>
            </w:r>
          </w:p>
        </w:tc>
        <w:tc>
          <w:tcPr>
            <w:tcW w:w="1260" w:type="dxa"/>
            <w:tcBorders>
              <w:top w:val="nil"/>
              <w:left w:val="nil"/>
              <w:bottom w:val="nil"/>
              <w:right w:val="nil"/>
            </w:tcBorders>
            <w:shd w:val="clear" w:color="auto" w:fill="auto"/>
            <w:noWrap/>
            <w:vAlign w:val="bottom"/>
          </w:tcPr>
          <w:p w14:paraId="5BE437C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(.0119)</w:t>
            </w:r>
          </w:p>
        </w:tc>
        <w:tc>
          <w:tcPr>
            <w:tcW w:w="1260" w:type="dxa"/>
            <w:tcBorders>
              <w:top w:val="nil"/>
              <w:left w:val="nil"/>
              <w:bottom w:val="nil"/>
              <w:right w:val="nil"/>
            </w:tcBorders>
            <w:shd w:val="clear" w:color="auto" w:fill="auto"/>
            <w:noWrap/>
            <w:vAlign w:val="bottom"/>
          </w:tcPr>
          <w:p w14:paraId="5D3DAD3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(.0121)</w:t>
            </w:r>
          </w:p>
        </w:tc>
        <w:tc>
          <w:tcPr>
            <w:tcW w:w="1260" w:type="dxa"/>
            <w:tcBorders>
              <w:top w:val="nil"/>
              <w:left w:val="nil"/>
              <w:bottom w:val="nil"/>
              <w:right w:val="nil"/>
            </w:tcBorders>
            <w:shd w:val="clear" w:color="auto" w:fill="auto"/>
            <w:noWrap/>
            <w:vAlign w:val="bottom"/>
          </w:tcPr>
          <w:p w14:paraId="222B90A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(.0125)</w:t>
            </w:r>
          </w:p>
        </w:tc>
      </w:tr>
      <w:tr w:rsidR="00890FA4" w:rsidRPr="00351E73" w14:paraId="62B37471"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74B4F48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Prime</w:t>
            </w:r>
          </w:p>
        </w:tc>
        <w:tc>
          <w:tcPr>
            <w:tcW w:w="1280" w:type="dxa"/>
            <w:tcBorders>
              <w:top w:val="nil"/>
              <w:left w:val="nil"/>
              <w:bottom w:val="nil"/>
              <w:right w:val="nil"/>
            </w:tcBorders>
            <w:shd w:val="clear" w:color="auto" w:fill="auto"/>
            <w:noWrap/>
            <w:vAlign w:val="bottom"/>
          </w:tcPr>
          <w:p w14:paraId="5D16405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.151***</w:t>
            </w:r>
          </w:p>
        </w:tc>
        <w:tc>
          <w:tcPr>
            <w:tcW w:w="1260" w:type="dxa"/>
            <w:tcBorders>
              <w:top w:val="nil"/>
              <w:left w:val="nil"/>
              <w:bottom w:val="nil"/>
              <w:right w:val="nil"/>
            </w:tcBorders>
            <w:shd w:val="clear" w:color="auto" w:fill="auto"/>
            <w:noWrap/>
            <w:vAlign w:val="bottom"/>
          </w:tcPr>
          <w:p w14:paraId="39AF9E0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.151***</w:t>
            </w:r>
          </w:p>
        </w:tc>
        <w:tc>
          <w:tcPr>
            <w:tcW w:w="1260" w:type="dxa"/>
            <w:tcBorders>
              <w:top w:val="nil"/>
              <w:left w:val="nil"/>
              <w:bottom w:val="nil"/>
              <w:right w:val="nil"/>
            </w:tcBorders>
            <w:shd w:val="clear" w:color="auto" w:fill="auto"/>
            <w:noWrap/>
            <w:vAlign w:val="bottom"/>
          </w:tcPr>
          <w:p w14:paraId="214E4A8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.163***</w:t>
            </w:r>
          </w:p>
        </w:tc>
        <w:tc>
          <w:tcPr>
            <w:tcW w:w="1260" w:type="dxa"/>
            <w:tcBorders>
              <w:top w:val="nil"/>
              <w:left w:val="nil"/>
              <w:bottom w:val="nil"/>
              <w:right w:val="nil"/>
            </w:tcBorders>
            <w:shd w:val="clear" w:color="auto" w:fill="auto"/>
            <w:noWrap/>
            <w:vAlign w:val="bottom"/>
          </w:tcPr>
          <w:p w14:paraId="538D408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.163***</w:t>
            </w:r>
          </w:p>
        </w:tc>
        <w:tc>
          <w:tcPr>
            <w:tcW w:w="1260" w:type="dxa"/>
            <w:tcBorders>
              <w:top w:val="nil"/>
              <w:left w:val="nil"/>
              <w:bottom w:val="nil"/>
              <w:right w:val="nil"/>
            </w:tcBorders>
            <w:shd w:val="clear" w:color="auto" w:fill="auto"/>
            <w:noWrap/>
            <w:vAlign w:val="bottom"/>
          </w:tcPr>
          <w:p w14:paraId="6CF0888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.17</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6ACF043C"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1987108F"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6D92FAF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(.00574)</w:t>
            </w:r>
          </w:p>
        </w:tc>
        <w:tc>
          <w:tcPr>
            <w:tcW w:w="1260" w:type="dxa"/>
            <w:tcBorders>
              <w:top w:val="nil"/>
              <w:left w:val="nil"/>
              <w:bottom w:val="nil"/>
              <w:right w:val="nil"/>
            </w:tcBorders>
            <w:shd w:val="clear" w:color="auto" w:fill="auto"/>
            <w:noWrap/>
            <w:vAlign w:val="bottom"/>
          </w:tcPr>
          <w:p w14:paraId="3AB1C3D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(.00559)</w:t>
            </w:r>
          </w:p>
        </w:tc>
        <w:tc>
          <w:tcPr>
            <w:tcW w:w="1260" w:type="dxa"/>
            <w:tcBorders>
              <w:top w:val="nil"/>
              <w:left w:val="nil"/>
              <w:bottom w:val="nil"/>
              <w:right w:val="nil"/>
            </w:tcBorders>
            <w:shd w:val="clear" w:color="auto" w:fill="auto"/>
            <w:noWrap/>
            <w:vAlign w:val="bottom"/>
          </w:tcPr>
          <w:p w14:paraId="50B31CA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(.00621)</w:t>
            </w:r>
          </w:p>
        </w:tc>
        <w:tc>
          <w:tcPr>
            <w:tcW w:w="1260" w:type="dxa"/>
            <w:tcBorders>
              <w:top w:val="nil"/>
              <w:left w:val="nil"/>
              <w:bottom w:val="nil"/>
              <w:right w:val="nil"/>
            </w:tcBorders>
            <w:shd w:val="clear" w:color="auto" w:fill="auto"/>
            <w:noWrap/>
            <w:vAlign w:val="bottom"/>
          </w:tcPr>
          <w:p w14:paraId="025EC45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(.00633)</w:t>
            </w:r>
          </w:p>
        </w:tc>
        <w:tc>
          <w:tcPr>
            <w:tcW w:w="1260" w:type="dxa"/>
            <w:tcBorders>
              <w:top w:val="nil"/>
              <w:left w:val="nil"/>
              <w:bottom w:val="nil"/>
              <w:right w:val="nil"/>
            </w:tcBorders>
            <w:shd w:val="clear" w:color="auto" w:fill="auto"/>
            <w:noWrap/>
            <w:vAlign w:val="bottom"/>
          </w:tcPr>
          <w:p w14:paraId="089F857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(.00653)</w:t>
            </w:r>
          </w:p>
        </w:tc>
      </w:tr>
      <w:tr w:rsidR="00890FA4" w:rsidRPr="00351E73" w14:paraId="1F5E7675" w14:textId="77777777" w:rsidTr="00890FA4">
        <w:trPr>
          <w:trHeight w:val="255"/>
          <w:jc w:val="center"/>
        </w:trPr>
        <w:tc>
          <w:tcPr>
            <w:tcW w:w="1600" w:type="dxa"/>
            <w:tcBorders>
              <w:top w:val="nil"/>
              <w:left w:val="nil"/>
              <w:bottom w:val="nil"/>
              <w:right w:val="nil"/>
            </w:tcBorders>
            <w:shd w:val="clear" w:color="auto" w:fill="auto"/>
            <w:noWrap/>
            <w:vAlign w:val="bottom"/>
            <w:hideMark/>
          </w:tcPr>
          <w:p w14:paraId="22E26DDF"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639DC6E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36E52D7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110D1C8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3F0B02D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bottom w:val="nil"/>
              <w:right w:val="nil"/>
            </w:tcBorders>
            <w:shd w:val="clear" w:color="auto" w:fill="auto"/>
            <w:noWrap/>
            <w:vAlign w:val="bottom"/>
          </w:tcPr>
          <w:p w14:paraId="2477B4C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r>
      <w:tr w:rsidR="00890FA4" w:rsidRPr="00351E73" w14:paraId="672094E8" w14:textId="77777777" w:rsidTr="00890FA4">
        <w:trPr>
          <w:trHeight w:val="255"/>
          <w:jc w:val="center"/>
        </w:trPr>
        <w:tc>
          <w:tcPr>
            <w:tcW w:w="1600" w:type="dxa"/>
            <w:tcBorders>
              <w:top w:val="nil"/>
              <w:left w:val="nil"/>
              <w:right w:val="nil"/>
            </w:tcBorders>
            <w:shd w:val="clear" w:color="auto" w:fill="auto"/>
            <w:noWrap/>
            <w:vAlign w:val="bottom"/>
            <w:hideMark/>
          </w:tcPr>
          <w:p w14:paraId="05F32346"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Observations</w:t>
            </w:r>
          </w:p>
        </w:tc>
        <w:tc>
          <w:tcPr>
            <w:tcW w:w="1280" w:type="dxa"/>
            <w:tcBorders>
              <w:top w:val="nil"/>
              <w:left w:val="nil"/>
              <w:right w:val="nil"/>
            </w:tcBorders>
            <w:shd w:val="clear" w:color="auto" w:fill="auto"/>
            <w:noWrap/>
            <w:vAlign w:val="center"/>
          </w:tcPr>
          <w:p w14:paraId="5B9CF3D1"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59,164 </w:t>
            </w:r>
          </w:p>
        </w:tc>
        <w:tc>
          <w:tcPr>
            <w:tcW w:w="1260" w:type="dxa"/>
            <w:tcBorders>
              <w:top w:val="nil"/>
              <w:left w:val="nil"/>
              <w:right w:val="nil"/>
            </w:tcBorders>
            <w:shd w:val="clear" w:color="auto" w:fill="auto"/>
            <w:noWrap/>
            <w:vAlign w:val="center"/>
          </w:tcPr>
          <w:p w14:paraId="2F428C64"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53,120 </w:t>
            </w:r>
          </w:p>
        </w:tc>
        <w:tc>
          <w:tcPr>
            <w:tcW w:w="1260" w:type="dxa"/>
            <w:tcBorders>
              <w:top w:val="nil"/>
              <w:left w:val="nil"/>
              <w:right w:val="nil"/>
            </w:tcBorders>
            <w:shd w:val="clear" w:color="auto" w:fill="auto"/>
            <w:noWrap/>
            <w:vAlign w:val="center"/>
          </w:tcPr>
          <w:p w14:paraId="2710AEA6"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45,968 </w:t>
            </w:r>
          </w:p>
        </w:tc>
        <w:tc>
          <w:tcPr>
            <w:tcW w:w="1260" w:type="dxa"/>
            <w:tcBorders>
              <w:top w:val="nil"/>
              <w:left w:val="nil"/>
              <w:right w:val="nil"/>
            </w:tcBorders>
            <w:shd w:val="clear" w:color="auto" w:fill="auto"/>
            <w:noWrap/>
            <w:vAlign w:val="center"/>
          </w:tcPr>
          <w:p w14:paraId="4608D35F"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44,178 </w:t>
            </w:r>
          </w:p>
        </w:tc>
        <w:tc>
          <w:tcPr>
            <w:tcW w:w="1260" w:type="dxa"/>
            <w:tcBorders>
              <w:top w:val="nil"/>
              <w:left w:val="nil"/>
              <w:right w:val="nil"/>
            </w:tcBorders>
            <w:shd w:val="clear" w:color="auto" w:fill="auto"/>
            <w:noWrap/>
            <w:vAlign w:val="center"/>
          </w:tcPr>
          <w:p w14:paraId="5BA1BEC6"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41,704 </w:t>
            </w:r>
          </w:p>
        </w:tc>
      </w:tr>
      <w:tr w:rsidR="00890FA4" w:rsidRPr="00351E73" w14:paraId="0FB5D830" w14:textId="77777777" w:rsidTr="00890FA4">
        <w:trPr>
          <w:trHeight w:val="255"/>
          <w:jc w:val="center"/>
        </w:trPr>
        <w:tc>
          <w:tcPr>
            <w:tcW w:w="1600" w:type="dxa"/>
            <w:tcBorders>
              <w:top w:val="nil"/>
              <w:left w:val="nil"/>
              <w:bottom w:val="single" w:sz="4" w:space="0" w:color="auto"/>
              <w:right w:val="nil"/>
            </w:tcBorders>
            <w:shd w:val="clear" w:color="auto" w:fill="auto"/>
            <w:noWrap/>
            <w:vAlign w:val="bottom"/>
            <w:hideMark/>
          </w:tcPr>
          <w:p w14:paraId="67FD8675"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R</w:t>
            </w:r>
            <w:r w:rsidRPr="00351E73">
              <w:rPr>
                <w:rFonts w:ascii="Calibri" w:eastAsia="Times New Roman" w:hAnsi="Calibri" w:cs="Calibri"/>
                <w:sz w:val="20"/>
                <w:szCs w:val="20"/>
                <w:vertAlign w:val="superscript"/>
              </w:rPr>
              <w:t>2</w:t>
            </w:r>
          </w:p>
        </w:tc>
        <w:tc>
          <w:tcPr>
            <w:tcW w:w="1280" w:type="dxa"/>
            <w:tcBorders>
              <w:top w:val="nil"/>
              <w:left w:val="nil"/>
              <w:bottom w:val="single" w:sz="4" w:space="0" w:color="auto"/>
              <w:right w:val="nil"/>
            </w:tcBorders>
            <w:shd w:val="clear" w:color="auto" w:fill="auto"/>
            <w:noWrap/>
            <w:vAlign w:val="center"/>
          </w:tcPr>
          <w:p w14:paraId="041C3237"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0.803</w:t>
            </w:r>
          </w:p>
        </w:tc>
        <w:tc>
          <w:tcPr>
            <w:tcW w:w="1260" w:type="dxa"/>
            <w:tcBorders>
              <w:top w:val="nil"/>
              <w:left w:val="nil"/>
              <w:bottom w:val="single" w:sz="4" w:space="0" w:color="auto"/>
              <w:right w:val="nil"/>
            </w:tcBorders>
            <w:shd w:val="clear" w:color="auto" w:fill="auto"/>
            <w:noWrap/>
            <w:vAlign w:val="bottom"/>
          </w:tcPr>
          <w:p w14:paraId="48BF172F"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0.831</w:t>
            </w:r>
          </w:p>
        </w:tc>
        <w:tc>
          <w:tcPr>
            <w:tcW w:w="1260" w:type="dxa"/>
            <w:tcBorders>
              <w:top w:val="nil"/>
              <w:left w:val="nil"/>
              <w:bottom w:val="single" w:sz="4" w:space="0" w:color="auto"/>
              <w:right w:val="nil"/>
            </w:tcBorders>
            <w:shd w:val="clear" w:color="auto" w:fill="auto"/>
            <w:noWrap/>
            <w:vAlign w:val="bottom"/>
          </w:tcPr>
          <w:p w14:paraId="65E9508C"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0.838</w:t>
            </w:r>
          </w:p>
        </w:tc>
        <w:tc>
          <w:tcPr>
            <w:tcW w:w="1260" w:type="dxa"/>
            <w:tcBorders>
              <w:top w:val="nil"/>
              <w:left w:val="nil"/>
              <w:bottom w:val="single" w:sz="4" w:space="0" w:color="auto"/>
              <w:right w:val="nil"/>
            </w:tcBorders>
            <w:shd w:val="clear" w:color="auto" w:fill="auto"/>
            <w:noWrap/>
            <w:vAlign w:val="bottom"/>
          </w:tcPr>
          <w:p w14:paraId="42C3E8F8"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0.84</w:t>
            </w:r>
          </w:p>
        </w:tc>
        <w:tc>
          <w:tcPr>
            <w:tcW w:w="1260" w:type="dxa"/>
            <w:tcBorders>
              <w:top w:val="nil"/>
              <w:left w:val="nil"/>
              <w:bottom w:val="single" w:sz="4" w:space="0" w:color="auto"/>
              <w:right w:val="nil"/>
            </w:tcBorders>
            <w:shd w:val="clear" w:color="auto" w:fill="auto"/>
            <w:noWrap/>
            <w:vAlign w:val="bottom"/>
          </w:tcPr>
          <w:p w14:paraId="70CD5153"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0.842</w:t>
            </w:r>
          </w:p>
        </w:tc>
      </w:tr>
      <w:tr w:rsidR="00890FA4" w:rsidRPr="00351E73" w14:paraId="68A5DC2A" w14:textId="77777777" w:rsidTr="00890FA4">
        <w:trPr>
          <w:trHeight w:val="255"/>
          <w:jc w:val="center"/>
        </w:trPr>
        <w:tc>
          <w:tcPr>
            <w:tcW w:w="1600" w:type="dxa"/>
            <w:tcBorders>
              <w:top w:val="single" w:sz="4" w:space="0" w:color="auto"/>
              <w:left w:val="nil"/>
              <w:bottom w:val="nil"/>
              <w:right w:val="nil"/>
            </w:tcBorders>
            <w:shd w:val="clear" w:color="auto" w:fill="auto"/>
            <w:noWrap/>
            <w:vAlign w:val="bottom"/>
          </w:tcPr>
          <w:p w14:paraId="4E3366CE" w14:textId="77777777" w:rsidR="00890FA4" w:rsidRPr="00351E73" w:rsidRDefault="00890FA4" w:rsidP="00931F65">
            <w:pPr>
              <w:spacing w:after="0" w:line="240" w:lineRule="auto"/>
              <w:rPr>
                <w:rFonts w:ascii="Calibri" w:eastAsia="Times New Roman" w:hAnsi="Calibri" w:cs="Calibri"/>
                <w:sz w:val="20"/>
                <w:szCs w:val="20"/>
              </w:rPr>
            </w:pPr>
          </w:p>
        </w:tc>
        <w:tc>
          <w:tcPr>
            <w:tcW w:w="6320" w:type="dxa"/>
            <w:gridSpan w:val="5"/>
            <w:tcBorders>
              <w:top w:val="single" w:sz="4" w:space="0" w:color="auto"/>
              <w:left w:val="nil"/>
              <w:bottom w:val="nil"/>
              <w:right w:val="nil"/>
            </w:tcBorders>
            <w:shd w:val="clear" w:color="auto" w:fill="auto"/>
            <w:noWrap/>
            <w:vAlign w:val="bottom"/>
          </w:tcPr>
          <w:p w14:paraId="24FBBD9C"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 xml:space="preserve">Dependent variable: </w:t>
            </w:r>
            <w:r w:rsidRPr="004961A2">
              <w:rPr>
                <w:rFonts w:ascii="Calibri" w:eastAsia="Times New Roman" w:hAnsi="Calibri" w:cs="Calibri"/>
                <w:i/>
                <w:sz w:val="20"/>
                <w:szCs w:val="20"/>
              </w:rPr>
              <w:t>LTV</w:t>
            </w:r>
          </w:p>
        </w:tc>
      </w:tr>
      <w:tr w:rsidR="00890FA4" w:rsidRPr="00351E73" w14:paraId="214111B1" w14:textId="77777777" w:rsidTr="00890FA4">
        <w:trPr>
          <w:trHeight w:val="255"/>
          <w:jc w:val="center"/>
        </w:trPr>
        <w:tc>
          <w:tcPr>
            <w:tcW w:w="1600" w:type="dxa"/>
            <w:tcBorders>
              <w:top w:val="nil"/>
              <w:left w:val="nil"/>
              <w:right w:val="nil"/>
            </w:tcBorders>
            <w:shd w:val="clear" w:color="auto" w:fill="auto"/>
            <w:noWrap/>
            <w:vAlign w:val="bottom"/>
          </w:tcPr>
          <w:p w14:paraId="3DFC36F0" w14:textId="77777777" w:rsidR="00890FA4" w:rsidRPr="00351E73" w:rsidRDefault="00890FA4" w:rsidP="00931F65">
            <w:pPr>
              <w:spacing w:after="0" w:line="240" w:lineRule="auto"/>
              <w:rPr>
                <w:rFonts w:ascii="Calibri" w:eastAsia="Times New Roman" w:hAnsi="Calibri" w:cs="Calibri"/>
                <w:sz w:val="20"/>
                <w:szCs w:val="20"/>
              </w:rPr>
            </w:pPr>
          </w:p>
        </w:tc>
        <w:tc>
          <w:tcPr>
            <w:tcW w:w="1280" w:type="dxa"/>
            <w:tcBorders>
              <w:top w:val="nil"/>
              <w:left w:val="nil"/>
              <w:right w:val="nil"/>
            </w:tcBorders>
            <w:shd w:val="clear" w:color="auto" w:fill="auto"/>
            <w:noWrap/>
            <w:vAlign w:val="bottom"/>
          </w:tcPr>
          <w:p w14:paraId="0FD45C73"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2008-2010</w:t>
            </w:r>
          </w:p>
        </w:tc>
        <w:tc>
          <w:tcPr>
            <w:tcW w:w="1260" w:type="dxa"/>
            <w:tcBorders>
              <w:top w:val="nil"/>
              <w:left w:val="nil"/>
              <w:right w:val="nil"/>
            </w:tcBorders>
            <w:shd w:val="clear" w:color="auto" w:fill="auto"/>
            <w:noWrap/>
            <w:vAlign w:val="bottom"/>
          </w:tcPr>
          <w:p w14:paraId="60EB5149"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2007-2011</w:t>
            </w:r>
          </w:p>
        </w:tc>
        <w:tc>
          <w:tcPr>
            <w:tcW w:w="1260" w:type="dxa"/>
            <w:tcBorders>
              <w:top w:val="nil"/>
              <w:left w:val="nil"/>
              <w:right w:val="nil"/>
            </w:tcBorders>
            <w:shd w:val="clear" w:color="auto" w:fill="auto"/>
            <w:noWrap/>
            <w:vAlign w:val="bottom"/>
          </w:tcPr>
          <w:p w14:paraId="3E9A4F7C"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2006-2012</w:t>
            </w:r>
          </w:p>
        </w:tc>
        <w:tc>
          <w:tcPr>
            <w:tcW w:w="1260" w:type="dxa"/>
            <w:tcBorders>
              <w:top w:val="nil"/>
              <w:left w:val="nil"/>
              <w:right w:val="nil"/>
            </w:tcBorders>
            <w:shd w:val="clear" w:color="auto" w:fill="auto"/>
            <w:noWrap/>
            <w:vAlign w:val="bottom"/>
          </w:tcPr>
          <w:p w14:paraId="40E82C73"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2005-2013</w:t>
            </w:r>
          </w:p>
        </w:tc>
        <w:tc>
          <w:tcPr>
            <w:tcW w:w="1260" w:type="dxa"/>
            <w:tcBorders>
              <w:top w:val="nil"/>
              <w:left w:val="nil"/>
              <w:right w:val="nil"/>
            </w:tcBorders>
            <w:shd w:val="clear" w:color="auto" w:fill="auto"/>
            <w:noWrap/>
            <w:vAlign w:val="bottom"/>
          </w:tcPr>
          <w:p w14:paraId="25FE20E7"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2004-2014</w:t>
            </w:r>
          </w:p>
        </w:tc>
      </w:tr>
      <w:tr w:rsidR="00890FA4" w:rsidRPr="00351E73" w14:paraId="3A331B7B" w14:textId="77777777" w:rsidTr="00890FA4">
        <w:trPr>
          <w:trHeight w:val="255"/>
          <w:jc w:val="center"/>
        </w:trPr>
        <w:tc>
          <w:tcPr>
            <w:tcW w:w="1600" w:type="dxa"/>
            <w:tcBorders>
              <w:top w:val="nil"/>
              <w:left w:val="nil"/>
              <w:bottom w:val="single" w:sz="4" w:space="0" w:color="auto"/>
              <w:right w:val="nil"/>
            </w:tcBorders>
            <w:shd w:val="clear" w:color="auto" w:fill="auto"/>
            <w:noWrap/>
            <w:vAlign w:val="bottom"/>
          </w:tcPr>
          <w:p w14:paraId="5850699F" w14:textId="77777777" w:rsidR="00890FA4" w:rsidRPr="00351E73" w:rsidRDefault="00890FA4" w:rsidP="00931F65">
            <w:pPr>
              <w:spacing w:after="0" w:line="240" w:lineRule="auto"/>
              <w:rPr>
                <w:rFonts w:ascii="Calibri" w:eastAsia="Times New Roman" w:hAnsi="Calibri" w:cs="Calibri"/>
                <w:sz w:val="20"/>
                <w:szCs w:val="20"/>
              </w:rPr>
            </w:pPr>
          </w:p>
        </w:tc>
        <w:tc>
          <w:tcPr>
            <w:tcW w:w="1280" w:type="dxa"/>
            <w:tcBorders>
              <w:top w:val="nil"/>
              <w:left w:val="nil"/>
              <w:bottom w:val="single" w:sz="4" w:space="0" w:color="auto"/>
              <w:right w:val="nil"/>
            </w:tcBorders>
            <w:shd w:val="clear" w:color="auto" w:fill="auto"/>
            <w:noWrap/>
            <w:vAlign w:val="bottom"/>
          </w:tcPr>
          <w:p w14:paraId="1FF0ED0D"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(1)</w:t>
            </w:r>
          </w:p>
        </w:tc>
        <w:tc>
          <w:tcPr>
            <w:tcW w:w="1260" w:type="dxa"/>
            <w:tcBorders>
              <w:top w:val="nil"/>
              <w:left w:val="nil"/>
              <w:bottom w:val="single" w:sz="4" w:space="0" w:color="auto"/>
              <w:right w:val="nil"/>
            </w:tcBorders>
            <w:shd w:val="clear" w:color="auto" w:fill="auto"/>
            <w:noWrap/>
            <w:vAlign w:val="bottom"/>
          </w:tcPr>
          <w:p w14:paraId="78C2E1F6"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(2)</w:t>
            </w:r>
          </w:p>
        </w:tc>
        <w:tc>
          <w:tcPr>
            <w:tcW w:w="1260" w:type="dxa"/>
            <w:tcBorders>
              <w:top w:val="nil"/>
              <w:left w:val="nil"/>
              <w:bottom w:val="single" w:sz="4" w:space="0" w:color="auto"/>
              <w:right w:val="nil"/>
            </w:tcBorders>
            <w:shd w:val="clear" w:color="auto" w:fill="auto"/>
            <w:noWrap/>
            <w:vAlign w:val="bottom"/>
          </w:tcPr>
          <w:p w14:paraId="67639D31"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(3)</w:t>
            </w:r>
          </w:p>
        </w:tc>
        <w:tc>
          <w:tcPr>
            <w:tcW w:w="1260" w:type="dxa"/>
            <w:tcBorders>
              <w:top w:val="nil"/>
              <w:left w:val="nil"/>
              <w:bottom w:val="single" w:sz="4" w:space="0" w:color="auto"/>
              <w:right w:val="nil"/>
            </w:tcBorders>
            <w:shd w:val="clear" w:color="auto" w:fill="auto"/>
            <w:noWrap/>
            <w:vAlign w:val="bottom"/>
          </w:tcPr>
          <w:p w14:paraId="73924055"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(4)</w:t>
            </w:r>
          </w:p>
        </w:tc>
        <w:tc>
          <w:tcPr>
            <w:tcW w:w="1260" w:type="dxa"/>
            <w:tcBorders>
              <w:top w:val="nil"/>
              <w:left w:val="nil"/>
              <w:bottom w:val="single" w:sz="4" w:space="0" w:color="auto"/>
              <w:right w:val="nil"/>
            </w:tcBorders>
            <w:shd w:val="clear" w:color="auto" w:fill="auto"/>
            <w:noWrap/>
            <w:vAlign w:val="bottom"/>
          </w:tcPr>
          <w:p w14:paraId="4CBAED6C" w14:textId="77777777" w:rsidR="00890FA4" w:rsidRPr="00351E73" w:rsidRDefault="00890FA4" w:rsidP="00931F65">
            <w:pPr>
              <w:spacing w:after="0" w:line="240" w:lineRule="auto"/>
              <w:jc w:val="center"/>
              <w:rPr>
                <w:rFonts w:ascii="Calibri" w:eastAsia="Times New Roman" w:hAnsi="Calibri" w:cs="Calibri"/>
                <w:sz w:val="20"/>
                <w:szCs w:val="20"/>
              </w:rPr>
            </w:pPr>
            <w:r w:rsidRPr="00351E73">
              <w:rPr>
                <w:rFonts w:ascii="Calibri" w:eastAsia="Times New Roman" w:hAnsi="Calibri" w:cs="Calibri"/>
                <w:sz w:val="20"/>
                <w:szCs w:val="20"/>
              </w:rPr>
              <w:t>(5)</w:t>
            </w:r>
          </w:p>
        </w:tc>
      </w:tr>
      <w:tr w:rsidR="00890FA4" w:rsidRPr="00351E73" w14:paraId="2EC264BC" w14:textId="77777777" w:rsidTr="00890FA4">
        <w:trPr>
          <w:trHeight w:val="255"/>
          <w:jc w:val="center"/>
        </w:trPr>
        <w:tc>
          <w:tcPr>
            <w:tcW w:w="1600" w:type="dxa"/>
            <w:tcBorders>
              <w:top w:val="single" w:sz="4" w:space="0" w:color="auto"/>
              <w:left w:val="nil"/>
              <w:bottom w:val="nil"/>
              <w:right w:val="nil"/>
            </w:tcBorders>
            <w:shd w:val="clear" w:color="auto" w:fill="auto"/>
            <w:noWrap/>
            <w:vAlign w:val="bottom"/>
          </w:tcPr>
          <w:p w14:paraId="55B20FF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280" w:type="dxa"/>
            <w:tcBorders>
              <w:top w:val="single" w:sz="4" w:space="0" w:color="auto"/>
              <w:left w:val="nil"/>
              <w:bottom w:val="nil"/>
              <w:right w:val="nil"/>
            </w:tcBorders>
            <w:shd w:val="clear" w:color="auto" w:fill="auto"/>
            <w:noWrap/>
            <w:vAlign w:val="bottom"/>
          </w:tcPr>
          <w:p w14:paraId="2B1AEE6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-2.499***</w:t>
            </w:r>
          </w:p>
        </w:tc>
        <w:tc>
          <w:tcPr>
            <w:tcW w:w="1260" w:type="dxa"/>
            <w:tcBorders>
              <w:top w:val="single" w:sz="4" w:space="0" w:color="auto"/>
              <w:left w:val="nil"/>
              <w:bottom w:val="nil"/>
              <w:right w:val="nil"/>
            </w:tcBorders>
            <w:shd w:val="clear" w:color="auto" w:fill="auto"/>
            <w:noWrap/>
            <w:vAlign w:val="bottom"/>
          </w:tcPr>
          <w:p w14:paraId="43392C2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-3.136***</w:t>
            </w:r>
          </w:p>
        </w:tc>
        <w:tc>
          <w:tcPr>
            <w:tcW w:w="1260" w:type="dxa"/>
            <w:tcBorders>
              <w:top w:val="single" w:sz="4" w:space="0" w:color="auto"/>
              <w:left w:val="nil"/>
              <w:bottom w:val="nil"/>
              <w:right w:val="nil"/>
            </w:tcBorders>
            <w:shd w:val="clear" w:color="auto" w:fill="auto"/>
            <w:noWrap/>
            <w:vAlign w:val="bottom"/>
          </w:tcPr>
          <w:p w14:paraId="035EBCB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-3.119***</w:t>
            </w:r>
          </w:p>
        </w:tc>
        <w:tc>
          <w:tcPr>
            <w:tcW w:w="1260" w:type="dxa"/>
            <w:tcBorders>
              <w:top w:val="single" w:sz="4" w:space="0" w:color="auto"/>
              <w:left w:val="nil"/>
              <w:bottom w:val="nil"/>
              <w:right w:val="nil"/>
            </w:tcBorders>
            <w:shd w:val="clear" w:color="auto" w:fill="auto"/>
            <w:noWrap/>
            <w:vAlign w:val="bottom"/>
          </w:tcPr>
          <w:p w14:paraId="647B74D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-3.049***</w:t>
            </w:r>
          </w:p>
        </w:tc>
        <w:tc>
          <w:tcPr>
            <w:tcW w:w="1260" w:type="dxa"/>
            <w:tcBorders>
              <w:top w:val="single" w:sz="4" w:space="0" w:color="auto"/>
              <w:left w:val="nil"/>
              <w:bottom w:val="nil"/>
              <w:right w:val="nil"/>
            </w:tcBorders>
            <w:shd w:val="clear" w:color="auto" w:fill="auto"/>
            <w:noWrap/>
            <w:vAlign w:val="bottom"/>
          </w:tcPr>
          <w:p w14:paraId="6F3DBE8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-2.852***</w:t>
            </w:r>
          </w:p>
        </w:tc>
      </w:tr>
      <w:tr w:rsidR="00890FA4" w:rsidRPr="00351E73" w14:paraId="4BA3B69E" w14:textId="77777777" w:rsidTr="00890FA4">
        <w:trPr>
          <w:trHeight w:val="255"/>
          <w:jc w:val="center"/>
        </w:trPr>
        <w:tc>
          <w:tcPr>
            <w:tcW w:w="1600" w:type="dxa"/>
            <w:tcBorders>
              <w:top w:val="nil"/>
              <w:left w:val="nil"/>
              <w:bottom w:val="nil"/>
              <w:right w:val="nil"/>
            </w:tcBorders>
            <w:shd w:val="clear" w:color="auto" w:fill="auto"/>
            <w:noWrap/>
            <w:vAlign w:val="bottom"/>
          </w:tcPr>
          <w:p w14:paraId="729F3C29"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61D3F61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(.305)</w:t>
            </w:r>
          </w:p>
        </w:tc>
        <w:tc>
          <w:tcPr>
            <w:tcW w:w="1260" w:type="dxa"/>
            <w:tcBorders>
              <w:top w:val="nil"/>
              <w:left w:val="nil"/>
              <w:bottom w:val="nil"/>
              <w:right w:val="nil"/>
            </w:tcBorders>
            <w:shd w:val="clear" w:color="auto" w:fill="auto"/>
            <w:noWrap/>
            <w:vAlign w:val="bottom"/>
          </w:tcPr>
          <w:p w14:paraId="1B95B53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(.22</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956C4E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(.265)</w:t>
            </w:r>
          </w:p>
        </w:tc>
        <w:tc>
          <w:tcPr>
            <w:tcW w:w="1260" w:type="dxa"/>
            <w:tcBorders>
              <w:top w:val="nil"/>
              <w:left w:val="nil"/>
              <w:bottom w:val="nil"/>
              <w:right w:val="nil"/>
            </w:tcBorders>
            <w:shd w:val="clear" w:color="auto" w:fill="auto"/>
            <w:noWrap/>
            <w:vAlign w:val="bottom"/>
          </w:tcPr>
          <w:p w14:paraId="70CD4A7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(.275)</w:t>
            </w:r>
          </w:p>
        </w:tc>
        <w:tc>
          <w:tcPr>
            <w:tcW w:w="1260" w:type="dxa"/>
            <w:tcBorders>
              <w:top w:val="nil"/>
              <w:left w:val="nil"/>
              <w:bottom w:val="nil"/>
              <w:right w:val="nil"/>
            </w:tcBorders>
            <w:shd w:val="clear" w:color="auto" w:fill="auto"/>
            <w:noWrap/>
            <w:vAlign w:val="bottom"/>
          </w:tcPr>
          <w:p w14:paraId="0EAE313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(.297)</w:t>
            </w:r>
          </w:p>
        </w:tc>
      </w:tr>
      <w:tr w:rsidR="00890FA4" w:rsidRPr="00351E73" w14:paraId="595D1952" w14:textId="77777777" w:rsidTr="00890FA4">
        <w:trPr>
          <w:trHeight w:val="255"/>
          <w:jc w:val="center"/>
        </w:trPr>
        <w:tc>
          <w:tcPr>
            <w:tcW w:w="1600" w:type="dxa"/>
            <w:tcBorders>
              <w:top w:val="nil"/>
              <w:left w:val="nil"/>
              <w:bottom w:val="nil"/>
              <w:right w:val="nil"/>
            </w:tcBorders>
            <w:shd w:val="clear" w:color="auto" w:fill="auto"/>
            <w:noWrap/>
            <w:vAlign w:val="bottom"/>
          </w:tcPr>
          <w:p w14:paraId="62A1B3D9"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280" w:type="dxa"/>
            <w:tcBorders>
              <w:top w:val="nil"/>
              <w:left w:val="nil"/>
              <w:bottom w:val="nil"/>
              <w:right w:val="nil"/>
            </w:tcBorders>
            <w:shd w:val="clear" w:color="auto" w:fill="auto"/>
            <w:noWrap/>
            <w:vAlign w:val="bottom"/>
          </w:tcPr>
          <w:p w14:paraId="707D6D9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-1.885***</w:t>
            </w:r>
          </w:p>
        </w:tc>
        <w:tc>
          <w:tcPr>
            <w:tcW w:w="1260" w:type="dxa"/>
            <w:tcBorders>
              <w:top w:val="nil"/>
              <w:left w:val="nil"/>
              <w:bottom w:val="nil"/>
              <w:right w:val="nil"/>
            </w:tcBorders>
            <w:shd w:val="clear" w:color="auto" w:fill="auto"/>
            <w:noWrap/>
            <w:vAlign w:val="bottom"/>
          </w:tcPr>
          <w:p w14:paraId="16E2FB7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-2.684***</w:t>
            </w:r>
          </w:p>
        </w:tc>
        <w:tc>
          <w:tcPr>
            <w:tcW w:w="1260" w:type="dxa"/>
            <w:tcBorders>
              <w:top w:val="nil"/>
              <w:left w:val="nil"/>
              <w:bottom w:val="nil"/>
              <w:right w:val="nil"/>
            </w:tcBorders>
            <w:shd w:val="clear" w:color="auto" w:fill="auto"/>
            <w:noWrap/>
            <w:vAlign w:val="bottom"/>
          </w:tcPr>
          <w:p w14:paraId="1CD5355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-2.658***</w:t>
            </w:r>
          </w:p>
        </w:tc>
        <w:tc>
          <w:tcPr>
            <w:tcW w:w="1260" w:type="dxa"/>
            <w:tcBorders>
              <w:top w:val="nil"/>
              <w:left w:val="nil"/>
              <w:bottom w:val="nil"/>
              <w:right w:val="nil"/>
            </w:tcBorders>
            <w:shd w:val="clear" w:color="auto" w:fill="auto"/>
            <w:noWrap/>
            <w:vAlign w:val="bottom"/>
          </w:tcPr>
          <w:p w14:paraId="3A6BCD7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-2.353***</w:t>
            </w:r>
          </w:p>
        </w:tc>
        <w:tc>
          <w:tcPr>
            <w:tcW w:w="1260" w:type="dxa"/>
            <w:tcBorders>
              <w:top w:val="nil"/>
              <w:left w:val="nil"/>
              <w:bottom w:val="nil"/>
              <w:right w:val="nil"/>
            </w:tcBorders>
            <w:shd w:val="clear" w:color="auto" w:fill="auto"/>
            <w:noWrap/>
            <w:vAlign w:val="bottom"/>
          </w:tcPr>
          <w:p w14:paraId="54B5B13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-2.609***</w:t>
            </w:r>
          </w:p>
        </w:tc>
      </w:tr>
      <w:tr w:rsidR="00890FA4" w:rsidRPr="00351E73" w14:paraId="13237C64" w14:textId="77777777" w:rsidTr="00890FA4">
        <w:trPr>
          <w:trHeight w:val="255"/>
          <w:jc w:val="center"/>
        </w:trPr>
        <w:tc>
          <w:tcPr>
            <w:tcW w:w="1600" w:type="dxa"/>
            <w:tcBorders>
              <w:top w:val="nil"/>
              <w:left w:val="nil"/>
              <w:bottom w:val="nil"/>
              <w:right w:val="nil"/>
            </w:tcBorders>
            <w:shd w:val="clear" w:color="auto" w:fill="auto"/>
            <w:noWrap/>
            <w:vAlign w:val="bottom"/>
          </w:tcPr>
          <w:p w14:paraId="63A1466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D17325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(.641)</w:t>
            </w:r>
          </w:p>
        </w:tc>
        <w:tc>
          <w:tcPr>
            <w:tcW w:w="1260" w:type="dxa"/>
            <w:tcBorders>
              <w:top w:val="nil"/>
              <w:left w:val="nil"/>
              <w:bottom w:val="nil"/>
              <w:right w:val="nil"/>
            </w:tcBorders>
            <w:shd w:val="clear" w:color="auto" w:fill="auto"/>
            <w:noWrap/>
            <w:vAlign w:val="bottom"/>
          </w:tcPr>
          <w:p w14:paraId="3DF3FC2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(.515)</w:t>
            </w:r>
          </w:p>
        </w:tc>
        <w:tc>
          <w:tcPr>
            <w:tcW w:w="1260" w:type="dxa"/>
            <w:tcBorders>
              <w:top w:val="nil"/>
              <w:left w:val="nil"/>
              <w:bottom w:val="nil"/>
              <w:right w:val="nil"/>
            </w:tcBorders>
            <w:shd w:val="clear" w:color="auto" w:fill="auto"/>
            <w:noWrap/>
            <w:vAlign w:val="bottom"/>
          </w:tcPr>
          <w:p w14:paraId="541DC40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(.553)</w:t>
            </w:r>
          </w:p>
        </w:tc>
        <w:tc>
          <w:tcPr>
            <w:tcW w:w="1260" w:type="dxa"/>
            <w:tcBorders>
              <w:top w:val="nil"/>
              <w:left w:val="nil"/>
              <w:bottom w:val="nil"/>
              <w:right w:val="nil"/>
            </w:tcBorders>
            <w:shd w:val="clear" w:color="auto" w:fill="auto"/>
            <w:noWrap/>
            <w:vAlign w:val="bottom"/>
          </w:tcPr>
          <w:p w14:paraId="14F71D0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(.574)</w:t>
            </w:r>
          </w:p>
        </w:tc>
        <w:tc>
          <w:tcPr>
            <w:tcW w:w="1260" w:type="dxa"/>
            <w:tcBorders>
              <w:top w:val="nil"/>
              <w:left w:val="nil"/>
              <w:bottom w:val="nil"/>
              <w:right w:val="nil"/>
            </w:tcBorders>
            <w:shd w:val="clear" w:color="auto" w:fill="auto"/>
            <w:noWrap/>
            <w:vAlign w:val="bottom"/>
          </w:tcPr>
          <w:p w14:paraId="6721B4D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(.606)</w:t>
            </w:r>
          </w:p>
        </w:tc>
      </w:tr>
      <w:tr w:rsidR="00890FA4" w:rsidRPr="00351E73" w14:paraId="4F829FA5" w14:textId="77777777" w:rsidTr="00890FA4">
        <w:trPr>
          <w:trHeight w:val="255"/>
          <w:jc w:val="center"/>
        </w:trPr>
        <w:tc>
          <w:tcPr>
            <w:tcW w:w="1600" w:type="dxa"/>
            <w:tcBorders>
              <w:top w:val="nil"/>
              <w:left w:val="nil"/>
              <w:bottom w:val="nil"/>
              <w:right w:val="nil"/>
            </w:tcBorders>
            <w:shd w:val="clear" w:color="auto" w:fill="auto"/>
            <w:noWrap/>
            <w:vAlign w:val="bottom"/>
          </w:tcPr>
          <w:p w14:paraId="5367CB77"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280" w:type="dxa"/>
            <w:tcBorders>
              <w:top w:val="nil"/>
              <w:left w:val="nil"/>
              <w:bottom w:val="nil"/>
              <w:right w:val="nil"/>
            </w:tcBorders>
            <w:shd w:val="clear" w:color="auto" w:fill="auto"/>
            <w:noWrap/>
            <w:vAlign w:val="bottom"/>
          </w:tcPr>
          <w:p w14:paraId="4FF5647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.563</w:t>
            </w:r>
          </w:p>
        </w:tc>
        <w:tc>
          <w:tcPr>
            <w:tcW w:w="1260" w:type="dxa"/>
            <w:tcBorders>
              <w:top w:val="nil"/>
              <w:left w:val="nil"/>
              <w:bottom w:val="nil"/>
              <w:right w:val="nil"/>
            </w:tcBorders>
            <w:shd w:val="clear" w:color="auto" w:fill="auto"/>
            <w:noWrap/>
            <w:vAlign w:val="bottom"/>
          </w:tcPr>
          <w:p w14:paraId="141C8AC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1.338***</w:t>
            </w:r>
          </w:p>
        </w:tc>
        <w:tc>
          <w:tcPr>
            <w:tcW w:w="1260" w:type="dxa"/>
            <w:tcBorders>
              <w:top w:val="nil"/>
              <w:left w:val="nil"/>
              <w:bottom w:val="nil"/>
              <w:right w:val="nil"/>
            </w:tcBorders>
            <w:shd w:val="clear" w:color="auto" w:fill="auto"/>
            <w:noWrap/>
            <w:vAlign w:val="bottom"/>
          </w:tcPr>
          <w:p w14:paraId="2604510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1.356***</w:t>
            </w:r>
          </w:p>
        </w:tc>
        <w:tc>
          <w:tcPr>
            <w:tcW w:w="1260" w:type="dxa"/>
            <w:tcBorders>
              <w:top w:val="nil"/>
              <w:left w:val="nil"/>
              <w:bottom w:val="nil"/>
              <w:right w:val="nil"/>
            </w:tcBorders>
            <w:shd w:val="clear" w:color="auto" w:fill="auto"/>
            <w:noWrap/>
            <w:vAlign w:val="bottom"/>
          </w:tcPr>
          <w:p w14:paraId="0EA4580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1.47</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51D0BA2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1.164***</w:t>
            </w:r>
          </w:p>
        </w:tc>
      </w:tr>
      <w:tr w:rsidR="00890FA4" w:rsidRPr="00351E73" w14:paraId="7D7F7C86" w14:textId="77777777" w:rsidTr="00890FA4">
        <w:trPr>
          <w:trHeight w:val="255"/>
          <w:jc w:val="center"/>
        </w:trPr>
        <w:tc>
          <w:tcPr>
            <w:tcW w:w="1600" w:type="dxa"/>
            <w:tcBorders>
              <w:top w:val="nil"/>
              <w:left w:val="nil"/>
              <w:bottom w:val="nil"/>
              <w:right w:val="nil"/>
            </w:tcBorders>
            <w:shd w:val="clear" w:color="auto" w:fill="auto"/>
            <w:noWrap/>
            <w:vAlign w:val="bottom"/>
          </w:tcPr>
          <w:p w14:paraId="6133543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9334CB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(.382)</w:t>
            </w:r>
          </w:p>
        </w:tc>
        <w:tc>
          <w:tcPr>
            <w:tcW w:w="1260" w:type="dxa"/>
            <w:tcBorders>
              <w:top w:val="nil"/>
              <w:left w:val="nil"/>
              <w:bottom w:val="nil"/>
              <w:right w:val="nil"/>
            </w:tcBorders>
            <w:shd w:val="clear" w:color="auto" w:fill="auto"/>
            <w:noWrap/>
            <w:vAlign w:val="bottom"/>
          </w:tcPr>
          <w:p w14:paraId="101347A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(.282)</w:t>
            </w:r>
          </w:p>
        </w:tc>
        <w:tc>
          <w:tcPr>
            <w:tcW w:w="1260" w:type="dxa"/>
            <w:tcBorders>
              <w:top w:val="nil"/>
              <w:left w:val="nil"/>
              <w:bottom w:val="nil"/>
              <w:right w:val="nil"/>
            </w:tcBorders>
            <w:shd w:val="clear" w:color="auto" w:fill="auto"/>
            <w:noWrap/>
            <w:vAlign w:val="bottom"/>
          </w:tcPr>
          <w:p w14:paraId="4EAF869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(.319)</w:t>
            </w:r>
          </w:p>
        </w:tc>
        <w:tc>
          <w:tcPr>
            <w:tcW w:w="1260" w:type="dxa"/>
            <w:tcBorders>
              <w:top w:val="nil"/>
              <w:left w:val="nil"/>
              <w:bottom w:val="nil"/>
              <w:right w:val="nil"/>
            </w:tcBorders>
            <w:shd w:val="clear" w:color="auto" w:fill="auto"/>
            <w:noWrap/>
            <w:vAlign w:val="bottom"/>
          </w:tcPr>
          <w:p w14:paraId="3ECC056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(.329)</w:t>
            </w:r>
          </w:p>
        </w:tc>
        <w:tc>
          <w:tcPr>
            <w:tcW w:w="1260" w:type="dxa"/>
            <w:tcBorders>
              <w:top w:val="nil"/>
              <w:left w:val="nil"/>
              <w:bottom w:val="nil"/>
              <w:right w:val="nil"/>
            </w:tcBorders>
            <w:shd w:val="clear" w:color="auto" w:fill="auto"/>
            <w:noWrap/>
            <w:vAlign w:val="bottom"/>
          </w:tcPr>
          <w:p w14:paraId="33F9495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(.35</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16D479F7" w14:textId="77777777" w:rsidTr="00890FA4">
        <w:trPr>
          <w:trHeight w:val="255"/>
          <w:jc w:val="center"/>
        </w:trPr>
        <w:tc>
          <w:tcPr>
            <w:tcW w:w="1600" w:type="dxa"/>
            <w:tcBorders>
              <w:top w:val="nil"/>
              <w:left w:val="nil"/>
              <w:bottom w:val="nil"/>
              <w:right w:val="nil"/>
            </w:tcBorders>
            <w:shd w:val="clear" w:color="auto" w:fill="auto"/>
            <w:noWrap/>
            <w:vAlign w:val="bottom"/>
          </w:tcPr>
          <w:p w14:paraId="1ED90C6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InitialRate</w:t>
            </w:r>
          </w:p>
        </w:tc>
        <w:tc>
          <w:tcPr>
            <w:tcW w:w="1280" w:type="dxa"/>
            <w:tcBorders>
              <w:top w:val="nil"/>
              <w:left w:val="nil"/>
              <w:bottom w:val="nil"/>
              <w:right w:val="nil"/>
            </w:tcBorders>
            <w:shd w:val="clear" w:color="auto" w:fill="auto"/>
            <w:noWrap/>
            <w:vAlign w:val="bottom"/>
          </w:tcPr>
          <w:p w14:paraId="07BE933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-3.732**</w:t>
            </w:r>
          </w:p>
        </w:tc>
        <w:tc>
          <w:tcPr>
            <w:tcW w:w="1260" w:type="dxa"/>
            <w:tcBorders>
              <w:top w:val="nil"/>
              <w:left w:val="nil"/>
              <w:bottom w:val="nil"/>
              <w:right w:val="nil"/>
            </w:tcBorders>
            <w:shd w:val="clear" w:color="auto" w:fill="auto"/>
            <w:noWrap/>
            <w:vAlign w:val="bottom"/>
          </w:tcPr>
          <w:p w14:paraId="35230BE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-4.066***</w:t>
            </w:r>
          </w:p>
        </w:tc>
        <w:tc>
          <w:tcPr>
            <w:tcW w:w="1260" w:type="dxa"/>
            <w:tcBorders>
              <w:top w:val="nil"/>
              <w:left w:val="nil"/>
              <w:bottom w:val="nil"/>
              <w:right w:val="nil"/>
            </w:tcBorders>
            <w:shd w:val="clear" w:color="auto" w:fill="auto"/>
            <w:noWrap/>
            <w:vAlign w:val="bottom"/>
          </w:tcPr>
          <w:p w14:paraId="1C8CBC7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-5.171***</w:t>
            </w:r>
          </w:p>
        </w:tc>
        <w:tc>
          <w:tcPr>
            <w:tcW w:w="1260" w:type="dxa"/>
            <w:tcBorders>
              <w:top w:val="nil"/>
              <w:left w:val="nil"/>
              <w:bottom w:val="nil"/>
              <w:right w:val="nil"/>
            </w:tcBorders>
            <w:shd w:val="clear" w:color="auto" w:fill="auto"/>
            <w:noWrap/>
            <w:vAlign w:val="bottom"/>
          </w:tcPr>
          <w:p w14:paraId="5E2609E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-5.207***</w:t>
            </w:r>
          </w:p>
        </w:tc>
        <w:tc>
          <w:tcPr>
            <w:tcW w:w="1260" w:type="dxa"/>
            <w:tcBorders>
              <w:top w:val="nil"/>
              <w:left w:val="nil"/>
              <w:bottom w:val="nil"/>
              <w:right w:val="nil"/>
            </w:tcBorders>
            <w:shd w:val="clear" w:color="auto" w:fill="auto"/>
            <w:noWrap/>
            <w:vAlign w:val="bottom"/>
          </w:tcPr>
          <w:p w14:paraId="7455B38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-4.956***</w:t>
            </w:r>
          </w:p>
        </w:tc>
      </w:tr>
      <w:tr w:rsidR="00890FA4" w:rsidRPr="00351E73" w14:paraId="076AFD5F" w14:textId="77777777" w:rsidTr="00890FA4">
        <w:trPr>
          <w:trHeight w:val="255"/>
          <w:jc w:val="center"/>
        </w:trPr>
        <w:tc>
          <w:tcPr>
            <w:tcW w:w="1600" w:type="dxa"/>
            <w:tcBorders>
              <w:top w:val="nil"/>
              <w:left w:val="nil"/>
              <w:bottom w:val="nil"/>
              <w:right w:val="nil"/>
            </w:tcBorders>
            <w:shd w:val="clear" w:color="auto" w:fill="auto"/>
            <w:noWrap/>
            <w:vAlign w:val="bottom"/>
          </w:tcPr>
          <w:p w14:paraId="7057B665"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6FFD2D5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(1.653)</w:t>
            </w:r>
          </w:p>
        </w:tc>
        <w:tc>
          <w:tcPr>
            <w:tcW w:w="1260" w:type="dxa"/>
            <w:tcBorders>
              <w:top w:val="nil"/>
              <w:left w:val="nil"/>
              <w:bottom w:val="nil"/>
              <w:right w:val="nil"/>
            </w:tcBorders>
            <w:shd w:val="clear" w:color="auto" w:fill="auto"/>
            <w:noWrap/>
            <w:vAlign w:val="bottom"/>
          </w:tcPr>
          <w:p w14:paraId="5EC124C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(1.201)</w:t>
            </w:r>
          </w:p>
        </w:tc>
        <w:tc>
          <w:tcPr>
            <w:tcW w:w="1260" w:type="dxa"/>
            <w:tcBorders>
              <w:top w:val="nil"/>
              <w:left w:val="nil"/>
              <w:bottom w:val="nil"/>
              <w:right w:val="nil"/>
            </w:tcBorders>
            <w:shd w:val="clear" w:color="auto" w:fill="auto"/>
            <w:noWrap/>
            <w:vAlign w:val="bottom"/>
          </w:tcPr>
          <w:p w14:paraId="32AC5C0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(1.269)</w:t>
            </w:r>
          </w:p>
        </w:tc>
        <w:tc>
          <w:tcPr>
            <w:tcW w:w="1260" w:type="dxa"/>
            <w:tcBorders>
              <w:top w:val="nil"/>
              <w:left w:val="nil"/>
              <w:bottom w:val="nil"/>
              <w:right w:val="nil"/>
            </w:tcBorders>
            <w:shd w:val="clear" w:color="auto" w:fill="auto"/>
            <w:noWrap/>
            <w:vAlign w:val="bottom"/>
          </w:tcPr>
          <w:p w14:paraId="195356C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(1.292)</w:t>
            </w:r>
          </w:p>
        </w:tc>
        <w:tc>
          <w:tcPr>
            <w:tcW w:w="1260" w:type="dxa"/>
            <w:tcBorders>
              <w:top w:val="nil"/>
              <w:left w:val="nil"/>
              <w:bottom w:val="nil"/>
              <w:right w:val="nil"/>
            </w:tcBorders>
            <w:shd w:val="clear" w:color="auto" w:fill="auto"/>
            <w:noWrap/>
            <w:vAlign w:val="bottom"/>
          </w:tcPr>
          <w:p w14:paraId="2D35E3A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(1.262)</w:t>
            </w:r>
          </w:p>
        </w:tc>
      </w:tr>
      <w:tr w:rsidR="00890FA4" w:rsidRPr="00351E73" w14:paraId="6E15DE93" w14:textId="77777777" w:rsidTr="00890FA4">
        <w:trPr>
          <w:trHeight w:val="255"/>
          <w:jc w:val="center"/>
        </w:trPr>
        <w:tc>
          <w:tcPr>
            <w:tcW w:w="1600" w:type="dxa"/>
            <w:tcBorders>
              <w:top w:val="nil"/>
              <w:left w:val="nil"/>
              <w:bottom w:val="nil"/>
              <w:right w:val="nil"/>
            </w:tcBorders>
            <w:shd w:val="clear" w:color="auto" w:fill="auto"/>
            <w:noWrap/>
            <w:vAlign w:val="bottom"/>
          </w:tcPr>
          <w:p w14:paraId="2E86E37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280" w:type="dxa"/>
            <w:tcBorders>
              <w:top w:val="nil"/>
              <w:left w:val="nil"/>
              <w:bottom w:val="nil"/>
              <w:right w:val="nil"/>
            </w:tcBorders>
            <w:shd w:val="clear" w:color="auto" w:fill="auto"/>
            <w:noWrap/>
            <w:vAlign w:val="bottom"/>
          </w:tcPr>
          <w:p w14:paraId="07D1A17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-.0712***</w:t>
            </w:r>
          </w:p>
        </w:tc>
        <w:tc>
          <w:tcPr>
            <w:tcW w:w="1260" w:type="dxa"/>
            <w:tcBorders>
              <w:top w:val="nil"/>
              <w:left w:val="nil"/>
              <w:bottom w:val="nil"/>
              <w:right w:val="nil"/>
            </w:tcBorders>
            <w:shd w:val="clear" w:color="auto" w:fill="auto"/>
            <w:noWrap/>
            <w:vAlign w:val="bottom"/>
          </w:tcPr>
          <w:p w14:paraId="102C9D3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-.0732***</w:t>
            </w:r>
          </w:p>
        </w:tc>
        <w:tc>
          <w:tcPr>
            <w:tcW w:w="1260" w:type="dxa"/>
            <w:tcBorders>
              <w:top w:val="nil"/>
              <w:left w:val="nil"/>
              <w:bottom w:val="nil"/>
              <w:right w:val="nil"/>
            </w:tcBorders>
            <w:shd w:val="clear" w:color="auto" w:fill="auto"/>
            <w:noWrap/>
            <w:vAlign w:val="bottom"/>
          </w:tcPr>
          <w:p w14:paraId="1A97FCE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-.0746***</w:t>
            </w:r>
          </w:p>
        </w:tc>
        <w:tc>
          <w:tcPr>
            <w:tcW w:w="1260" w:type="dxa"/>
            <w:tcBorders>
              <w:top w:val="nil"/>
              <w:left w:val="nil"/>
              <w:bottom w:val="nil"/>
              <w:right w:val="nil"/>
            </w:tcBorders>
            <w:shd w:val="clear" w:color="auto" w:fill="auto"/>
            <w:noWrap/>
            <w:vAlign w:val="bottom"/>
          </w:tcPr>
          <w:p w14:paraId="53CF07E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-.0734***</w:t>
            </w:r>
          </w:p>
        </w:tc>
        <w:tc>
          <w:tcPr>
            <w:tcW w:w="1260" w:type="dxa"/>
            <w:tcBorders>
              <w:top w:val="nil"/>
              <w:left w:val="nil"/>
              <w:bottom w:val="nil"/>
              <w:right w:val="nil"/>
            </w:tcBorders>
            <w:shd w:val="clear" w:color="auto" w:fill="auto"/>
            <w:noWrap/>
            <w:vAlign w:val="bottom"/>
          </w:tcPr>
          <w:p w14:paraId="486F3A2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-.0738***</w:t>
            </w:r>
          </w:p>
        </w:tc>
      </w:tr>
      <w:tr w:rsidR="00890FA4" w:rsidRPr="00351E73" w14:paraId="5C12F6EB" w14:textId="77777777" w:rsidTr="00890FA4">
        <w:trPr>
          <w:trHeight w:val="255"/>
          <w:jc w:val="center"/>
        </w:trPr>
        <w:tc>
          <w:tcPr>
            <w:tcW w:w="1600" w:type="dxa"/>
            <w:tcBorders>
              <w:top w:val="nil"/>
              <w:left w:val="nil"/>
              <w:bottom w:val="nil"/>
              <w:right w:val="nil"/>
            </w:tcBorders>
            <w:shd w:val="clear" w:color="auto" w:fill="auto"/>
            <w:noWrap/>
            <w:vAlign w:val="bottom"/>
          </w:tcPr>
          <w:p w14:paraId="58089E65"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5DB15F3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(.00405)</w:t>
            </w:r>
          </w:p>
        </w:tc>
        <w:tc>
          <w:tcPr>
            <w:tcW w:w="1260" w:type="dxa"/>
            <w:tcBorders>
              <w:top w:val="nil"/>
              <w:left w:val="nil"/>
              <w:bottom w:val="nil"/>
              <w:right w:val="nil"/>
            </w:tcBorders>
            <w:shd w:val="clear" w:color="auto" w:fill="auto"/>
            <w:noWrap/>
            <w:vAlign w:val="bottom"/>
          </w:tcPr>
          <w:p w14:paraId="789F52C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(.00302)</w:t>
            </w:r>
          </w:p>
        </w:tc>
        <w:tc>
          <w:tcPr>
            <w:tcW w:w="1260" w:type="dxa"/>
            <w:tcBorders>
              <w:top w:val="nil"/>
              <w:left w:val="nil"/>
              <w:bottom w:val="nil"/>
              <w:right w:val="nil"/>
            </w:tcBorders>
            <w:shd w:val="clear" w:color="auto" w:fill="auto"/>
            <w:noWrap/>
            <w:vAlign w:val="bottom"/>
          </w:tcPr>
          <w:p w14:paraId="13371E7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(.00299)</w:t>
            </w:r>
          </w:p>
        </w:tc>
        <w:tc>
          <w:tcPr>
            <w:tcW w:w="1260" w:type="dxa"/>
            <w:tcBorders>
              <w:top w:val="nil"/>
              <w:left w:val="nil"/>
              <w:bottom w:val="nil"/>
              <w:right w:val="nil"/>
            </w:tcBorders>
            <w:shd w:val="clear" w:color="auto" w:fill="auto"/>
            <w:noWrap/>
            <w:vAlign w:val="bottom"/>
          </w:tcPr>
          <w:p w14:paraId="44989F6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(.0031</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2E28535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(.00306)</w:t>
            </w:r>
          </w:p>
        </w:tc>
      </w:tr>
      <w:tr w:rsidR="00890FA4" w:rsidRPr="00351E73" w14:paraId="50E9C7E3" w14:textId="77777777" w:rsidTr="00890FA4">
        <w:trPr>
          <w:trHeight w:val="255"/>
          <w:jc w:val="center"/>
        </w:trPr>
        <w:tc>
          <w:tcPr>
            <w:tcW w:w="1600" w:type="dxa"/>
            <w:tcBorders>
              <w:top w:val="nil"/>
              <w:left w:val="nil"/>
              <w:bottom w:val="nil"/>
              <w:right w:val="nil"/>
            </w:tcBorders>
            <w:shd w:val="clear" w:color="auto" w:fill="auto"/>
            <w:noWrap/>
            <w:vAlign w:val="bottom"/>
          </w:tcPr>
          <w:p w14:paraId="5E9770EF"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280" w:type="dxa"/>
            <w:tcBorders>
              <w:top w:val="nil"/>
              <w:left w:val="nil"/>
              <w:bottom w:val="nil"/>
              <w:right w:val="nil"/>
            </w:tcBorders>
            <w:shd w:val="clear" w:color="auto" w:fill="auto"/>
            <w:noWrap/>
            <w:vAlign w:val="bottom"/>
          </w:tcPr>
          <w:p w14:paraId="72D4595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8.411***</w:t>
            </w:r>
          </w:p>
        </w:tc>
        <w:tc>
          <w:tcPr>
            <w:tcW w:w="1260" w:type="dxa"/>
            <w:tcBorders>
              <w:top w:val="nil"/>
              <w:left w:val="nil"/>
              <w:bottom w:val="nil"/>
              <w:right w:val="nil"/>
            </w:tcBorders>
            <w:shd w:val="clear" w:color="auto" w:fill="auto"/>
            <w:noWrap/>
            <w:vAlign w:val="bottom"/>
          </w:tcPr>
          <w:p w14:paraId="57733FC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8.688***</w:t>
            </w:r>
          </w:p>
        </w:tc>
        <w:tc>
          <w:tcPr>
            <w:tcW w:w="1260" w:type="dxa"/>
            <w:tcBorders>
              <w:top w:val="nil"/>
              <w:left w:val="nil"/>
              <w:bottom w:val="nil"/>
              <w:right w:val="nil"/>
            </w:tcBorders>
            <w:shd w:val="clear" w:color="auto" w:fill="auto"/>
            <w:noWrap/>
            <w:vAlign w:val="bottom"/>
          </w:tcPr>
          <w:p w14:paraId="7B61CC5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8.495***</w:t>
            </w:r>
          </w:p>
        </w:tc>
        <w:tc>
          <w:tcPr>
            <w:tcW w:w="1260" w:type="dxa"/>
            <w:tcBorders>
              <w:top w:val="nil"/>
              <w:left w:val="nil"/>
              <w:bottom w:val="nil"/>
              <w:right w:val="nil"/>
            </w:tcBorders>
            <w:shd w:val="clear" w:color="auto" w:fill="auto"/>
            <w:noWrap/>
            <w:vAlign w:val="bottom"/>
          </w:tcPr>
          <w:p w14:paraId="71E82D4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8.493***</w:t>
            </w:r>
          </w:p>
        </w:tc>
        <w:tc>
          <w:tcPr>
            <w:tcW w:w="1260" w:type="dxa"/>
            <w:tcBorders>
              <w:top w:val="nil"/>
              <w:left w:val="nil"/>
              <w:bottom w:val="nil"/>
              <w:right w:val="nil"/>
            </w:tcBorders>
            <w:shd w:val="clear" w:color="auto" w:fill="auto"/>
            <w:noWrap/>
            <w:vAlign w:val="bottom"/>
          </w:tcPr>
          <w:p w14:paraId="731D94F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8.616***</w:t>
            </w:r>
          </w:p>
        </w:tc>
      </w:tr>
      <w:tr w:rsidR="00890FA4" w:rsidRPr="00351E73" w14:paraId="257B867D" w14:textId="77777777" w:rsidTr="00890FA4">
        <w:trPr>
          <w:trHeight w:val="255"/>
          <w:jc w:val="center"/>
        </w:trPr>
        <w:tc>
          <w:tcPr>
            <w:tcW w:w="1600" w:type="dxa"/>
            <w:tcBorders>
              <w:top w:val="nil"/>
              <w:left w:val="nil"/>
              <w:bottom w:val="nil"/>
              <w:right w:val="nil"/>
            </w:tcBorders>
            <w:shd w:val="clear" w:color="auto" w:fill="auto"/>
            <w:noWrap/>
            <w:vAlign w:val="bottom"/>
          </w:tcPr>
          <w:p w14:paraId="33A633C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A1DD4E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(.257)</w:t>
            </w:r>
          </w:p>
        </w:tc>
        <w:tc>
          <w:tcPr>
            <w:tcW w:w="1260" w:type="dxa"/>
            <w:tcBorders>
              <w:top w:val="nil"/>
              <w:left w:val="nil"/>
              <w:bottom w:val="nil"/>
              <w:right w:val="nil"/>
            </w:tcBorders>
            <w:shd w:val="clear" w:color="auto" w:fill="auto"/>
            <w:noWrap/>
            <w:vAlign w:val="bottom"/>
          </w:tcPr>
          <w:p w14:paraId="357D79C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(.19</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29B6D68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(.201)</w:t>
            </w:r>
          </w:p>
        </w:tc>
        <w:tc>
          <w:tcPr>
            <w:tcW w:w="1260" w:type="dxa"/>
            <w:tcBorders>
              <w:top w:val="nil"/>
              <w:left w:val="nil"/>
              <w:bottom w:val="nil"/>
              <w:right w:val="nil"/>
            </w:tcBorders>
            <w:shd w:val="clear" w:color="auto" w:fill="auto"/>
            <w:noWrap/>
            <w:vAlign w:val="bottom"/>
          </w:tcPr>
          <w:p w14:paraId="6650310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(.205)</w:t>
            </w:r>
          </w:p>
        </w:tc>
        <w:tc>
          <w:tcPr>
            <w:tcW w:w="1260" w:type="dxa"/>
            <w:tcBorders>
              <w:top w:val="nil"/>
              <w:left w:val="nil"/>
              <w:bottom w:val="nil"/>
              <w:right w:val="nil"/>
            </w:tcBorders>
            <w:shd w:val="clear" w:color="auto" w:fill="auto"/>
            <w:noWrap/>
            <w:vAlign w:val="bottom"/>
          </w:tcPr>
          <w:p w14:paraId="2D76111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(.21</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1D743A38" w14:textId="77777777" w:rsidTr="00890FA4">
        <w:trPr>
          <w:trHeight w:val="255"/>
          <w:jc w:val="center"/>
        </w:trPr>
        <w:tc>
          <w:tcPr>
            <w:tcW w:w="1600" w:type="dxa"/>
            <w:tcBorders>
              <w:top w:val="nil"/>
              <w:left w:val="nil"/>
              <w:bottom w:val="nil"/>
              <w:right w:val="nil"/>
            </w:tcBorders>
            <w:shd w:val="clear" w:color="auto" w:fill="auto"/>
            <w:noWrap/>
            <w:vAlign w:val="bottom"/>
          </w:tcPr>
          <w:p w14:paraId="0EE3340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OwnerOcc</w:t>
            </w:r>
          </w:p>
        </w:tc>
        <w:tc>
          <w:tcPr>
            <w:tcW w:w="1280" w:type="dxa"/>
            <w:tcBorders>
              <w:top w:val="nil"/>
              <w:left w:val="nil"/>
              <w:bottom w:val="nil"/>
              <w:right w:val="nil"/>
            </w:tcBorders>
            <w:shd w:val="clear" w:color="auto" w:fill="auto"/>
            <w:noWrap/>
            <w:vAlign w:val="bottom"/>
          </w:tcPr>
          <w:p w14:paraId="3D503A2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.617</w:t>
            </w:r>
          </w:p>
        </w:tc>
        <w:tc>
          <w:tcPr>
            <w:tcW w:w="1260" w:type="dxa"/>
            <w:tcBorders>
              <w:top w:val="nil"/>
              <w:left w:val="nil"/>
              <w:bottom w:val="nil"/>
              <w:right w:val="nil"/>
            </w:tcBorders>
            <w:shd w:val="clear" w:color="auto" w:fill="auto"/>
            <w:noWrap/>
            <w:vAlign w:val="bottom"/>
          </w:tcPr>
          <w:p w14:paraId="49D4A25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.722**</w:t>
            </w:r>
          </w:p>
        </w:tc>
        <w:tc>
          <w:tcPr>
            <w:tcW w:w="1260" w:type="dxa"/>
            <w:tcBorders>
              <w:top w:val="nil"/>
              <w:left w:val="nil"/>
              <w:bottom w:val="nil"/>
              <w:right w:val="nil"/>
            </w:tcBorders>
            <w:shd w:val="clear" w:color="auto" w:fill="auto"/>
            <w:noWrap/>
            <w:vAlign w:val="bottom"/>
          </w:tcPr>
          <w:p w14:paraId="7D63F2A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.694**</w:t>
            </w:r>
          </w:p>
        </w:tc>
        <w:tc>
          <w:tcPr>
            <w:tcW w:w="1260" w:type="dxa"/>
            <w:tcBorders>
              <w:top w:val="nil"/>
              <w:left w:val="nil"/>
              <w:bottom w:val="nil"/>
              <w:right w:val="nil"/>
            </w:tcBorders>
            <w:shd w:val="clear" w:color="auto" w:fill="auto"/>
            <w:noWrap/>
            <w:vAlign w:val="bottom"/>
          </w:tcPr>
          <w:p w14:paraId="7E622E0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.611*</w:t>
            </w:r>
          </w:p>
        </w:tc>
        <w:tc>
          <w:tcPr>
            <w:tcW w:w="1260" w:type="dxa"/>
            <w:tcBorders>
              <w:top w:val="nil"/>
              <w:left w:val="nil"/>
              <w:bottom w:val="nil"/>
              <w:right w:val="nil"/>
            </w:tcBorders>
            <w:shd w:val="clear" w:color="auto" w:fill="auto"/>
            <w:noWrap/>
            <w:vAlign w:val="bottom"/>
          </w:tcPr>
          <w:p w14:paraId="178D294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.544</w:t>
            </w:r>
          </w:p>
        </w:tc>
      </w:tr>
      <w:tr w:rsidR="00890FA4" w:rsidRPr="00351E73" w14:paraId="52C50EE6" w14:textId="77777777" w:rsidTr="00890FA4">
        <w:trPr>
          <w:trHeight w:val="255"/>
          <w:jc w:val="center"/>
        </w:trPr>
        <w:tc>
          <w:tcPr>
            <w:tcW w:w="1600" w:type="dxa"/>
            <w:tcBorders>
              <w:top w:val="nil"/>
              <w:left w:val="nil"/>
              <w:bottom w:val="nil"/>
              <w:right w:val="nil"/>
            </w:tcBorders>
            <w:shd w:val="clear" w:color="auto" w:fill="auto"/>
            <w:noWrap/>
            <w:vAlign w:val="bottom"/>
          </w:tcPr>
          <w:p w14:paraId="0EEA322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992409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(.45</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bottom w:val="nil"/>
              <w:right w:val="nil"/>
            </w:tcBorders>
            <w:shd w:val="clear" w:color="auto" w:fill="auto"/>
            <w:noWrap/>
            <w:vAlign w:val="bottom"/>
          </w:tcPr>
          <w:p w14:paraId="0AC556A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(.329)</w:t>
            </w:r>
          </w:p>
        </w:tc>
        <w:tc>
          <w:tcPr>
            <w:tcW w:w="1260" w:type="dxa"/>
            <w:tcBorders>
              <w:top w:val="nil"/>
              <w:left w:val="nil"/>
              <w:bottom w:val="nil"/>
              <w:right w:val="nil"/>
            </w:tcBorders>
            <w:shd w:val="clear" w:color="auto" w:fill="auto"/>
            <w:noWrap/>
            <w:vAlign w:val="bottom"/>
          </w:tcPr>
          <w:p w14:paraId="4F98E33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(.341)</w:t>
            </w:r>
          </w:p>
        </w:tc>
        <w:tc>
          <w:tcPr>
            <w:tcW w:w="1260" w:type="dxa"/>
            <w:tcBorders>
              <w:top w:val="nil"/>
              <w:left w:val="nil"/>
              <w:bottom w:val="nil"/>
              <w:right w:val="nil"/>
            </w:tcBorders>
            <w:shd w:val="clear" w:color="auto" w:fill="auto"/>
            <w:noWrap/>
            <w:vAlign w:val="bottom"/>
          </w:tcPr>
          <w:p w14:paraId="3751531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(.348)</w:t>
            </w:r>
          </w:p>
        </w:tc>
        <w:tc>
          <w:tcPr>
            <w:tcW w:w="1260" w:type="dxa"/>
            <w:tcBorders>
              <w:top w:val="nil"/>
              <w:left w:val="nil"/>
              <w:bottom w:val="nil"/>
              <w:right w:val="nil"/>
            </w:tcBorders>
            <w:shd w:val="clear" w:color="auto" w:fill="auto"/>
            <w:noWrap/>
            <w:vAlign w:val="bottom"/>
          </w:tcPr>
          <w:p w14:paraId="45EDE70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(.344)</w:t>
            </w:r>
          </w:p>
        </w:tc>
      </w:tr>
      <w:tr w:rsidR="00890FA4" w:rsidRPr="00351E73" w14:paraId="7BCC9324" w14:textId="77777777" w:rsidTr="00890FA4">
        <w:trPr>
          <w:trHeight w:val="255"/>
          <w:jc w:val="center"/>
        </w:trPr>
        <w:tc>
          <w:tcPr>
            <w:tcW w:w="1600" w:type="dxa"/>
            <w:tcBorders>
              <w:top w:val="nil"/>
              <w:left w:val="nil"/>
              <w:bottom w:val="nil"/>
              <w:right w:val="nil"/>
            </w:tcBorders>
            <w:shd w:val="clear" w:color="auto" w:fill="auto"/>
            <w:noWrap/>
            <w:vAlign w:val="bottom"/>
          </w:tcPr>
          <w:p w14:paraId="6CD96418"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Term30</w:t>
            </w:r>
          </w:p>
        </w:tc>
        <w:tc>
          <w:tcPr>
            <w:tcW w:w="1280" w:type="dxa"/>
            <w:tcBorders>
              <w:top w:val="nil"/>
              <w:left w:val="nil"/>
              <w:bottom w:val="nil"/>
              <w:right w:val="nil"/>
            </w:tcBorders>
            <w:shd w:val="clear" w:color="auto" w:fill="auto"/>
            <w:noWrap/>
            <w:vAlign w:val="bottom"/>
          </w:tcPr>
          <w:p w14:paraId="6AE1E50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15.68***</w:t>
            </w:r>
          </w:p>
        </w:tc>
        <w:tc>
          <w:tcPr>
            <w:tcW w:w="1260" w:type="dxa"/>
            <w:tcBorders>
              <w:top w:val="nil"/>
              <w:left w:val="nil"/>
              <w:bottom w:val="nil"/>
              <w:right w:val="nil"/>
            </w:tcBorders>
            <w:shd w:val="clear" w:color="auto" w:fill="auto"/>
            <w:noWrap/>
            <w:vAlign w:val="bottom"/>
          </w:tcPr>
          <w:p w14:paraId="771D192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15.74***</w:t>
            </w:r>
          </w:p>
        </w:tc>
        <w:tc>
          <w:tcPr>
            <w:tcW w:w="1260" w:type="dxa"/>
            <w:tcBorders>
              <w:top w:val="nil"/>
              <w:left w:val="nil"/>
              <w:bottom w:val="nil"/>
              <w:right w:val="nil"/>
            </w:tcBorders>
            <w:shd w:val="clear" w:color="auto" w:fill="auto"/>
            <w:noWrap/>
            <w:vAlign w:val="bottom"/>
          </w:tcPr>
          <w:p w14:paraId="325A1F7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16.93***</w:t>
            </w:r>
          </w:p>
        </w:tc>
        <w:tc>
          <w:tcPr>
            <w:tcW w:w="1260" w:type="dxa"/>
            <w:tcBorders>
              <w:top w:val="nil"/>
              <w:left w:val="nil"/>
              <w:bottom w:val="nil"/>
              <w:right w:val="nil"/>
            </w:tcBorders>
            <w:shd w:val="clear" w:color="auto" w:fill="auto"/>
            <w:noWrap/>
            <w:vAlign w:val="bottom"/>
          </w:tcPr>
          <w:p w14:paraId="46760AA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16.84***</w:t>
            </w:r>
          </w:p>
        </w:tc>
        <w:tc>
          <w:tcPr>
            <w:tcW w:w="1260" w:type="dxa"/>
            <w:tcBorders>
              <w:top w:val="nil"/>
              <w:left w:val="nil"/>
              <w:bottom w:val="nil"/>
              <w:right w:val="nil"/>
            </w:tcBorders>
            <w:shd w:val="clear" w:color="auto" w:fill="auto"/>
            <w:noWrap/>
            <w:vAlign w:val="bottom"/>
          </w:tcPr>
          <w:p w14:paraId="398343C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16.6</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0BF50AC6" w14:textId="77777777" w:rsidTr="00890FA4">
        <w:trPr>
          <w:trHeight w:val="255"/>
          <w:jc w:val="center"/>
        </w:trPr>
        <w:tc>
          <w:tcPr>
            <w:tcW w:w="1600" w:type="dxa"/>
            <w:tcBorders>
              <w:top w:val="nil"/>
              <w:left w:val="nil"/>
              <w:bottom w:val="nil"/>
              <w:right w:val="nil"/>
            </w:tcBorders>
            <w:shd w:val="clear" w:color="auto" w:fill="auto"/>
            <w:noWrap/>
            <w:vAlign w:val="bottom"/>
          </w:tcPr>
          <w:p w14:paraId="7235C875"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4581E6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(1.226)</w:t>
            </w:r>
          </w:p>
        </w:tc>
        <w:tc>
          <w:tcPr>
            <w:tcW w:w="1260" w:type="dxa"/>
            <w:tcBorders>
              <w:top w:val="nil"/>
              <w:left w:val="nil"/>
              <w:bottom w:val="nil"/>
              <w:right w:val="nil"/>
            </w:tcBorders>
            <w:shd w:val="clear" w:color="auto" w:fill="auto"/>
            <w:noWrap/>
            <w:vAlign w:val="bottom"/>
          </w:tcPr>
          <w:p w14:paraId="1394010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(.892)</w:t>
            </w:r>
          </w:p>
        </w:tc>
        <w:tc>
          <w:tcPr>
            <w:tcW w:w="1260" w:type="dxa"/>
            <w:tcBorders>
              <w:top w:val="nil"/>
              <w:left w:val="nil"/>
              <w:bottom w:val="nil"/>
              <w:right w:val="nil"/>
            </w:tcBorders>
            <w:shd w:val="clear" w:color="auto" w:fill="auto"/>
            <w:noWrap/>
            <w:vAlign w:val="bottom"/>
          </w:tcPr>
          <w:p w14:paraId="2FF95E8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(.972)</w:t>
            </w:r>
          </w:p>
        </w:tc>
        <w:tc>
          <w:tcPr>
            <w:tcW w:w="1260" w:type="dxa"/>
            <w:tcBorders>
              <w:top w:val="nil"/>
              <w:left w:val="nil"/>
              <w:bottom w:val="nil"/>
              <w:right w:val="nil"/>
            </w:tcBorders>
            <w:shd w:val="clear" w:color="auto" w:fill="auto"/>
            <w:noWrap/>
            <w:vAlign w:val="bottom"/>
          </w:tcPr>
          <w:p w14:paraId="0CAC8F8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(.995)</w:t>
            </w:r>
          </w:p>
        </w:tc>
        <w:tc>
          <w:tcPr>
            <w:tcW w:w="1260" w:type="dxa"/>
            <w:tcBorders>
              <w:top w:val="nil"/>
              <w:left w:val="nil"/>
              <w:bottom w:val="nil"/>
              <w:right w:val="nil"/>
            </w:tcBorders>
            <w:shd w:val="clear" w:color="auto" w:fill="auto"/>
            <w:noWrap/>
            <w:vAlign w:val="bottom"/>
          </w:tcPr>
          <w:p w14:paraId="530BEFA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(.976)</w:t>
            </w:r>
          </w:p>
        </w:tc>
      </w:tr>
      <w:tr w:rsidR="00890FA4" w:rsidRPr="00351E73" w14:paraId="6C97D63D" w14:textId="77777777" w:rsidTr="00890FA4">
        <w:trPr>
          <w:trHeight w:val="255"/>
          <w:jc w:val="center"/>
        </w:trPr>
        <w:tc>
          <w:tcPr>
            <w:tcW w:w="1600" w:type="dxa"/>
            <w:tcBorders>
              <w:top w:val="nil"/>
              <w:left w:val="nil"/>
              <w:bottom w:val="nil"/>
              <w:right w:val="nil"/>
            </w:tcBorders>
            <w:shd w:val="clear" w:color="auto" w:fill="auto"/>
            <w:noWrap/>
            <w:vAlign w:val="bottom"/>
          </w:tcPr>
          <w:p w14:paraId="52AAF724"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Age15-34</w:t>
            </w:r>
          </w:p>
        </w:tc>
        <w:tc>
          <w:tcPr>
            <w:tcW w:w="1280" w:type="dxa"/>
            <w:tcBorders>
              <w:top w:val="nil"/>
              <w:left w:val="nil"/>
              <w:bottom w:val="nil"/>
              <w:right w:val="nil"/>
            </w:tcBorders>
            <w:shd w:val="clear" w:color="auto" w:fill="auto"/>
            <w:noWrap/>
            <w:vAlign w:val="bottom"/>
          </w:tcPr>
          <w:p w14:paraId="03D7F62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.0972***</w:t>
            </w:r>
          </w:p>
        </w:tc>
        <w:tc>
          <w:tcPr>
            <w:tcW w:w="1260" w:type="dxa"/>
            <w:tcBorders>
              <w:top w:val="nil"/>
              <w:left w:val="nil"/>
              <w:bottom w:val="nil"/>
              <w:right w:val="nil"/>
            </w:tcBorders>
            <w:shd w:val="clear" w:color="auto" w:fill="auto"/>
            <w:noWrap/>
            <w:vAlign w:val="bottom"/>
          </w:tcPr>
          <w:p w14:paraId="0F0BC48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.0967***</w:t>
            </w:r>
          </w:p>
        </w:tc>
        <w:tc>
          <w:tcPr>
            <w:tcW w:w="1260" w:type="dxa"/>
            <w:tcBorders>
              <w:top w:val="nil"/>
              <w:left w:val="nil"/>
              <w:bottom w:val="nil"/>
              <w:right w:val="nil"/>
            </w:tcBorders>
            <w:shd w:val="clear" w:color="auto" w:fill="auto"/>
            <w:noWrap/>
            <w:vAlign w:val="bottom"/>
          </w:tcPr>
          <w:p w14:paraId="517E96D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.0939***</w:t>
            </w:r>
          </w:p>
        </w:tc>
        <w:tc>
          <w:tcPr>
            <w:tcW w:w="1260" w:type="dxa"/>
            <w:tcBorders>
              <w:top w:val="nil"/>
              <w:left w:val="nil"/>
              <w:bottom w:val="nil"/>
              <w:right w:val="nil"/>
            </w:tcBorders>
            <w:shd w:val="clear" w:color="auto" w:fill="auto"/>
            <w:noWrap/>
            <w:vAlign w:val="bottom"/>
          </w:tcPr>
          <w:p w14:paraId="006E0B0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.0937***</w:t>
            </w:r>
          </w:p>
        </w:tc>
        <w:tc>
          <w:tcPr>
            <w:tcW w:w="1260" w:type="dxa"/>
            <w:tcBorders>
              <w:top w:val="nil"/>
              <w:left w:val="nil"/>
              <w:bottom w:val="nil"/>
              <w:right w:val="nil"/>
            </w:tcBorders>
            <w:shd w:val="clear" w:color="auto" w:fill="auto"/>
            <w:noWrap/>
            <w:vAlign w:val="bottom"/>
          </w:tcPr>
          <w:p w14:paraId="18AAD41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.0979***</w:t>
            </w:r>
          </w:p>
        </w:tc>
      </w:tr>
      <w:tr w:rsidR="00890FA4" w:rsidRPr="00351E73" w14:paraId="552F3B02" w14:textId="77777777" w:rsidTr="00890FA4">
        <w:trPr>
          <w:trHeight w:val="255"/>
          <w:jc w:val="center"/>
        </w:trPr>
        <w:tc>
          <w:tcPr>
            <w:tcW w:w="1600" w:type="dxa"/>
            <w:tcBorders>
              <w:top w:val="nil"/>
              <w:left w:val="nil"/>
              <w:bottom w:val="nil"/>
              <w:right w:val="nil"/>
            </w:tcBorders>
            <w:shd w:val="clear" w:color="auto" w:fill="auto"/>
            <w:noWrap/>
            <w:vAlign w:val="bottom"/>
          </w:tcPr>
          <w:p w14:paraId="1802E3FA"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1F0A8C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(.0189)</w:t>
            </w:r>
          </w:p>
        </w:tc>
        <w:tc>
          <w:tcPr>
            <w:tcW w:w="1260" w:type="dxa"/>
            <w:tcBorders>
              <w:top w:val="nil"/>
              <w:left w:val="nil"/>
              <w:bottom w:val="nil"/>
              <w:right w:val="nil"/>
            </w:tcBorders>
            <w:shd w:val="clear" w:color="auto" w:fill="auto"/>
            <w:noWrap/>
            <w:vAlign w:val="bottom"/>
          </w:tcPr>
          <w:p w14:paraId="4888255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(.0139)</w:t>
            </w:r>
          </w:p>
        </w:tc>
        <w:tc>
          <w:tcPr>
            <w:tcW w:w="1260" w:type="dxa"/>
            <w:tcBorders>
              <w:top w:val="nil"/>
              <w:left w:val="nil"/>
              <w:bottom w:val="nil"/>
              <w:right w:val="nil"/>
            </w:tcBorders>
            <w:shd w:val="clear" w:color="auto" w:fill="auto"/>
            <w:noWrap/>
            <w:vAlign w:val="bottom"/>
          </w:tcPr>
          <w:p w14:paraId="2A0DAA9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(.0151)</w:t>
            </w:r>
          </w:p>
        </w:tc>
        <w:tc>
          <w:tcPr>
            <w:tcW w:w="1260" w:type="dxa"/>
            <w:tcBorders>
              <w:top w:val="nil"/>
              <w:left w:val="nil"/>
              <w:bottom w:val="nil"/>
              <w:right w:val="nil"/>
            </w:tcBorders>
            <w:shd w:val="clear" w:color="auto" w:fill="auto"/>
            <w:noWrap/>
            <w:vAlign w:val="bottom"/>
          </w:tcPr>
          <w:p w14:paraId="6957165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(.0154)</w:t>
            </w:r>
          </w:p>
        </w:tc>
        <w:tc>
          <w:tcPr>
            <w:tcW w:w="1260" w:type="dxa"/>
            <w:tcBorders>
              <w:top w:val="nil"/>
              <w:left w:val="nil"/>
              <w:bottom w:val="nil"/>
              <w:right w:val="nil"/>
            </w:tcBorders>
            <w:shd w:val="clear" w:color="auto" w:fill="auto"/>
            <w:noWrap/>
            <w:vAlign w:val="bottom"/>
          </w:tcPr>
          <w:p w14:paraId="4D01B2A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(.0158)</w:t>
            </w:r>
          </w:p>
        </w:tc>
      </w:tr>
      <w:tr w:rsidR="00890FA4" w:rsidRPr="00351E73" w14:paraId="7D9CF8A7" w14:textId="77777777" w:rsidTr="00890FA4">
        <w:trPr>
          <w:trHeight w:val="255"/>
          <w:jc w:val="center"/>
        </w:trPr>
        <w:tc>
          <w:tcPr>
            <w:tcW w:w="1600" w:type="dxa"/>
            <w:tcBorders>
              <w:top w:val="nil"/>
              <w:left w:val="nil"/>
              <w:bottom w:val="nil"/>
              <w:right w:val="nil"/>
            </w:tcBorders>
            <w:shd w:val="clear" w:color="auto" w:fill="auto"/>
            <w:noWrap/>
            <w:vAlign w:val="bottom"/>
          </w:tcPr>
          <w:p w14:paraId="0FF7981E"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Age35-54</w:t>
            </w:r>
          </w:p>
        </w:tc>
        <w:tc>
          <w:tcPr>
            <w:tcW w:w="1280" w:type="dxa"/>
            <w:tcBorders>
              <w:top w:val="nil"/>
              <w:left w:val="nil"/>
              <w:bottom w:val="nil"/>
              <w:right w:val="nil"/>
            </w:tcBorders>
            <w:shd w:val="clear" w:color="auto" w:fill="auto"/>
            <w:noWrap/>
            <w:vAlign w:val="bottom"/>
          </w:tcPr>
          <w:p w14:paraId="289368F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.131***</w:t>
            </w:r>
          </w:p>
        </w:tc>
        <w:tc>
          <w:tcPr>
            <w:tcW w:w="1260" w:type="dxa"/>
            <w:tcBorders>
              <w:top w:val="nil"/>
              <w:left w:val="nil"/>
              <w:bottom w:val="nil"/>
              <w:right w:val="nil"/>
            </w:tcBorders>
            <w:shd w:val="clear" w:color="auto" w:fill="auto"/>
            <w:noWrap/>
            <w:vAlign w:val="bottom"/>
          </w:tcPr>
          <w:p w14:paraId="3A2E190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.0968***</w:t>
            </w:r>
          </w:p>
        </w:tc>
        <w:tc>
          <w:tcPr>
            <w:tcW w:w="1260" w:type="dxa"/>
            <w:tcBorders>
              <w:top w:val="nil"/>
              <w:left w:val="nil"/>
              <w:bottom w:val="nil"/>
              <w:right w:val="nil"/>
            </w:tcBorders>
            <w:shd w:val="clear" w:color="auto" w:fill="auto"/>
            <w:noWrap/>
            <w:vAlign w:val="bottom"/>
          </w:tcPr>
          <w:p w14:paraId="1582165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.0942***</w:t>
            </w:r>
          </w:p>
        </w:tc>
        <w:tc>
          <w:tcPr>
            <w:tcW w:w="1260" w:type="dxa"/>
            <w:tcBorders>
              <w:top w:val="nil"/>
              <w:left w:val="nil"/>
              <w:bottom w:val="nil"/>
              <w:right w:val="nil"/>
            </w:tcBorders>
            <w:shd w:val="clear" w:color="auto" w:fill="auto"/>
            <w:noWrap/>
            <w:vAlign w:val="bottom"/>
          </w:tcPr>
          <w:p w14:paraId="3A9F5BA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.0955***</w:t>
            </w:r>
          </w:p>
        </w:tc>
        <w:tc>
          <w:tcPr>
            <w:tcW w:w="1260" w:type="dxa"/>
            <w:tcBorders>
              <w:top w:val="nil"/>
              <w:left w:val="nil"/>
              <w:bottom w:val="nil"/>
              <w:right w:val="nil"/>
            </w:tcBorders>
            <w:shd w:val="clear" w:color="auto" w:fill="auto"/>
            <w:noWrap/>
            <w:vAlign w:val="bottom"/>
          </w:tcPr>
          <w:p w14:paraId="0E8ACB1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.0887***</w:t>
            </w:r>
          </w:p>
        </w:tc>
      </w:tr>
      <w:tr w:rsidR="00890FA4" w:rsidRPr="00351E73" w14:paraId="48CD1612" w14:textId="77777777" w:rsidTr="00890FA4">
        <w:trPr>
          <w:trHeight w:val="255"/>
          <w:jc w:val="center"/>
        </w:trPr>
        <w:tc>
          <w:tcPr>
            <w:tcW w:w="1600" w:type="dxa"/>
            <w:tcBorders>
              <w:top w:val="nil"/>
              <w:left w:val="nil"/>
              <w:bottom w:val="nil"/>
              <w:right w:val="nil"/>
            </w:tcBorders>
            <w:shd w:val="clear" w:color="auto" w:fill="auto"/>
            <w:noWrap/>
            <w:vAlign w:val="bottom"/>
          </w:tcPr>
          <w:p w14:paraId="09FC28B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9B1B1E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(.0333)</w:t>
            </w:r>
          </w:p>
        </w:tc>
        <w:tc>
          <w:tcPr>
            <w:tcW w:w="1260" w:type="dxa"/>
            <w:tcBorders>
              <w:top w:val="nil"/>
              <w:left w:val="nil"/>
              <w:bottom w:val="nil"/>
              <w:right w:val="nil"/>
            </w:tcBorders>
            <w:shd w:val="clear" w:color="auto" w:fill="auto"/>
            <w:noWrap/>
            <w:vAlign w:val="bottom"/>
          </w:tcPr>
          <w:p w14:paraId="21025C6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(.0245)</w:t>
            </w:r>
          </w:p>
        </w:tc>
        <w:tc>
          <w:tcPr>
            <w:tcW w:w="1260" w:type="dxa"/>
            <w:tcBorders>
              <w:top w:val="nil"/>
              <w:left w:val="nil"/>
              <w:bottom w:val="nil"/>
              <w:right w:val="nil"/>
            </w:tcBorders>
            <w:shd w:val="clear" w:color="auto" w:fill="auto"/>
            <w:noWrap/>
            <w:vAlign w:val="bottom"/>
          </w:tcPr>
          <w:p w14:paraId="729EEC4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(.0269)</w:t>
            </w:r>
          </w:p>
        </w:tc>
        <w:tc>
          <w:tcPr>
            <w:tcW w:w="1260" w:type="dxa"/>
            <w:tcBorders>
              <w:top w:val="nil"/>
              <w:left w:val="nil"/>
              <w:bottom w:val="nil"/>
              <w:right w:val="nil"/>
            </w:tcBorders>
            <w:shd w:val="clear" w:color="auto" w:fill="auto"/>
            <w:noWrap/>
            <w:vAlign w:val="bottom"/>
          </w:tcPr>
          <w:p w14:paraId="55DC118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(.0275)</w:t>
            </w:r>
          </w:p>
        </w:tc>
        <w:tc>
          <w:tcPr>
            <w:tcW w:w="1260" w:type="dxa"/>
            <w:tcBorders>
              <w:top w:val="nil"/>
              <w:left w:val="nil"/>
              <w:bottom w:val="nil"/>
              <w:right w:val="nil"/>
            </w:tcBorders>
            <w:shd w:val="clear" w:color="auto" w:fill="auto"/>
            <w:noWrap/>
            <w:vAlign w:val="bottom"/>
          </w:tcPr>
          <w:p w14:paraId="769838E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(.0283)</w:t>
            </w:r>
          </w:p>
        </w:tc>
      </w:tr>
      <w:tr w:rsidR="00890FA4" w:rsidRPr="00351E73" w14:paraId="19DAFD7C" w14:textId="77777777" w:rsidTr="00890FA4">
        <w:trPr>
          <w:trHeight w:val="255"/>
          <w:jc w:val="center"/>
        </w:trPr>
        <w:tc>
          <w:tcPr>
            <w:tcW w:w="1600" w:type="dxa"/>
            <w:tcBorders>
              <w:top w:val="nil"/>
              <w:left w:val="nil"/>
              <w:right w:val="nil"/>
            </w:tcBorders>
            <w:shd w:val="clear" w:color="auto" w:fill="auto"/>
            <w:noWrap/>
            <w:vAlign w:val="bottom"/>
          </w:tcPr>
          <w:p w14:paraId="7ED48415"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Age55-69</w:t>
            </w:r>
          </w:p>
        </w:tc>
        <w:tc>
          <w:tcPr>
            <w:tcW w:w="1280" w:type="dxa"/>
            <w:tcBorders>
              <w:top w:val="nil"/>
              <w:left w:val="nil"/>
              <w:right w:val="nil"/>
            </w:tcBorders>
            <w:shd w:val="clear" w:color="auto" w:fill="auto"/>
            <w:noWrap/>
            <w:vAlign w:val="bottom"/>
          </w:tcPr>
          <w:p w14:paraId="39DC07C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right w:val="nil"/>
            </w:tcBorders>
            <w:shd w:val="clear" w:color="auto" w:fill="auto"/>
            <w:noWrap/>
            <w:vAlign w:val="bottom"/>
          </w:tcPr>
          <w:p w14:paraId="4923115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-.116***</w:t>
            </w:r>
          </w:p>
        </w:tc>
        <w:tc>
          <w:tcPr>
            <w:tcW w:w="1260" w:type="dxa"/>
            <w:tcBorders>
              <w:top w:val="nil"/>
              <w:left w:val="nil"/>
              <w:right w:val="nil"/>
            </w:tcBorders>
            <w:shd w:val="clear" w:color="auto" w:fill="auto"/>
            <w:noWrap/>
            <w:vAlign w:val="bottom"/>
          </w:tcPr>
          <w:p w14:paraId="615E263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-.117***</w:t>
            </w:r>
          </w:p>
        </w:tc>
        <w:tc>
          <w:tcPr>
            <w:tcW w:w="1260" w:type="dxa"/>
            <w:tcBorders>
              <w:top w:val="nil"/>
              <w:left w:val="nil"/>
              <w:right w:val="nil"/>
            </w:tcBorders>
            <w:shd w:val="clear" w:color="auto" w:fill="auto"/>
            <w:noWrap/>
            <w:vAlign w:val="bottom"/>
          </w:tcPr>
          <w:p w14:paraId="73EC77A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-.119***</w:t>
            </w:r>
          </w:p>
        </w:tc>
        <w:tc>
          <w:tcPr>
            <w:tcW w:w="1260" w:type="dxa"/>
            <w:tcBorders>
              <w:top w:val="nil"/>
              <w:left w:val="nil"/>
              <w:right w:val="nil"/>
            </w:tcBorders>
            <w:shd w:val="clear" w:color="auto" w:fill="auto"/>
            <w:noWrap/>
            <w:vAlign w:val="bottom"/>
          </w:tcPr>
          <w:p w14:paraId="51B7F91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-.125***</w:t>
            </w:r>
          </w:p>
        </w:tc>
      </w:tr>
      <w:tr w:rsidR="00890FA4" w:rsidRPr="00351E73" w14:paraId="0143E856" w14:textId="77777777" w:rsidTr="00890FA4">
        <w:trPr>
          <w:trHeight w:val="255"/>
          <w:jc w:val="center"/>
        </w:trPr>
        <w:tc>
          <w:tcPr>
            <w:tcW w:w="1600" w:type="dxa"/>
            <w:tcBorders>
              <w:top w:val="nil"/>
              <w:left w:val="nil"/>
              <w:right w:val="nil"/>
            </w:tcBorders>
            <w:shd w:val="clear" w:color="auto" w:fill="auto"/>
            <w:noWrap/>
            <w:vAlign w:val="bottom"/>
          </w:tcPr>
          <w:p w14:paraId="013B3EA4"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right w:val="nil"/>
            </w:tcBorders>
            <w:shd w:val="clear" w:color="auto" w:fill="auto"/>
            <w:noWrap/>
            <w:vAlign w:val="bottom"/>
          </w:tcPr>
          <w:p w14:paraId="58DEBCB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(.0244)</w:t>
            </w:r>
          </w:p>
        </w:tc>
        <w:tc>
          <w:tcPr>
            <w:tcW w:w="1260" w:type="dxa"/>
            <w:tcBorders>
              <w:top w:val="nil"/>
              <w:left w:val="nil"/>
              <w:right w:val="nil"/>
            </w:tcBorders>
            <w:shd w:val="clear" w:color="auto" w:fill="auto"/>
            <w:noWrap/>
            <w:vAlign w:val="bottom"/>
          </w:tcPr>
          <w:p w14:paraId="73FABFF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(.0179)</w:t>
            </w:r>
          </w:p>
        </w:tc>
        <w:tc>
          <w:tcPr>
            <w:tcW w:w="1260" w:type="dxa"/>
            <w:tcBorders>
              <w:top w:val="nil"/>
              <w:left w:val="nil"/>
              <w:right w:val="nil"/>
            </w:tcBorders>
            <w:shd w:val="clear" w:color="auto" w:fill="auto"/>
            <w:noWrap/>
            <w:vAlign w:val="bottom"/>
          </w:tcPr>
          <w:p w14:paraId="75A2C22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(.0193)</w:t>
            </w:r>
          </w:p>
        </w:tc>
        <w:tc>
          <w:tcPr>
            <w:tcW w:w="1260" w:type="dxa"/>
            <w:tcBorders>
              <w:top w:val="nil"/>
              <w:left w:val="nil"/>
              <w:right w:val="nil"/>
            </w:tcBorders>
            <w:shd w:val="clear" w:color="auto" w:fill="auto"/>
            <w:noWrap/>
            <w:vAlign w:val="bottom"/>
          </w:tcPr>
          <w:p w14:paraId="7FFFACE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(.0197)</w:t>
            </w:r>
          </w:p>
        </w:tc>
        <w:tc>
          <w:tcPr>
            <w:tcW w:w="1260" w:type="dxa"/>
            <w:tcBorders>
              <w:top w:val="nil"/>
              <w:left w:val="nil"/>
              <w:right w:val="nil"/>
            </w:tcBorders>
            <w:shd w:val="clear" w:color="auto" w:fill="auto"/>
            <w:noWrap/>
            <w:vAlign w:val="bottom"/>
          </w:tcPr>
          <w:p w14:paraId="0E983C0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(.0202)</w:t>
            </w:r>
          </w:p>
        </w:tc>
      </w:tr>
      <w:tr w:rsidR="00890FA4" w:rsidRPr="00351E73" w14:paraId="12B7B153" w14:textId="77777777" w:rsidTr="00890FA4">
        <w:trPr>
          <w:trHeight w:val="255"/>
          <w:jc w:val="center"/>
        </w:trPr>
        <w:tc>
          <w:tcPr>
            <w:tcW w:w="1600" w:type="dxa"/>
            <w:tcBorders>
              <w:top w:val="nil"/>
              <w:left w:val="nil"/>
              <w:right w:val="nil"/>
            </w:tcBorders>
            <w:shd w:val="clear" w:color="auto" w:fill="auto"/>
            <w:noWrap/>
            <w:vAlign w:val="bottom"/>
          </w:tcPr>
          <w:p w14:paraId="2534CE29" w14:textId="77777777" w:rsidR="00890FA4" w:rsidRPr="004961A2" w:rsidRDefault="00890FA4" w:rsidP="00931F65">
            <w:pPr>
              <w:spacing w:after="0" w:line="240" w:lineRule="auto"/>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Age70plus</w:t>
            </w:r>
          </w:p>
        </w:tc>
        <w:tc>
          <w:tcPr>
            <w:tcW w:w="1280" w:type="dxa"/>
            <w:tcBorders>
              <w:top w:val="nil"/>
              <w:left w:val="nil"/>
              <w:right w:val="nil"/>
            </w:tcBorders>
            <w:shd w:val="clear" w:color="auto" w:fill="auto"/>
            <w:noWrap/>
            <w:vAlign w:val="bottom"/>
          </w:tcPr>
          <w:p w14:paraId="75D5C71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-.0618**</w:t>
            </w:r>
          </w:p>
        </w:tc>
        <w:tc>
          <w:tcPr>
            <w:tcW w:w="1260" w:type="dxa"/>
            <w:tcBorders>
              <w:top w:val="nil"/>
              <w:left w:val="nil"/>
              <w:right w:val="nil"/>
            </w:tcBorders>
            <w:shd w:val="clear" w:color="auto" w:fill="auto"/>
            <w:noWrap/>
            <w:vAlign w:val="bottom"/>
          </w:tcPr>
          <w:p w14:paraId="2543E50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-.0721***</w:t>
            </w:r>
          </w:p>
        </w:tc>
        <w:tc>
          <w:tcPr>
            <w:tcW w:w="1260" w:type="dxa"/>
            <w:tcBorders>
              <w:top w:val="nil"/>
              <w:left w:val="nil"/>
              <w:right w:val="nil"/>
            </w:tcBorders>
            <w:shd w:val="clear" w:color="auto" w:fill="auto"/>
            <w:noWrap/>
            <w:vAlign w:val="bottom"/>
          </w:tcPr>
          <w:p w14:paraId="38B5549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-.0654***</w:t>
            </w:r>
          </w:p>
        </w:tc>
        <w:tc>
          <w:tcPr>
            <w:tcW w:w="1260" w:type="dxa"/>
            <w:tcBorders>
              <w:top w:val="nil"/>
              <w:left w:val="nil"/>
              <w:right w:val="nil"/>
            </w:tcBorders>
            <w:shd w:val="clear" w:color="auto" w:fill="auto"/>
            <w:noWrap/>
            <w:vAlign w:val="bottom"/>
          </w:tcPr>
          <w:p w14:paraId="1F7A2C8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-.0659***</w:t>
            </w:r>
          </w:p>
        </w:tc>
        <w:tc>
          <w:tcPr>
            <w:tcW w:w="1260" w:type="dxa"/>
            <w:tcBorders>
              <w:top w:val="nil"/>
              <w:left w:val="nil"/>
              <w:right w:val="nil"/>
            </w:tcBorders>
            <w:shd w:val="clear" w:color="auto" w:fill="auto"/>
            <w:noWrap/>
            <w:vAlign w:val="bottom"/>
          </w:tcPr>
          <w:p w14:paraId="2D0ACF19"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-.0626***</w:t>
            </w:r>
          </w:p>
        </w:tc>
      </w:tr>
      <w:tr w:rsidR="00890FA4" w:rsidRPr="00351E73" w14:paraId="4634F010" w14:textId="77777777" w:rsidTr="00890FA4">
        <w:trPr>
          <w:trHeight w:val="255"/>
          <w:jc w:val="center"/>
        </w:trPr>
        <w:tc>
          <w:tcPr>
            <w:tcW w:w="1600" w:type="dxa"/>
            <w:tcBorders>
              <w:top w:val="nil"/>
              <w:left w:val="nil"/>
              <w:right w:val="nil"/>
            </w:tcBorders>
            <w:shd w:val="clear" w:color="auto" w:fill="auto"/>
            <w:noWrap/>
            <w:vAlign w:val="bottom"/>
          </w:tcPr>
          <w:p w14:paraId="2C1A7C52"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right w:val="nil"/>
            </w:tcBorders>
            <w:shd w:val="clear" w:color="auto" w:fill="auto"/>
            <w:noWrap/>
            <w:vAlign w:val="bottom"/>
          </w:tcPr>
          <w:p w14:paraId="0F200DF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(.0242)</w:t>
            </w:r>
          </w:p>
        </w:tc>
        <w:tc>
          <w:tcPr>
            <w:tcW w:w="1260" w:type="dxa"/>
            <w:tcBorders>
              <w:top w:val="nil"/>
              <w:left w:val="nil"/>
              <w:right w:val="nil"/>
            </w:tcBorders>
            <w:shd w:val="clear" w:color="auto" w:fill="auto"/>
            <w:noWrap/>
            <w:vAlign w:val="bottom"/>
          </w:tcPr>
          <w:p w14:paraId="5BC55F3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(.0178)</w:t>
            </w:r>
          </w:p>
        </w:tc>
        <w:tc>
          <w:tcPr>
            <w:tcW w:w="1260" w:type="dxa"/>
            <w:tcBorders>
              <w:top w:val="nil"/>
              <w:left w:val="nil"/>
              <w:right w:val="nil"/>
            </w:tcBorders>
            <w:shd w:val="clear" w:color="auto" w:fill="auto"/>
            <w:noWrap/>
            <w:vAlign w:val="bottom"/>
          </w:tcPr>
          <w:p w14:paraId="3DE3166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(.0195)</w:t>
            </w:r>
          </w:p>
        </w:tc>
        <w:tc>
          <w:tcPr>
            <w:tcW w:w="1260" w:type="dxa"/>
            <w:tcBorders>
              <w:top w:val="nil"/>
              <w:left w:val="nil"/>
              <w:right w:val="nil"/>
            </w:tcBorders>
            <w:shd w:val="clear" w:color="auto" w:fill="auto"/>
            <w:noWrap/>
            <w:vAlign w:val="bottom"/>
          </w:tcPr>
          <w:p w14:paraId="4BDE46B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(.0199)</w:t>
            </w:r>
          </w:p>
        </w:tc>
        <w:tc>
          <w:tcPr>
            <w:tcW w:w="1260" w:type="dxa"/>
            <w:tcBorders>
              <w:top w:val="nil"/>
              <w:left w:val="nil"/>
              <w:right w:val="nil"/>
            </w:tcBorders>
            <w:shd w:val="clear" w:color="auto" w:fill="auto"/>
            <w:noWrap/>
            <w:vAlign w:val="bottom"/>
          </w:tcPr>
          <w:p w14:paraId="294B3B7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(.0204)</w:t>
            </w:r>
          </w:p>
        </w:tc>
      </w:tr>
      <w:tr w:rsidR="00890FA4" w:rsidRPr="00351E73" w14:paraId="5C2E058F" w14:textId="77777777" w:rsidTr="00890FA4">
        <w:trPr>
          <w:trHeight w:val="255"/>
          <w:jc w:val="center"/>
        </w:trPr>
        <w:tc>
          <w:tcPr>
            <w:tcW w:w="1600" w:type="dxa"/>
            <w:tcBorders>
              <w:top w:val="nil"/>
              <w:left w:val="nil"/>
              <w:right w:val="nil"/>
            </w:tcBorders>
            <w:shd w:val="clear" w:color="auto" w:fill="auto"/>
            <w:noWrap/>
            <w:vAlign w:val="bottom"/>
          </w:tcPr>
          <w:p w14:paraId="77EA799D"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Value$1-$2</w:t>
            </w:r>
          </w:p>
        </w:tc>
        <w:tc>
          <w:tcPr>
            <w:tcW w:w="1280" w:type="dxa"/>
            <w:tcBorders>
              <w:top w:val="nil"/>
              <w:left w:val="nil"/>
              <w:right w:val="nil"/>
            </w:tcBorders>
            <w:shd w:val="clear" w:color="auto" w:fill="auto"/>
            <w:noWrap/>
            <w:vAlign w:val="bottom"/>
          </w:tcPr>
          <w:p w14:paraId="79487A2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-.0662***</w:t>
            </w:r>
          </w:p>
        </w:tc>
        <w:tc>
          <w:tcPr>
            <w:tcW w:w="1260" w:type="dxa"/>
            <w:tcBorders>
              <w:top w:val="nil"/>
              <w:left w:val="nil"/>
              <w:right w:val="nil"/>
            </w:tcBorders>
            <w:shd w:val="clear" w:color="auto" w:fill="auto"/>
            <w:noWrap/>
            <w:vAlign w:val="bottom"/>
          </w:tcPr>
          <w:p w14:paraId="6C82858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-.0624***</w:t>
            </w:r>
          </w:p>
        </w:tc>
        <w:tc>
          <w:tcPr>
            <w:tcW w:w="1260" w:type="dxa"/>
            <w:tcBorders>
              <w:top w:val="nil"/>
              <w:left w:val="nil"/>
              <w:right w:val="nil"/>
            </w:tcBorders>
            <w:shd w:val="clear" w:color="auto" w:fill="auto"/>
            <w:noWrap/>
            <w:vAlign w:val="bottom"/>
          </w:tcPr>
          <w:p w14:paraId="66496CC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-.0737***</w:t>
            </w:r>
          </w:p>
        </w:tc>
        <w:tc>
          <w:tcPr>
            <w:tcW w:w="1260" w:type="dxa"/>
            <w:tcBorders>
              <w:top w:val="nil"/>
              <w:left w:val="nil"/>
              <w:right w:val="nil"/>
            </w:tcBorders>
            <w:shd w:val="clear" w:color="auto" w:fill="auto"/>
            <w:noWrap/>
            <w:vAlign w:val="bottom"/>
          </w:tcPr>
          <w:p w14:paraId="29DED4F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-.0764***</w:t>
            </w:r>
          </w:p>
        </w:tc>
        <w:tc>
          <w:tcPr>
            <w:tcW w:w="1260" w:type="dxa"/>
            <w:tcBorders>
              <w:top w:val="nil"/>
              <w:left w:val="nil"/>
              <w:right w:val="nil"/>
            </w:tcBorders>
            <w:shd w:val="clear" w:color="auto" w:fill="auto"/>
            <w:noWrap/>
            <w:vAlign w:val="bottom"/>
          </w:tcPr>
          <w:p w14:paraId="649C532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-.0768***</w:t>
            </w:r>
          </w:p>
        </w:tc>
      </w:tr>
      <w:tr w:rsidR="00890FA4" w:rsidRPr="00351E73" w14:paraId="49971AE3" w14:textId="77777777" w:rsidTr="00890FA4">
        <w:trPr>
          <w:trHeight w:val="255"/>
          <w:jc w:val="center"/>
        </w:trPr>
        <w:tc>
          <w:tcPr>
            <w:tcW w:w="1600" w:type="dxa"/>
            <w:tcBorders>
              <w:top w:val="nil"/>
              <w:left w:val="nil"/>
              <w:right w:val="nil"/>
            </w:tcBorders>
            <w:shd w:val="clear" w:color="auto" w:fill="auto"/>
            <w:noWrap/>
            <w:vAlign w:val="bottom"/>
          </w:tcPr>
          <w:p w14:paraId="6C98205B"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right w:val="nil"/>
            </w:tcBorders>
            <w:shd w:val="clear" w:color="auto" w:fill="auto"/>
            <w:noWrap/>
            <w:vAlign w:val="bottom"/>
          </w:tcPr>
          <w:p w14:paraId="231E21F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(.0149)</w:t>
            </w:r>
          </w:p>
        </w:tc>
        <w:tc>
          <w:tcPr>
            <w:tcW w:w="1260" w:type="dxa"/>
            <w:tcBorders>
              <w:top w:val="nil"/>
              <w:left w:val="nil"/>
              <w:right w:val="nil"/>
            </w:tcBorders>
            <w:shd w:val="clear" w:color="auto" w:fill="auto"/>
            <w:noWrap/>
            <w:vAlign w:val="bottom"/>
          </w:tcPr>
          <w:p w14:paraId="560AEC8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(.0108)</w:t>
            </w:r>
          </w:p>
        </w:tc>
        <w:tc>
          <w:tcPr>
            <w:tcW w:w="1260" w:type="dxa"/>
            <w:tcBorders>
              <w:top w:val="nil"/>
              <w:left w:val="nil"/>
              <w:right w:val="nil"/>
            </w:tcBorders>
            <w:shd w:val="clear" w:color="auto" w:fill="auto"/>
            <w:noWrap/>
            <w:vAlign w:val="bottom"/>
          </w:tcPr>
          <w:p w14:paraId="7C200BE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(.0122)</w:t>
            </w:r>
          </w:p>
        </w:tc>
        <w:tc>
          <w:tcPr>
            <w:tcW w:w="1260" w:type="dxa"/>
            <w:tcBorders>
              <w:top w:val="nil"/>
              <w:left w:val="nil"/>
              <w:right w:val="nil"/>
            </w:tcBorders>
            <w:shd w:val="clear" w:color="auto" w:fill="auto"/>
            <w:noWrap/>
            <w:vAlign w:val="bottom"/>
          </w:tcPr>
          <w:p w14:paraId="747533C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(.0124)</w:t>
            </w:r>
          </w:p>
        </w:tc>
        <w:tc>
          <w:tcPr>
            <w:tcW w:w="1260" w:type="dxa"/>
            <w:tcBorders>
              <w:top w:val="nil"/>
              <w:left w:val="nil"/>
              <w:right w:val="nil"/>
            </w:tcBorders>
            <w:shd w:val="clear" w:color="auto" w:fill="auto"/>
            <w:noWrap/>
            <w:vAlign w:val="bottom"/>
          </w:tcPr>
          <w:p w14:paraId="4F4FF5D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(.0125)</w:t>
            </w:r>
          </w:p>
        </w:tc>
      </w:tr>
      <w:tr w:rsidR="00890FA4" w:rsidRPr="00351E73" w14:paraId="51AB031B" w14:textId="77777777" w:rsidTr="00890FA4">
        <w:trPr>
          <w:trHeight w:val="255"/>
          <w:jc w:val="center"/>
        </w:trPr>
        <w:tc>
          <w:tcPr>
            <w:tcW w:w="1600" w:type="dxa"/>
            <w:tcBorders>
              <w:top w:val="nil"/>
              <w:left w:val="nil"/>
              <w:right w:val="nil"/>
            </w:tcBorders>
            <w:shd w:val="clear" w:color="auto" w:fill="auto"/>
            <w:noWrap/>
            <w:vAlign w:val="bottom"/>
          </w:tcPr>
          <w:p w14:paraId="44EF51E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Value$2-$3</w:t>
            </w:r>
          </w:p>
        </w:tc>
        <w:tc>
          <w:tcPr>
            <w:tcW w:w="1280" w:type="dxa"/>
            <w:tcBorders>
              <w:top w:val="nil"/>
              <w:left w:val="nil"/>
              <w:right w:val="nil"/>
            </w:tcBorders>
            <w:shd w:val="clear" w:color="auto" w:fill="auto"/>
            <w:noWrap/>
            <w:vAlign w:val="bottom"/>
          </w:tcPr>
          <w:p w14:paraId="2C24EF4B"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-.153***</w:t>
            </w:r>
          </w:p>
        </w:tc>
        <w:tc>
          <w:tcPr>
            <w:tcW w:w="1260" w:type="dxa"/>
            <w:tcBorders>
              <w:top w:val="nil"/>
              <w:left w:val="nil"/>
              <w:right w:val="nil"/>
            </w:tcBorders>
            <w:shd w:val="clear" w:color="auto" w:fill="auto"/>
            <w:noWrap/>
            <w:vAlign w:val="bottom"/>
          </w:tcPr>
          <w:p w14:paraId="1FFCDFD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right w:val="nil"/>
            </w:tcBorders>
            <w:shd w:val="clear" w:color="auto" w:fill="auto"/>
            <w:noWrap/>
            <w:vAlign w:val="bottom"/>
          </w:tcPr>
          <w:p w14:paraId="4323516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-.156***</w:t>
            </w:r>
          </w:p>
        </w:tc>
        <w:tc>
          <w:tcPr>
            <w:tcW w:w="1260" w:type="dxa"/>
            <w:tcBorders>
              <w:top w:val="nil"/>
              <w:left w:val="nil"/>
              <w:right w:val="nil"/>
            </w:tcBorders>
            <w:shd w:val="clear" w:color="auto" w:fill="auto"/>
            <w:noWrap/>
            <w:vAlign w:val="bottom"/>
          </w:tcPr>
          <w:p w14:paraId="3CF5EB2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right w:val="nil"/>
            </w:tcBorders>
            <w:shd w:val="clear" w:color="auto" w:fill="auto"/>
            <w:noWrap/>
            <w:vAlign w:val="bottom"/>
          </w:tcPr>
          <w:p w14:paraId="414A124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-.161***</w:t>
            </w:r>
          </w:p>
        </w:tc>
      </w:tr>
      <w:tr w:rsidR="00890FA4" w:rsidRPr="00351E73" w14:paraId="470FD9B7" w14:textId="77777777" w:rsidTr="00890FA4">
        <w:trPr>
          <w:trHeight w:val="255"/>
          <w:jc w:val="center"/>
        </w:trPr>
        <w:tc>
          <w:tcPr>
            <w:tcW w:w="1600" w:type="dxa"/>
            <w:tcBorders>
              <w:top w:val="nil"/>
              <w:left w:val="nil"/>
              <w:right w:val="nil"/>
            </w:tcBorders>
            <w:shd w:val="clear" w:color="auto" w:fill="auto"/>
            <w:noWrap/>
            <w:vAlign w:val="bottom"/>
          </w:tcPr>
          <w:p w14:paraId="28A30531"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right w:val="nil"/>
            </w:tcBorders>
            <w:shd w:val="clear" w:color="auto" w:fill="auto"/>
            <w:noWrap/>
            <w:vAlign w:val="bottom"/>
          </w:tcPr>
          <w:p w14:paraId="110AEF3D"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(.0145)</w:t>
            </w:r>
          </w:p>
        </w:tc>
        <w:tc>
          <w:tcPr>
            <w:tcW w:w="1260" w:type="dxa"/>
            <w:tcBorders>
              <w:top w:val="nil"/>
              <w:left w:val="nil"/>
              <w:right w:val="nil"/>
            </w:tcBorders>
            <w:shd w:val="clear" w:color="auto" w:fill="auto"/>
            <w:noWrap/>
            <w:vAlign w:val="bottom"/>
          </w:tcPr>
          <w:p w14:paraId="6B88A0B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(.0106)</w:t>
            </w:r>
          </w:p>
        </w:tc>
        <w:tc>
          <w:tcPr>
            <w:tcW w:w="1260" w:type="dxa"/>
            <w:tcBorders>
              <w:top w:val="nil"/>
              <w:left w:val="nil"/>
              <w:right w:val="nil"/>
            </w:tcBorders>
            <w:shd w:val="clear" w:color="auto" w:fill="auto"/>
            <w:noWrap/>
            <w:vAlign w:val="bottom"/>
          </w:tcPr>
          <w:p w14:paraId="738B91F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(.0117)</w:t>
            </w:r>
          </w:p>
        </w:tc>
        <w:tc>
          <w:tcPr>
            <w:tcW w:w="1260" w:type="dxa"/>
            <w:tcBorders>
              <w:top w:val="nil"/>
              <w:left w:val="nil"/>
              <w:right w:val="nil"/>
            </w:tcBorders>
            <w:shd w:val="clear" w:color="auto" w:fill="auto"/>
            <w:noWrap/>
            <w:vAlign w:val="bottom"/>
          </w:tcPr>
          <w:p w14:paraId="4C6B4470"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(.0119)</w:t>
            </w:r>
          </w:p>
        </w:tc>
        <w:tc>
          <w:tcPr>
            <w:tcW w:w="1260" w:type="dxa"/>
            <w:tcBorders>
              <w:top w:val="nil"/>
              <w:left w:val="nil"/>
              <w:right w:val="nil"/>
            </w:tcBorders>
            <w:shd w:val="clear" w:color="auto" w:fill="auto"/>
            <w:noWrap/>
            <w:vAlign w:val="bottom"/>
          </w:tcPr>
          <w:p w14:paraId="4A2D4DD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w:t>
            </w:r>
            <w:r>
              <w:rPr>
                <w:rFonts w:ascii="Calibri" w:eastAsia="Times New Roman" w:hAnsi="Calibri" w:cs="Calibri"/>
                <w:sz w:val="20"/>
                <w:szCs w:val="20"/>
              </w:rPr>
              <w:t>0</w:t>
            </w:r>
            <w:r w:rsidRPr="00C72371">
              <w:rPr>
                <w:rFonts w:ascii="Calibri" w:eastAsia="Times New Roman" w:hAnsi="Calibri" w:cs="Calibri"/>
                <w:sz w:val="20"/>
                <w:szCs w:val="20"/>
              </w:rPr>
              <w:t>)</w:t>
            </w:r>
          </w:p>
        </w:tc>
      </w:tr>
      <w:tr w:rsidR="00890FA4" w:rsidRPr="00351E73" w14:paraId="3966F6C8" w14:textId="77777777" w:rsidTr="00890FA4">
        <w:trPr>
          <w:trHeight w:val="255"/>
          <w:jc w:val="center"/>
        </w:trPr>
        <w:tc>
          <w:tcPr>
            <w:tcW w:w="1600" w:type="dxa"/>
            <w:tcBorders>
              <w:top w:val="nil"/>
              <w:left w:val="nil"/>
              <w:right w:val="nil"/>
            </w:tcBorders>
            <w:shd w:val="clear" w:color="auto" w:fill="auto"/>
            <w:noWrap/>
            <w:vAlign w:val="bottom"/>
          </w:tcPr>
          <w:p w14:paraId="46202C8E"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Value$3-$5</w:t>
            </w:r>
          </w:p>
        </w:tc>
        <w:tc>
          <w:tcPr>
            <w:tcW w:w="1280" w:type="dxa"/>
            <w:tcBorders>
              <w:top w:val="nil"/>
              <w:left w:val="nil"/>
              <w:right w:val="nil"/>
            </w:tcBorders>
            <w:shd w:val="clear" w:color="auto" w:fill="auto"/>
            <w:noWrap/>
            <w:vAlign w:val="bottom"/>
          </w:tcPr>
          <w:p w14:paraId="5B5A0CB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-.119***</w:t>
            </w:r>
          </w:p>
        </w:tc>
        <w:tc>
          <w:tcPr>
            <w:tcW w:w="1260" w:type="dxa"/>
            <w:tcBorders>
              <w:top w:val="nil"/>
              <w:left w:val="nil"/>
              <w:right w:val="nil"/>
            </w:tcBorders>
            <w:shd w:val="clear" w:color="auto" w:fill="auto"/>
            <w:noWrap/>
            <w:vAlign w:val="bottom"/>
          </w:tcPr>
          <w:p w14:paraId="28A6AD1C"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-.124***</w:t>
            </w:r>
          </w:p>
        </w:tc>
        <w:tc>
          <w:tcPr>
            <w:tcW w:w="1260" w:type="dxa"/>
            <w:tcBorders>
              <w:top w:val="nil"/>
              <w:left w:val="nil"/>
              <w:right w:val="nil"/>
            </w:tcBorders>
            <w:shd w:val="clear" w:color="auto" w:fill="auto"/>
            <w:noWrap/>
            <w:vAlign w:val="bottom"/>
          </w:tcPr>
          <w:p w14:paraId="1D4BE2D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-.136***</w:t>
            </w:r>
          </w:p>
        </w:tc>
        <w:tc>
          <w:tcPr>
            <w:tcW w:w="1260" w:type="dxa"/>
            <w:tcBorders>
              <w:top w:val="nil"/>
              <w:left w:val="nil"/>
              <w:right w:val="nil"/>
            </w:tcBorders>
            <w:shd w:val="clear" w:color="auto" w:fill="auto"/>
            <w:noWrap/>
            <w:vAlign w:val="bottom"/>
          </w:tcPr>
          <w:p w14:paraId="034A198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-.139***</w:t>
            </w:r>
          </w:p>
        </w:tc>
        <w:tc>
          <w:tcPr>
            <w:tcW w:w="1260" w:type="dxa"/>
            <w:tcBorders>
              <w:top w:val="nil"/>
              <w:left w:val="nil"/>
              <w:right w:val="nil"/>
            </w:tcBorders>
            <w:shd w:val="clear" w:color="auto" w:fill="auto"/>
            <w:noWrap/>
            <w:vAlign w:val="bottom"/>
          </w:tcPr>
          <w:p w14:paraId="4CC1946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-.138***</w:t>
            </w:r>
          </w:p>
        </w:tc>
      </w:tr>
      <w:tr w:rsidR="00890FA4" w:rsidRPr="00351E73" w14:paraId="364BBC83" w14:textId="77777777" w:rsidTr="00890FA4">
        <w:trPr>
          <w:trHeight w:val="255"/>
          <w:jc w:val="center"/>
        </w:trPr>
        <w:tc>
          <w:tcPr>
            <w:tcW w:w="1600" w:type="dxa"/>
            <w:tcBorders>
              <w:top w:val="nil"/>
              <w:left w:val="nil"/>
              <w:right w:val="nil"/>
            </w:tcBorders>
            <w:shd w:val="clear" w:color="auto" w:fill="auto"/>
            <w:noWrap/>
            <w:vAlign w:val="bottom"/>
          </w:tcPr>
          <w:p w14:paraId="3E162C73"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right w:val="nil"/>
            </w:tcBorders>
            <w:shd w:val="clear" w:color="auto" w:fill="auto"/>
            <w:noWrap/>
            <w:vAlign w:val="bottom"/>
          </w:tcPr>
          <w:p w14:paraId="73B410C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(.0152)</w:t>
            </w:r>
          </w:p>
        </w:tc>
        <w:tc>
          <w:tcPr>
            <w:tcW w:w="1260" w:type="dxa"/>
            <w:tcBorders>
              <w:top w:val="nil"/>
              <w:left w:val="nil"/>
              <w:right w:val="nil"/>
            </w:tcBorders>
            <w:shd w:val="clear" w:color="auto" w:fill="auto"/>
            <w:noWrap/>
            <w:vAlign w:val="bottom"/>
          </w:tcPr>
          <w:p w14:paraId="5DF50D7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(.0111)</w:t>
            </w:r>
          </w:p>
        </w:tc>
        <w:tc>
          <w:tcPr>
            <w:tcW w:w="1260" w:type="dxa"/>
            <w:tcBorders>
              <w:top w:val="nil"/>
              <w:left w:val="nil"/>
              <w:right w:val="nil"/>
            </w:tcBorders>
            <w:shd w:val="clear" w:color="auto" w:fill="auto"/>
            <w:noWrap/>
            <w:vAlign w:val="bottom"/>
          </w:tcPr>
          <w:p w14:paraId="1D137B3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(.0124)</w:t>
            </w:r>
          </w:p>
        </w:tc>
        <w:tc>
          <w:tcPr>
            <w:tcW w:w="1260" w:type="dxa"/>
            <w:tcBorders>
              <w:top w:val="nil"/>
              <w:left w:val="nil"/>
              <w:right w:val="nil"/>
            </w:tcBorders>
            <w:shd w:val="clear" w:color="auto" w:fill="auto"/>
            <w:noWrap/>
            <w:vAlign w:val="bottom"/>
          </w:tcPr>
          <w:p w14:paraId="0F6A7154"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(.0127)</w:t>
            </w:r>
          </w:p>
        </w:tc>
        <w:tc>
          <w:tcPr>
            <w:tcW w:w="1260" w:type="dxa"/>
            <w:tcBorders>
              <w:top w:val="nil"/>
              <w:left w:val="nil"/>
              <w:right w:val="nil"/>
            </w:tcBorders>
            <w:shd w:val="clear" w:color="auto" w:fill="auto"/>
            <w:noWrap/>
            <w:vAlign w:val="bottom"/>
          </w:tcPr>
          <w:p w14:paraId="018A6B8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(.0127)</w:t>
            </w:r>
          </w:p>
        </w:tc>
      </w:tr>
      <w:tr w:rsidR="00890FA4" w:rsidRPr="00351E73" w14:paraId="784BBB74" w14:textId="77777777" w:rsidTr="00890FA4">
        <w:trPr>
          <w:trHeight w:val="255"/>
          <w:jc w:val="center"/>
        </w:trPr>
        <w:tc>
          <w:tcPr>
            <w:tcW w:w="1600" w:type="dxa"/>
            <w:tcBorders>
              <w:top w:val="nil"/>
              <w:left w:val="nil"/>
              <w:right w:val="nil"/>
            </w:tcBorders>
            <w:shd w:val="clear" w:color="auto" w:fill="auto"/>
            <w:noWrap/>
            <w:vAlign w:val="bottom"/>
          </w:tcPr>
          <w:p w14:paraId="128BB659" w14:textId="77777777" w:rsidR="00890FA4" w:rsidRPr="004961A2" w:rsidRDefault="00890FA4" w:rsidP="00931F65">
            <w:pPr>
              <w:spacing w:after="0" w:line="240" w:lineRule="auto"/>
              <w:rPr>
                <w:rFonts w:ascii="Calibri" w:eastAsia="Times New Roman" w:hAnsi="Calibri" w:cs="Calibri"/>
                <w:i/>
                <w:sz w:val="20"/>
                <w:szCs w:val="20"/>
              </w:rPr>
            </w:pPr>
            <w:r w:rsidRPr="004961A2">
              <w:rPr>
                <w:rFonts w:ascii="Calibri" w:eastAsia="Times New Roman" w:hAnsi="Calibri" w:cs="Calibri"/>
                <w:i/>
                <w:sz w:val="20"/>
                <w:szCs w:val="20"/>
              </w:rPr>
              <w:t>Value$5plus</w:t>
            </w:r>
          </w:p>
        </w:tc>
        <w:tc>
          <w:tcPr>
            <w:tcW w:w="1280" w:type="dxa"/>
            <w:tcBorders>
              <w:top w:val="nil"/>
              <w:left w:val="nil"/>
              <w:right w:val="nil"/>
            </w:tcBorders>
            <w:shd w:val="clear" w:color="auto" w:fill="auto"/>
            <w:noWrap/>
            <w:vAlign w:val="bottom"/>
          </w:tcPr>
          <w:p w14:paraId="14DF419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right w:val="nil"/>
            </w:tcBorders>
            <w:shd w:val="clear" w:color="auto" w:fill="auto"/>
            <w:noWrap/>
            <w:vAlign w:val="bottom"/>
          </w:tcPr>
          <w:p w14:paraId="53E3D56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w:t>
            </w:r>
            <w:r>
              <w:rPr>
                <w:rFonts w:ascii="Calibri" w:eastAsia="Times New Roman" w:hAnsi="Calibri" w:cs="Calibri"/>
                <w:sz w:val="20"/>
                <w:szCs w:val="20"/>
              </w:rPr>
              <w:t>0</w:t>
            </w:r>
            <w:r w:rsidRPr="00C72371">
              <w:rPr>
                <w:rFonts w:ascii="Calibri" w:eastAsia="Times New Roman" w:hAnsi="Calibri" w:cs="Calibri"/>
                <w:sz w:val="20"/>
                <w:szCs w:val="20"/>
              </w:rPr>
              <w:t>***</w:t>
            </w:r>
          </w:p>
        </w:tc>
        <w:tc>
          <w:tcPr>
            <w:tcW w:w="1260" w:type="dxa"/>
            <w:tcBorders>
              <w:top w:val="nil"/>
              <w:left w:val="nil"/>
              <w:right w:val="nil"/>
            </w:tcBorders>
            <w:shd w:val="clear" w:color="auto" w:fill="auto"/>
            <w:noWrap/>
            <w:vAlign w:val="bottom"/>
          </w:tcPr>
          <w:p w14:paraId="667DEBCA"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-.265***</w:t>
            </w:r>
          </w:p>
        </w:tc>
        <w:tc>
          <w:tcPr>
            <w:tcW w:w="1260" w:type="dxa"/>
            <w:tcBorders>
              <w:top w:val="nil"/>
              <w:left w:val="nil"/>
              <w:right w:val="nil"/>
            </w:tcBorders>
            <w:shd w:val="clear" w:color="auto" w:fill="auto"/>
            <w:noWrap/>
            <w:vAlign w:val="bottom"/>
          </w:tcPr>
          <w:p w14:paraId="07CB8066"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-.268***</w:t>
            </w:r>
          </w:p>
        </w:tc>
        <w:tc>
          <w:tcPr>
            <w:tcW w:w="1260" w:type="dxa"/>
            <w:tcBorders>
              <w:top w:val="nil"/>
              <w:left w:val="nil"/>
              <w:right w:val="nil"/>
            </w:tcBorders>
            <w:shd w:val="clear" w:color="auto" w:fill="auto"/>
            <w:noWrap/>
            <w:vAlign w:val="bottom"/>
          </w:tcPr>
          <w:p w14:paraId="25097EA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-.266***</w:t>
            </w:r>
          </w:p>
        </w:tc>
      </w:tr>
      <w:tr w:rsidR="00890FA4" w:rsidRPr="00351E73" w14:paraId="5E32A517" w14:textId="77777777" w:rsidTr="00890FA4">
        <w:trPr>
          <w:trHeight w:val="255"/>
          <w:jc w:val="center"/>
        </w:trPr>
        <w:tc>
          <w:tcPr>
            <w:tcW w:w="1600" w:type="dxa"/>
            <w:tcBorders>
              <w:top w:val="nil"/>
              <w:left w:val="nil"/>
              <w:right w:val="nil"/>
            </w:tcBorders>
            <w:shd w:val="clear" w:color="auto" w:fill="auto"/>
            <w:noWrap/>
            <w:vAlign w:val="bottom"/>
          </w:tcPr>
          <w:p w14:paraId="0C635099"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 </w:t>
            </w:r>
          </w:p>
        </w:tc>
        <w:tc>
          <w:tcPr>
            <w:tcW w:w="1280" w:type="dxa"/>
            <w:tcBorders>
              <w:top w:val="nil"/>
              <w:left w:val="nil"/>
              <w:right w:val="nil"/>
            </w:tcBorders>
            <w:shd w:val="clear" w:color="auto" w:fill="auto"/>
            <w:noWrap/>
            <w:vAlign w:val="bottom"/>
          </w:tcPr>
          <w:p w14:paraId="5917B00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(.0145)</w:t>
            </w:r>
          </w:p>
        </w:tc>
        <w:tc>
          <w:tcPr>
            <w:tcW w:w="1260" w:type="dxa"/>
            <w:tcBorders>
              <w:top w:val="nil"/>
              <w:left w:val="nil"/>
              <w:right w:val="nil"/>
            </w:tcBorders>
            <w:shd w:val="clear" w:color="auto" w:fill="auto"/>
            <w:noWrap/>
            <w:vAlign w:val="bottom"/>
          </w:tcPr>
          <w:p w14:paraId="7CC81FEE"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(.0106)</w:t>
            </w:r>
          </w:p>
        </w:tc>
        <w:tc>
          <w:tcPr>
            <w:tcW w:w="1260" w:type="dxa"/>
            <w:tcBorders>
              <w:top w:val="nil"/>
              <w:left w:val="nil"/>
              <w:right w:val="nil"/>
            </w:tcBorders>
            <w:shd w:val="clear" w:color="auto" w:fill="auto"/>
            <w:noWrap/>
            <w:vAlign w:val="bottom"/>
          </w:tcPr>
          <w:p w14:paraId="247DDA2F"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(.0119)</w:t>
            </w:r>
          </w:p>
        </w:tc>
        <w:tc>
          <w:tcPr>
            <w:tcW w:w="1260" w:type="dxa"/>
            <w:tcBorders>
              <w:top w:val="nil"/>
              <w:left w:val="nil"/>
              <w:right w:val="nil"/>
            </w:tcBorders>
            <w:shd w:val="clear" w:color="auto" w:fill="auto"/>
            <w:noWrap/>
            <w:vAlign w:val="bottom"/>
          </w:tcPr>
          <w:p w14:paraId="0B280622"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(.0122)</w:t>
            </w:r>
          </w:p>
        </w:tc>
        <w:tc>
          <w:tcPr>
            <w:tcW w:w="1260" w:type="dxa"/>
            <w:tcBorders>
              <w:top w:val="nil"/>
              <w:left w:val="nil"/>
              <w:right w:val="nil"/>
            </w:tcBorders>
            <w:shd w:val="clear" w:color="auto" w:fill="auto"/>
            <w:noWrap/>
            <w:vAlign w:val="bottom"/>
          </w:tcPr>
          <w:p w14:paraId="197FFDA7"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(.0121)</w:t>
            </w:r>
          </w:p>
        </w:tc>
      </w:tr>
      <w:tr w:rsidR="00890FA4" w:rsidRPr="00351E73" w14:paraId="5387A172" w14:textId="77777777" w:rsidTr="00890FA4">
        <w:trPr>
          <w:trHeight w:val="255"/>
          <w:jc w:val="center"/>
        </w:trPr>
        <w:tc>
          <w:tcPr>
            <w:tcW w:w="1600" w:type="dxa"/>
            <w:tcBorders>
              <w:top w:val="nil"/>
              <w:left w:val="nil"/>
              <w:right w:val="nil"/>
            </w:tcBorders>
            <w:shd w:val="clear" w:color="auto" w:fill="auto"/>
            <w:noWrap/>
            <w:vAlign w:val="bottom"/>
          </w:tcPr>
          <w:p w14:paraId="57F450C0" w14:textId="77777777" w:rsidR="00890FA4" w:rsidRPr="00351E73" w:rsidRDefault="00890FA4" w:rsidP="00931F65">
            <w:pPr>
              <w:spacing w:after="0" w:line="240" w:lineRule="auto"/>
              <w:rPr>
                <w:rFonts w:ascii="Calibri" w:eastAsia="Times New Roman" w:hAnsi="Calibri" w:cs="Calibri"/>
                <w:sz w:val="20"/>
                <w:szCs w:val="20"/>
              </w:rPr>
            </w:pPr>
          </w:p>
        </w:tc>
        <w:tc>
          <w:tcPr>
            <w:tcW w:w="1280" w:type="dxa"/>
            <w:tcBorders>
              <w:top w:val="nil"/>
              <w:left w:val="nil"/>
              <w:right w:val="nil"/>
            </w:tcBorders>
            <w:shd w:val="clear" w:color="auto" w:fill="auto"/>
            <w:noWrap/>
            <w:vAlign w:val="bottom"/>
          </w:tcPr>
          <w:p w14:paraId="52CAB715"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right w:val="nil"/>
            </w:tcBorders>
            <w:shd w:val="clear" w:color="auto" w:fill="auto"/>
            <w:noWrap/>
            <w:vAlign w:val="bottom"/>
          </w:tcPr>
          <w:p w14:paraId="45DE7898"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right w:val="nil"/>
            </w:tcBorders>
            <w:shd w:val="clear" w:color="auto" w:fill="auto"/>
            <w:noWrap/>
            <w:vAlign w:val="bottom"/>
          </w:tcPr>
          <w:p w14:paraId="02C5428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right w:val="nil"/>
            </w:tcBorders>
            <w:shd w:val="clear" w:color="auto" w:fill="auto"/>
            <w:noWrap/>
            <w:vAlign w:val="bottom"/>
          </w:tcPr>
          <w:p w14:paraId="6494F5D3"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c>
          <w:tcPr>
            <w:tcW w:w="1260" w:type="dxa"/>
            <w:tcBorders>
              <w:top w:val="nil"/>
              <w:left w:val="nil"/>
              <w:right w:val="nil"/>
            </w:tcBorders>
            <w:shd w:val="clear" w:color="auto" w:fill="auto"/>
            <w:noWrap/>
            <w:vAlign w:val="bottom"/>
          </w:tcPr>
          <w:p w14:paraId="41A78AE1" w14:textId="77777777" w:rsidR="00890FA4" w:rsidRPr="00C72371" w:rsidRDefault="00890FA4" w:rsidP="00931F65">
            <w:pPr>
              <w:spacing w:after="0" w:line="240" w:lineRule="auto"/>
              <w:jc w:val="center"/>
              <w:rPr>
                <w:rFonts w:ascii="Calibri" w:eastAsia="Times New Roman" w:hAnsi="Calibri" w:cs="Calibri"/>
                <w:sz w:val="20"/>
                <w:szCs w:val="20"/>
              </w:rPr>
            </w:pPr>
            <w:r w:rsidRPr="00C72371">
              <w:rPr>
                <w:rFonts w:ascii="Calibri" w:eastAsia="Times New Roman" w:hAnsi="Calibri" w:cs="Calibri"/>
                <w:sz w:val="20"/>
                <w:szCs w:val="20"/>
              </w:rPr>
              <w:t> </w:t>
            </w:r>
          </w:p>
        </w:tc>
      </w:tr>
      <w:tr w:rsidR="00890FA4" w:rsidRPr="00351E73" w14:paraId="1DAB1D28" w14:textId="77777777" w:rsidTr="00890FA4">
        <w:trPr>
          <w:trHeight w:val="255"/>
          <w:jc w:val="center"/>
        </w:trPr>
        <w:tc>
          <w:tcPr>
            <w:tcW w:w="1600" w:type="dxa"/>
            <w:tcBorders>
              <w:top w:val="nil"/>
              <w:left w:val="nil"/>
              <w:right w:val="nil"/>
            </w:tcBorders>
            <w:shd w:val="clear" w:color="auto" w:fill="auto"/>
            <w:noWrap/>
            <w:vAlign w:val="bottom"/>
          </w:tcPr>
          <w:p w14:paraId="154965BD"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Observations</w:t>
            </w:r>
          </w:p>
        </w:tc>
        <w:tc>
          <w:tcPr>
            <w:tcW w:w="1280" w:type="dxa"/>
            <w:tcBorders>
              <w:top w:val="nil"/>
              <w:left w:val="nil"/>
              <w:right w:val="nil"/>
            </w:tcBorders>
            <w:shd w:val="clear" w:color="auto" w:fill="auto"/>
            <w:noWrap/>
            <w:vAlign w:val="center"/>
          </w:tcPr>
          <w:p w14:paraId="3BD0B689"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59,164 </w:t>
            </w:r>
          </w:p>
        </w:tc>
        <w:tc>
          <w:tcPr>
            <w:tcW w:w="1260" w:type="dxa"/>
            <w:tcBorders>
              <w:top w:val="nil"/>
              <w:left w:val="nil"/>
              <w:right w:val="nil"/>
            </w:tcBorders>
            <w:shd w:val="clear" w:color="auto" w:fill="auto"/>
            <w:noWrap/>
            <w:vAlign w:val="center"/>
          </w:tcPr>
          <w:p w14:paraId="50F78C6C"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53,120 </w:t>
            </w:r>
          </w:p>
        </w:tc>
        <w:tc>
          <w:tcPr>
            <w:tcW w:w="1260" w:type="dxa"/>
            <w:tcBorders>
              <w:top w:val="nil"/>
              <w:left w:val="nil"/>
              <w:right w:val="nil"/>
            </w:tcBorders>
            <w:shd w:val="clear" w:color="auto" w:fill="auto"/>
            <w:noWrap/>
            <w:vAlign w:val="center"/>
          </w:tcPr>
          <w:p w14:paraId="43D2DF3B"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45,968 </w:t>
            </w:r>
          </w:p>
        </w:tc>
        <w:tc>
          <w:tcPr>
            <w:tcW w:w="1260" w:type="dxa"/>
            <w:tcBorders>
              <w:top w:val="nil"/>
              <w:left w:val="nil"/>
              <w:right w:val="nil"/>
            </w:tcBorders>
            <w:shd w:val="clear" w:color="auto" w:fill="auto"/>
            <w:noWrap/>
            <w:vAlign w:val="center"/>
          </w:tcPr>
          <w:p w14:paraId="0BCAA5AA"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44,178 </w:t>
            </w:r>
          </w:p>
        </w:tc>
        <w:tc>
          <w:tcPr>
            <w:tcW w:w="1260" w:type="dxa"/>
            <w:tcBorders>
              <w:top w:val="nil"/>
              <w:left w:val="nil"/>
              <w:right w:val="nil"/>
            </w:tcBorders>
            <w:shd w:val="clear" w:color="auto" w:fill="auto"/>
            <w:noWrap/>
            <w:vAlign w:val="center"/>
          </w:tcPr>
          <w:p w14:paraId="78422C51"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 xml:space="preserve">         41,704 </w:t>
            </w:r>
          </w:p>
        </w:tc>
      </w:tr>
      <w:tr w:rsidR="00890FA4" w:rsidRPr="00351E73" w14:paraId="7DACFAA9" w14:textId="77777777" w:rsidTr="00890FA4">
        <w:trPr>
          <w:trHeight w:val="255"/>
          <w:jc w:val="center"/>
        </w:trPr>
        <w:tc>
          <w:tcPr>
            <w:tcW w:w="1600" w:type="dxa"/>
            <w:tcBorders>
              <w:top w:val="nil"/>
              <w:left w:val="nil"/>
              <w:bottom w:val="single" w:sz="4" w:space="0" w:color="auto"/>
              <w:right w:val="nil"/>
            </w:tcBorders>
            <w:shd w:val="clear" w:color="auto" w:fill="auto"/>
            <w:noWrap/>
            <w:vAlign w:val="bottom"/>
          </w:tcPr>
          <w:p w14:paraId="488A5994" w14:textId="77777777" w:rsidR="00890FA4" w:rsidRPr="00351E73" w:rsidRDefault="00890FA4" w:rsidP="00931F65">
            <w:pPr>
              <w:spacing w:after="0" w:line="240" w:lineRule="auto"/>
              <w:rPr>
                <w:rFonts w:ascii="Calibri" w:eastAsia="Times New Roman" w:hAnsi="Calibri" w:cs="Calibri"/>
                <w:sz w:val="20"/>
                <w:szCs w:val="20"/>
              </w:rPr>
            </w:pPr>
            <w:r w:rsidRPr="00351E73">
              <w:rPr>
                <w:rFonts w:ascii="Calibri" w:eastAsia="Times New Roman" w:hAnsi="Calibri" w:cs="Calibri"/>
                <w:sz w:val="20"/>
                <w:szCs w:val="20"/>
              </w:rPr>
              <w:t>R</w:t>
            </w:r>
            <w:r w:rsidRPr="00351E73">
              <w:rPr>
                <w:rFonts w:ascii="Calibri" w:eastAsia="Times New Roman" w:hAnsi="Calibri" w:cs="Calibri"/>
                <w:sz w:val="20"/>
                <w:szCs w:val="20"/>
                <w:vertAlign w:val="superscript"/>
              </w:rPr>
              <w:t>2</w:t>
            </w:r>
          </w:p>
        </w:tc>
        <w:tc>
          <w:tcPr>
            <w:tcW w:w="1280" w:type="dxa"/>
            <w:tcBorders>
              <w:top w:val="nil"/>
              <w:left w:val="nil"/>
              <w:bottom w:val="single" w:sz="4" w:space="0" w:color="auto"/>
              <w:right w:val="nil"/>
            </w:tcBorders>
            <w:shd w:val="clear" w:color="auto" w:fill="auto"/>
            <w:noWrap/>
            <w:vAlign w:val="center"/>
          </w:tcPr>
          <w:p w14:paraId="7E9B58A1"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0.097</w:t>
            </w:r>
          </w:p>
        </w:tc>
        <w:tc>
          <w:tcPr>
            <w:tcW w:w="1260" w:type="dxa"/>
            <w:tcBorders>
              <w:top w:val="nil"/>
              <w:left w:val="nil"/>
              <w:bottom w:val="single" w:sz="4" w:space="0" w:color="auto"/>
              <w:right w:val="nil"/>
            </w:tcBorders>
            <w:shd w:val="clear" w:color="auto" w:fill="auto"/>
            <w:noWrap/>
            <w:vAlign w:val="bottom"/>
          </w:tcPr>
          <w:p w14:paraId="28A41ED6"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0.182</w:t>
            </w:r>
          </w:p>
        </w:tc>
        <w:tc>
          <w:tcPr>
            <w:tcW w:w="1260" w:type="dxa"/>
            <w:tcBorders>
              <w:top w:val="nil"/>
              <w:left w:val="nil"/>
              <w:bottom w:val="single" w:sz="4" w:space="0" w:color="auto"/>
              <w:right w:val="nil"/>
            </w:tcBorders>
            <w:shd w:val="clear" w:color="auto" w:fill="auto"/>
            <w:noWrap/>
            <w:vAlign w:val="bottom"/>
          </w:tcPr>
          <w:p w14:paraId="3B3FC572"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0.157</w:t>
            </w:r>
          </w:p>
        </w:tc>
        <w:tc>
          <w:tcPr>
            <w:tcW w:w="1260" w:type="dxa"/>
            <w:tcBorders>
              <w:top w:val="nil"/>
              <w:left w:val="nil"/>
              <w:bottom w:val="single" w:sz="4" w:space="0" w:color="auto"/>
              <w:right w:val="nil"/>
            </w:tcBorders>
            <w:shd w:val="clear" w:color="auto" w:fill="auto"/>
            <w:noWrap/>
            <w:vAlign w:val="bottom"/>
          </w:tcPr>
          <w:p w14:paraId="188667C1"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0.151</w:t>
            </w:r>
          </w:p>
        </w:tc>
        <w:tc>
          <w:tcPr>
            <w:tcW w:w="1260" w:type="dxa"/>
            <w:tcBorders>
              <w:top w:val="nil"/>
              <w:left w:val="nil"/>
              <w:bottom w:val="single" w:sz="4" w:space="0" w:color="auto"/>
              <w:right w:val="nil"/>
            </w:tcBorders>
            <w:shd w:val="clear" w:color="auto" w:fill="auto"/>
            <w:noWrap/>
            <w:vAlign w:val="bottom"/>
          </w:tcPr>
          <w:p w14:paraId="77471992" w14:textId="77777777" w:rsidR="00890FA4" w:rsidRPr="00C72371" w:rsidRDefault="00890FA4" w:rsidP="00931F65">
            <w:pPr>
              <w:spacing w:after="0" w:line="240" w:lineRule="auto"/>
              <w:jc w:val="right"/>
              <w:rPr>
                <w:rFonts w:ascii="Calibri" w:eastAsia="Times New Roman" w:hAnsi="Calibri" w:cs="Calibri"/>
                <w:sz w:val="20"/>
                <w:szCs w:val="20"/>
              </w:rPr>
            </w:pPr>
            <w:r w:rsidRPr="00C72371">
              <w:rPr>
                <w:rFonts w:ascii="Calibri" w:eastAsia="Times New Roman" w:hAnsi="Calibri" w:cs="Calibri"/>
                <w:sz w:val="20"/>
                <w:szCs w:val="20"/>
              </w:rPr>
              <w:t>0.157</w:t>
            </w:r>
          </w:p>
        </w:tc>
      </w:tr>
    </w:tbl>
    <w:p w14:paraId="701912B6" w14:textId="77777777" w:rsidR="00890FA4" w:rsidRDefault="00890FA4" w:rsidP="00890FA4">
      <w:pPr>
        <w:contextualSpacing/>
      </w:pPr>
    </w:p>
    <w:p w14:paraId="0CEFD0EC" w14:textId="77777777" w:rsidR="00890FA4" w:rsidRDefault="00890FA4" w:rsidP="00890FA4">
      <w:pPr>
        <w:contextualSpacing/>
      </w:pPr>
    </w:p>
    <w:p w14:paraId="672EAA80" w14:textId="77777777" w:rsidR="00890FA4" w:rsidRDefault="00890FA4" w:rsidP="00890FA4">
      <w:pPr>
        <w:contextualSpacing/>
      </w:pPr>
    </w:p>
    <w:p w14:paraId="6801B1D9" w14:textId="3C723F21" w:rsidR="00890FA4" w:rsidRDefault="00890FA4">
      <w:pPr>
        <w:rPr>
          <w:b/>
        </w:rPr>
      </w:pPr>
      <w:r>
        <w:rPr>
          <w:b/>
        </w:rPr>
        <w:br w:type="page"/>
      </w:r>
    </w:p>
    <w:p w14:paraId="5CBDC00A" w14:textId="28F7FBF6" w:rsidR="00FD4CDF" w:rsidRDefault="00FD4CDF" w:rsidP="00A02DF8">
      <w:pPr>
        <w:spacing w:after="0"/>
        <w:contextualSpacing/>
      </w:pPr>
      <w:r>
        <w:rPr>
          <w:b/>
        </w:rPr>
        <w:lastRenderedPageBreak/>
        <w:t>Table A</w:t>
      </w:r>
      <w:r w:rsidR="00890FA4">
        <w:rPr>
          <w:b/>
        </w:rPr>
        <w:t>5</w:t>
      </w:r>
    </w:p>
    <w:p w14:paraId="767D35CB" w14:textId="61A02BD3" w:rsidR="00FD4CDF" w:rsidRDefault="00FD4CDF" w:rsidP="00A02DF8">
      <w:pPr>
        <w:spacing w:after="0"/>
        <w:contextualSpacing/>
      </w:pPr>
      <w:r>
        <w:t xml:space="preserve">Multinomial logit regressions based on monthly observations of first-lien, conventional, amortizing (non-balloon, non-interest only), fixed-rate mortgages for purchases of single-family residences or condominiums in Maryland and Virginia originated by nonbank originators between 2000 and 2015.  The sample is restricted to only prime mortgages (defined as those originated to borrowers with a FICO score greater than 660).  </w:t>
      </w:r>
      <w:r w:rsidR="00847A0D">
        <w:t>T</w:t>
      </w:r>
      <w:r>
        <w:t xml:space="preserve">he sample is restricted to only mortgages originated by lenders that originated at least one mortgage before the policy change and at least one mortgage after the policy change (as in Table </w:t>
      </w:r>
      <w:r w:rsidR="005C7B9C">
        <w:t>5</w:t>
      </w:r>
      <w:r>
        <w:t xml:space="preserve">).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003520CC" w:rsidRPr="00EB01F8">
        <w:rPr>
          <w:i/>
        </w:rPr>
        <w:t>FICO</w:t>
      </w:r>
      <w:r w:rsidR="003520CC">
        <w:t xml:space="preserve"> is the borrower’s FICO score at origination.  </w:t>
      </w:r>
      <w:r w:rsidR="003520CC" w:rsidRPr="00EB01F8">
        <w:rPr>
          <w:i/>
        </w:rPr>
        <w:t>CLTV</w:t>
      </w:r>
      <w:r w:rsidR="003520CC">
        <w:t xml:space="preserve"> is the current loan balance divided by the current home value, where current home value is estimated as (1 + house price appreciation since origination) multiplied by the loan amount at origination divided by LTV at origination.  House price appreciation for </w:t>
      </w:r>
      <w:r w:rsidR="003520CC">
        <w:rPr>
          <w:i/>
        </w:rPr>
        <w:t>CLTV</w:t>
      </w:r>
      <w:r w:rsidR="003520CC">
        <w:t xml:space="preserve"> is measured by the CoreLogic Solutions county-level monthly house price index.  </w:t>
      </w:r>
      <w:r w:rsidR="003520CC" w:rsidRPr="000E12EE">
        <w:rPr>
          <w:i/>
        </w:rPr>
        <w:t>LoanAge</w:t>
      </w:r>
      <w:r w:rsidR="003520CC">
        <w:t xml:space="preserve"> is the number of months since origination.  </w:t>
      </w:r>
      <w:r w:rsidR="003520CC" w:rsidRPr="005B6422">
        <w:rPr>
          <w:i/>
        </w:rPr>
        <w:t>RefiPenalty</w:t>
      </w:r>
      <w:r w:rsidR="003520CC">
        <w:t xml:space="preserve"> is the change in the PMMS rate since origination.  </w:t>
      </w:r>
      <w:r w:rsidR="003520CC" w:rsidRPr="006879D3">
        <w:rPr>
          <w:i/>
        </w:rPr>
        <w:t>InterestGap</w:t>
      </w:r>
      <w:r w:rsidR="003520CC">
        <w:t xml:space="preserve"> is the difference between the mortgage interest rate at origination and the PMMS rate for the origination month.  </w:t>
      </w:r>
      <w:r w:rsidR="003520CC" w:rsidRPr="006879D3">
        <w:rPr>
          <w:i/>
        </w:rPr>
        <w:t>RelLoanSize</w:t>
      </w:r>
      <w:r w:rsidR="003520CC">
        <w:t xml:space="preserve"> is the loan amount at origination divided by the average loan amount for originations in the same vintage year and county.  </w:t>
      </w:r>
      <w:r w:rsidR="003520CC" w:rsidRPr="00EB01F8">
        <w:rPr>
          <w:i/>
        </w:rPr>
        <w:t>Unemployment</w:t>
      </w:r>
      <w:r w:rsidR="003520CC">
        <w:t xml:space="preserve"> is the monthly percentage change in the state-level unemployment rate.  </w:t>
      </w:r>
      <w:r w:rsidR="003520CC" w:rsidRPr="00EB01F8">
        <w:rPr>
          <w:i/>
        </w:rPr>
        <w:t>HPI</w:t>
      </w:r>
      <w:r w:rsidR="003520CC">
        <w:t xml:space="preserve"> is the percent change in quarterly FHFA state-level house price index since origination.  </w:t>
      </w:r>
      <w:r w:rsidR="003520CC" w:rsidRPr="001A09E2">
        <w:rPr>
          <w:i/>
        </w:rPr>
        <w:t>Condo</w:t>
      </w:r>
      <w:r w:rsidR="003520CC">
        <w:t xml:space="preserve"> is an indicator variable equaling one if the property is a condominium or townhouse and equaling zero if the property is a single family residence.  Each coefficient estimate represents the effect on the probability of default or prepayment, relative to the probability of the mortgage remaining current, of a one-unit change in the corresponding variable.  Vintage year indicators and a constant term are included in each specification.  Standard errors, clustered by loan, appear in parentheses</w:t>
      </w:r>
      <w:r w:rsidR="003520CC" w:rsidRPr="00957138">
        <w:t xml:space="preserve">.  </w:t>
      </w:r>
      <w:r>
        <w:t>Levels of significance are indicated by *, **, and *** for 10%, 5%, and 1%, respectively.</w:t>
      </w:r>
    </w:p>
    <w:p w14:paraId="3C8597BF" w14:textId="77777777" w:rsidR="00FD4CDF" w:rsidRDefault="00FD4CDF" w:rsidP="00A02DF8">
      <w:pPr>
        <w:spacing w:after="0"/>
        <w:contextualSpacing/>
      </w:pPr>
    </w:p>
    <w:tbl>
      <w:tblPr>
        <w:tblW w:w="0" w:type="auto"/>
        <w:tblLook w:val="04A0" w:firstRow="1" w:lastRow="0" w:firstColumn="1" w:lastColumn="0" w:noHBand="0" w:noVBand="1"/>
      </w:tblPr>
      <w:tblGrid>
        <w:gridCol w:w="1587"/>
        <w:gridCol w:w="262"/>
        <w:gridCol w:w="1235"/>
        <w:gridCol w:w="1235"/>
        <w:gridCol w:w="1235"/>
        <w:gridCol w:w="262"/>
        <w:gridCol w:w="1235"/>
        <w:gridCol w:w="1235"/>
        <w:gridCol w:w="1235"/>
      </w:tblGrid>
      <w:tr w:rsidR="006454E1" w:rsidRPr="006E6122" w14:paraId="1493FA90" w14:textId="77777777" w:rsidTr="00A02DF8">
        <w:trPr>
          <w:trHeight w:val="255"/>
        </w:trPr>
        <w:tc>
          <w:tcPr>
            <w:tcW w:w="0" w:type="auto"/>
            <w:tcBorders>
              <w:top w:val="single" w:sz="4" w:space="0" w:color="auto"/>
              <w:left w:val="nil"/>
              <w:bottom w:val="nil"/>
              <w:right w:val="nil"/>
            </w:tcBorders>
            <w:shd w:val="clear" w:color="auto" w:fill="auto"/>
            <w:noWrap/>
            <w:vAlign w:val="bottom"/>
            <w:hideMark/>
          </w:tcPr>
          <w:p w14:paraId="6C1B3C8C"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single" w:sz="4" w:space="0" w:color="auto"/>
              <w:left w:val="nil"/>
              <w:bottom w:val="nil"/>
              <w:right w:val="nil"/>
            </w:tcBorders>
            <w:shd w:val="clear" w:color="auto" w:fill="auto"/>
            <w:noWrap/>
            <w:vAlign w:val="bottom"/>
            <w:hideMark/>
          </w:tcPr>
          <w:p w14:paraId="6BEEAF9B"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gridSpan w:val="3"/>
            <w:tcBorders>
              <w:top w:val="single" w:sz="4" w:space="0" w:color="auto"/>
              <w:left w:val="nil"/>
              <w:right w:val="nil"/>
            </w:tcBorders>
            <w:shd w:val="clear" w:color="auto" w:fill="auto"/>
            <w:noWrap/>
            <w:vAlign w:val="bottom"/>
            <w:hideMark/>
          </w:tcPr>
          <w:p w14:paraId="3ED3CB1D" w14:textId="77777777" w:rsidR="006454E1" w:rsidRPr="006E6122" w:rsidRDefault="006454E1" w:rsidP="00A02DF8">
            <w:pPr>
              <w:spacing w:after="0" w:line="240" w:lineRule="auto"/>
              <w:contextualSpacing/>
              <w:jc w:val="center"/>
              <w:rPr>
                <w:rFonts w:ascii="Calibri" w:eastAsia="Times New Roman" w:hAnsi="Calibri" w:cs="Calibri"/>
              </w:rPr>
            </w:pPr>
            <w:r w:rsidRPr="006E6122">
              <w:rPr>
                <w:rFonts w:ascii="Calibri" w:eastAsia="Times New Roman" w:hAnsi="Calibri" w:cs="Calibri"/>
              </w:rPr>
              <w:t>Probability of default</w:t>
            </w:r>
          </w:p>
        </w:tc>
        <w:tc>
          <w:tcPr>
            <w:tcW w:w="0" w:type="auto"/>
            <w:tcBorders>
              <w:top w:val="single" w:sz="4" w:space="0" w:color="auto"/>
              <w:left w:val="nil"/>
              <w:right w:val="nil"/>
            </w:tcBorders>
            <w:shd w:val="clear" w:color="auto" w:fill="auto"/>
            <w:noWrap/>
            <w:vAlign w:val="bottom"/>
            <w:hideMark/>
          </w:tcPr>
          <w:p w14:paraId="5E23F079"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gridSpan w:val="3"/>
            <w:tcBorders>
              <w:top w:val="single" w:sz="4" w:space="0" w:color="auto"/>
              <w:left w:val="nil"/>
              <w:right w:val="nil"/>
            </w:tcBorders>
            <w:shd w:val="clear" w:color="auto" w:fill="auto"/>
            <w:noWrap/>
            <w:vAlign w:val="bottom"/>
            <w:hideMark/>
          </w:tcPr>
          <w:p w14:paraId="23CD431A" w14:textId="77777777" w:rsidR="006454E1" w:rsidRPr="006E6122" w:rsidRDefault="006454E1" w:rsidP="00A02DF8">
            <w:pPr>
              <w:spacing w:after="0" w:line="240" w:lineRule="auto"/>
              <w:contextualSpacing/>
              <w:jc w:val="center"/>
              <w:rPr>
                <w:rFonts w:ascii="Calibri" w:eastAsia="Times New Roman" w:hAnsi="Calibri" w:cs="Calibri"/>
              </w:rPr>
            </w:pPr>
            <w:r w:rsidRPr="006E6122">
              <w:rPr>
                <w:rFonts w:ascii="Calibri" w:eastAsia="Times New Roman" w:hAnsi="Calibri" w:cs="Calibri"/>
              </w:rPr>
              <w:t>Probability of prepayment</w:t>
            </w:r>
          </w:p>
        </w:tc>
      </w:tr>
      <w:tr w:rsidR="006454E1" w:rsidRPr="006E6122" w14:paraId="5F38D8B8" w14:textId="77777777" w:rsidTr="00A02DF8">
        <w:trPr>
          <w:trHeight w:val="255"/>
        </w:trPr>
        <w:tc>
          <w:tcPr>
            <w:tcW w:w="0" w:type="auto"/>
            <w:tcBorders>
              <w:top w:val="nil"/>
              <w:left w:val="nil"/>
              <w:bottom w:val="nil"/>
              <w:right w:val="nil"/>
            </w:tcBorders>
            <w:shd w:val="clear" w:color="auto" w:fill="auto"/>
            <w:noWrap/>
            <w:vAlign w:val="bottom"/>
            <w:hideMark/>
          </w:tcPr>
          <w:p w14:paraId="0C00300C"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7E3FE5A4"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left w:val="nil"/>
              <w:bottom w:val="single" w:sz="4" w:space="0" w:color="auto"/>
              <w:right w:val="nil"/>
            </w:tcBorders>
            <w:shd w:val="clear" w:color="auto" w:fill="auto"/>
            <w:noWrap/>
            <w:vAlign w:val="bottom"/>
            <w:hideMark/>
          </w:tcPr>
          <w:p w14:paraId="7459C800"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(1)</w:t>
            </w:r>
          </w:p>
        </w:tc>
        <w:tc>
          <w:tcPr>
            <w:tcW w:w="0" w:type="auto"/>
            <w:tcBorders>
              <w:left w:val="nil"/>
              <w:bottom w:val="single" w:sz="4" w:space="0" w:color="auto"/>
              <w:right w:val="nil"/>
            </w:tcBorders>
            <w:shd w:val="clear" w:color="auto" w:fill="auto"/>
            <w:noWrap/>
            <w:vAlign w:val="center"/>
            <w:hideMark/>
          </w:tcPr>
          <w:p w14:paraId="335A98EB"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w:t>
            </w:r>
          </w:p>
        </w:tc>
        <w:tc>
          <w:tcPr>
            <w:tcW w:w="0" w:type="auto"/>
            <w:tcBorders>
              <w:left w:val="nil"/>
              <w:bottom w:val="single" w:sz="4" w:space="0" w:color="auto"/>
              <w:right w:val="nil"/>
            </w:tcBorders>
            <w:shd w:val="clear" w:color="auto" w:fill="auto"/>
            <w:noWrap/>
            <w:vAlign w:val="center"/>
            <w:hideMark/>
          </w:tcPr>
          <w:p w14:paraId="35A93F05"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(3)</w:t>
            </w:r>
          </w:p>
        </w:tc>
        <w:tc>
          <w:tcPr>
            <w:tcW w:w="0" w:type="auto"/>
            <w:tcBorders>
              <w:left w:val="nil"/>
              <w:bottom w:val="nil"/>
              <w:right w:val="nil"/>
            </w:tcBorders>
            <w:shd w:val="clear" w:color="auto" w:fill="auto"/>
            <w:noWrap/>
            <w:vAlign w:val="center"/>
            <w:hideMark/>
          </w:tcPr>
          <w:p w14:paraId="38E37FE1"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left w:val="nil"/>
              <w:bottom w:val="single" w:sz="4" w:space="0" w:color="auto"/>
              <w:right w:val="nil"/>
            </w:tcBorders>
            <w:shd w:val="clear" w:color="auto" w:fill="auto"/>
            <w:noWrap/>
            <w:vAlign w:val="center"/>
            <w:hideMark/>
          </w:tcPr>
          <w:p w14:paraId="0AADA525"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(4)</w:t>
            </w:r>
          </w:p>
        </w:tc>
        <w:tc>
          <w:tcPr>
            <w:tcW w:w="0" w:type="auto"/>
            <w:tcBorders>
              <w:left w:val="nil"/>
              <w:bottom w:val="single" w:sz="4" w:space="0" w:color="auto"/>
              <w:right w:val="nil"/>
            </w:tcBorders>
            <w:shd w:val="clear" w:color="auto" w:fill="auto"/>
            <w:noWrap/>
            <w:vAlign w:val="center"/>
            <w:hideMark/>
          </w:tcPr>
          <w:p w14:paraId="42A53E14"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(5)</w:t>
            </w:r>
          </w:p>
        </w:tc>
        <w:tc>
          <w:tcPr>
            <w:tcW w:w="0" w:type="auto"/>
            <w:tcBorders>
              <w:left w:val="nil"/>
              <w:bottom w:val="single" w:sz="4" w:space="0" w:color="auto"/>
              <w:right w:val="nil"/>
            </w:tcBorders>
            <w:shd w:val="clear" w:color="auto" w:fill="auto"/>
            <w:noWrap/>
            <w:vAlign w:val="center"/>
            <w:hideMark/>
          </w:tcPr>
          <w:p w14:paraId="584B6399" w14:textId="77777777" w:rsidR="006454E1" w:rsidRPr="006E6122" w:rsidRDefault="006454E1"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(6)</w:t>
            </w:r>
          </w:p>
        </w:tc>
      </w:tr>
      <w:tr w:rsidR="00E775FA" w:rsidRPr="006E6122" w14:paraId="51D1C9A8" w14:textId="77777777" w:rsidTr="00A02DF8">
        <w:trPr>
          <w:trHeight w:val="255"/>
        </w:trPr>
        <w:tc>
          <w:tcPr>
            <w:tcW w:w="0" w:type="auto"/>
            <w:tcBorders>
              <w:top w:val="nil"/>
              <w:left w:val="nil"/>
              <w:bottom w:val="nil"/>
              <w:right w:val="nil"/>
            </w:tcBorders>
            <w:shd w:val="clear" w:color="auto" w:fill="auto"/>
            <w:noWrap/>
            <w:vAlign w:val="bottom"/>
            <w:hideMark/>
          </w:tcPr>
          <w:p w14:paraId="22DEF984"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nil"/>
              <w:left w:val="nil"/>
              <w:bottom w:val="nil"/>
              <w:right w:val="nil"/>
            </w:tcBorders>
            <w:shd w:val="clear" w:color="auto" w:fill="auto"/>
            <w:noWrap/>
            <w:vAlign w:val="bottom"/>
            <w:hideMark/>
          </w:tcPr>
          <w:p w14:paraId="5F16FB4B"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single" w:sz="4" w:space="0" w:color="auto"/>
              <w:left w:val="nil"/>
              <w:bottom w:val="nil"/>
              <w:right w:val="nil"/>
            </w:tcBorders>
            <w:shd w:val="clear" w:color="auto" w:fill="auto"/>
            <w:noWrap/>
            <w:vAlign w:val="bottom"/>
          </w:tcPr>
          <w:p w14:paraId="0FB34AE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6C4C836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-.00929</w:t>
            </w:r>
          </w:p>
        </w:tc>
        <w:tc>
          <w:tcPr>
            <w:tcW w:w="0" w:type="auto"/>
            <w:tcBorders>
              <w:top w:val="nil"/>
              <w:left w:val="nil"/>
              <w:bottom w:val="nil"/>
              <w:right w:val="nil"/>
            </w:tcBorders>
            <w:shd w:val="clear" w:color="auto" w:fill="auto"/>
            <w:noWrap/>
            <w:vAlign w:val="bottom"/>
          </w:tcPr>
          <w:p w14:paraId="4E594B2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.0838*</w:t>
            </w:r>
          </w:p>
        </w:tc>
        <w:tc>
          <w:tcPr>
            <w:tcW w:w="0" w:type="auto"/>
            <w:tcBorders>
              <w:top w:val="nil"/>
              <w:left w:val="nil"/>
              <w:bottom w:val="nil"/>
              <w:right w:val="nil"/>
            </w:tcBorders>
            <w:shd w:val="clear" w:color="auto" w:fill="auto"/>
            <w:noWrap/>
            <w:vAlign w:val="bottom"/>
          </w:tcPr>
          <w:p w14:paraId="52A4D715"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8DC182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4E97234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-.0235***</w:t>
            </w:r>
          </w:p>
        </w:tc>
        <w:tc>
          <w:tcPr>
            <w:tcW w:w="0" w:type="auto"/>
            <w:tcBorders>
              <w:top w:val="nil"/>
              <w:left w:val="nil"/>
              <w:bottom w:val="nil"/>
              <w:right w:val="nil"/>
            </w:tcBorders>
            <w:shd w:val="clear" w:color="auto" w:fill="auto"/>
            <w:noWrap/>
            <w:vAlign w:val="bottom"/>
          </w:tcPr>
          <w:p w14:paraId="17311A7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-.0303**</w:t>
            </w:r>
          </w:p>
        </w:tc>
      </w:tr>
      <w:tr w:rsidR="00E775FA" w:rsidRPr="006E6122" w14:paraId="42D9E609" w14:textId="77777777" w:rsidTr="00A02DF8">
        <w:trPr>
          <w:trHeight w:val="255"/>
        </w:trPr>
        <w:tc>
          <w:tcPr>
            <w:tcW w:w="0" w:type="auto"/>
            <w:tcBorders>
              <w:top w:val="nil"/>
              <w:left w:val="nil"/>
              <w:bottom w:val="nil"/>
              <w:right w:val="nil"/>
            </w:tcBorders>
            <w:shd w:val="clear" w:color="auto" w:fill="auto"/>
            <w:noWrap/>
            <w:vAlign w:val="bottom"/>
            <w:hideMark/>
          </w:tcPr>
          <w:p w14:paraId="78321E39"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35BE7C00"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7A7D94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2D46508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(.0406)</w:t>
            </w:r>
          </w:p>
        </w:tc>
        <w:tc>
          <w:tcPr>
            <w:tcW w:w="0" w:type="auto"/>
            <w:tcBorders>
              <w:top w:val="nil"/>
              <w:left w:val="nil"/>
              <w:bottom w:val="nil"/>
              <w:right w:val="nil"/>
            </w:tcBorders>
            <w:shd w:val="clear" w:color="auto" w:fill="auto"/>
            <w:noWrap/>
            <w:vAlign w:val="bottom"/>
          </w:tcPr>
          <w:p w14:paraId="7D8B400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(.0467)</w:t>
            </w:r>
          </w:p>
        </w:tc>
        <w:tc>
          <w:tcPr>
            <w:tcW w:w="0" w:type="auto"/>
            <w:tcBorders>
              <w:top w:val="nil"/>
              <w:left w:val="nil"/>
              <w:bottom w:val="nil"/>
              <w:right w:val="nil"/>
            </w:tcBorders>
            <w:shd w:val="clear" w:color="auto" w:fill="auto"/>
            <w:noWrap/>
            <w:vAlign w:val="bottom"/>
          </w:tcPr>
          <w:p w14:paraId="62250EB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2B31E3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6C9BB8C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(.00768)</w:t>
            </w:r>
          </w:p>
        </w:tc>
        <w:tc>
          <w:tcPr>
            <w:tcW w:w="0" w:type="auto"/>
            <w:tcBorders>
              <w:top w:val="nil"/>
              <w:left w:val="nil"/>
              <w:bottom w:val="nil"/>
              <w:right w:val="nil"/>
            </w:tcBorders>
            <w:shd w:val="clear" w:color="auto" w:fill="auto"/>
            <w:noWrap/>
            <w:vAlign w:val="bottom"/>
          </w:tcPr>
          <w:p w14:paraId="2D0C104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(.0121)</w:t>
            </w:r>
          </w:p>
        </w:tc>
      </w:tr>
      <w:tr w:rsidR="00E775FA" w:rsidRPr="006E6122" w14:paraId="3728925A" w14:textId="77777777" w:rsidTr="00A02DF8">
        <w:trPr>
          <w:trHeight w:val="255"/>
        </w:trPr>
        <w:tc>
          <w:tcPr>
            <w:tcW w:w="0" w:type="auto"/>
            <w:tcBorders>
              <w:top w:val="nil"/>
              <w:left w:val="nil"/>
              <w:bottom w:val="nil"/>
              <w:right w:val="nil"/>
            </w:tcBorders>
            <w:shd w:val="clear" w:color="auto" w:fill="auto"/>
            <w:noWrap/>
            <w:vAlign w:val="bottom"/>
            <w:hideMark/>
          </w:tcPr>
          <w:p w14:paraId="3C5ACA7A"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hideMark/>
          </w:tcPr>
          <w:p w14:paraId="021670AF"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1ED8C3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01280A8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-.603***</w:t>
            </w:r>
          </w:p>
        </w:tc>
        <w:tc>
          <w:tcPr>
            <w:tcW w:w="0" w:type="auto"/>
            <w:tcBorders>
              <w:top w:val="nil"/>
              <w:left w:val="nil"/>
              <w:bottom w:val="nil"/>
              <w:right w:val="nil"/>
            </w:tcBorders>
            <w:shd w:val="clear" w:color="auto" w:fill="auto"/>
            <w:noWrap/>
            <w:vAlign w:val="bottom"/>
          </w:tcPr>
          <w:p w14:paraId="78277AA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-.482**</w:t>
            </w:r>
          </w:p>
        </w:tc>
        <w:tc>
          <w:tcPr>
            <w:tcW w:w="0" w:type="auto"/>
            <w:tcBorders>
              <w:top w:val="nil"/>
              <w:left w:val="nil"/>
              <w:bottom w:val="nil"/>
              <w:right w:val="nil"/>
            </w:tcBorders>
            <w:shd w:val="clear" w:color="auto" w:fill="auto"/>
            <w:noWrap/>
            <w:vAlign w:val="bottom"/>
          </w:tcPr>
          <w:p w14:paraId="1D9A6F8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8B57F4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75DFF26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.0867***</w:t>
            </w:r>
          </w:p>
        </w:tc>
        <w:tc>
          <w:tcPr>
            <w:tcW w:w="0" w:type="auto"/>
            <w:tcBorders>
              <w:top w:val="nil"/>
              <w:left w:val="nil"/>
              <w:bottom w:val="nil"/>
              <w:right w:val="nil"/>
            </w:tcBorders>
            <w:shd w:val="clear" w:color="auto" w:fill="auto"/>
            <w:noWrap/>
            <w:vAlign w:val="bottom"/>
          </w:tcPr>
          <w:p w14:paraId="2B640535"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.0824***</w:t>
            </w:r>
          </w:p>
        </w:tc>
      </w:tr>
      <w:tr w:rsidR="00E775FA" w:rsidRPr="006E6122" w14:paraId="76A2E5E1" w14:textId="77777777" w:rsidTr="00A02DF8">
        <w:trPr>
          <w:trHeight w:val="255"/>
        </w:trPr>
        <w:tc>
          <w:tcPr>
            <w:tcW w:w="0" w:type="auto"/>
            <w:tcBorders>
              <w:top w:val="nil"/>
              <w:left w:val="nil"/>
              <w:bottom w:val="nil"/>
              <w:right w:val="nil"/>
            </w:tcBorders>
            <w:shd w:val="clear" w:color="auto" w:fill="auto"/>
            <w:noWrap/>
            <w:vAlign w:val="bottom"/>
            <w:hideMark/>
          </w:tcPr>
          <w:p w14:paraId="2A836734"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0E1B0DEF"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EF24DB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709C085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(.219)</w:t>
            </w:r>
          </w:p>
        </w:tc>
        <w:tc>
          <w:tcPr>
            <w:tcW w:w="0" w:type="auto"/>
            <w:tcBorders>
              <w:top w:val="nil"/>
              <w:left w:val="nil"/>
              <w:bottom w:val="nil"/>
              <w:right w:val="nil"/>
            </w:tcBorders>
            <w:shd w:val="clear" w:color="auto" w:fill="auto"/>
            <w:noWrap/>
            <w:vAlign w:val="bottom"/>
          </w:tcPr>
          <w:p w14:paraId="2CF81D6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(.22</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458C328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E7A935F"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2F747DC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(.0266)</w:t>
            </w:r>
          </w:p>
        </w:tc>
        <w:tc>
          <w:tcPr>
            <w:tcW w:w="0" w:type="auto"/>
            <w:tcBorders>
              <w:top w:val="nil"/>
              <w:left w:val="nil"/>
              <w:bottom w:val="nil"/>
              <w:right w:val="nil"/>
            </w:tcBorders>
            <w:shd w:val="clear" w:color="auto" w:fill="auto"/>
            <w:noWrap/>
            <w:vAlign w:val="bottom"/>
          </w:tcPr>
          <w:p w14:paraId="230AF69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(.0269)</w:t>
            </w:r>
          </w:p>
        </w:tc>
      </w:tr>
      <w:tr w:rsidR="00E775FA" w:rsidRPr="006E6122" w14:paraId="24D61E86" w14:textId="77777777" w:rsidTr="00A02DF8">
        <w:trPr>
          <w:trHeight w:val="255"/>
        </w:trPr>
        <w:tc>
          <w:tcPr>
            <w:tcW w:w="0" w:type="auto"/>
            <w:tcBorders>
              <w:top w:val="nil"/>
              <w:left w:val="nil"/>
              <w:bottom w:val="nil"/>
              <w:right w:val="nil"/>
            </w:tcBorders>
            <w:shd w:val="clear" w:color="auto" w:fill="auto"/>
            <w:noWrap/>
            <w:vAlign w:val="bottom"/>
            <w:hideMark/>
          </w:tcPr>
          <w:p w14:paraId="6259DF93" w14:textId="77777777" w:rsidR="00E775FA" w:rsidRPr="004961A2" w:rsidRDefault="0006500F" w:rsidP="00A02DF8">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hideMark/>
          </w:tcPr>
          <w:p w14:paraId="2CE2E78A"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7D96A8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0AD7BABF"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1123E9B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-.448***</w:t>
            </w:r>
          </w:p>
        </w:tc>
        <w:tc>
          <w:tcPr>
            <w:tcW w:w="0" w:type="auto"/>
            <w:tcBorders>
              <w:top w:val="nil"/>
              <w:left w:val="nil"/>
              <w:bottom w:val="nil"/>
              <w:right w:val="nil"/>
            </w:tcBorders>
            <w:shd w:val="clear" w:color="auto" w:fill="auto"/>
            <w:noWrap/>
            <w:vAlign w:val="bottom"/>
          </w:tcPr>
          <w:p w14:paraId="29CA9B8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CBE4A4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0B34B91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00ADC11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.0149</w:t>
            </w:r>
          </w:p>
        </w:tc>
      </w:tr>
      <w:tr w:rsidR="00E775FA" w:rsidRPr="006E6122" w14:paraId="5156E9A2" w14:textId="77777777" w:rsidTr="00A02DF8">
        <w:trPr>
          <w:trHeight w:val="255"/>
        </w:trPr>
        <w:tc>
          <w:tcPr>
            <w:tcW w:w="0" w:type="auto"/>
            <w:tcBorders>
              <w:top w:val="nil"/>
              <w:left w:val="nil"/>
              <w:bottom w:val="nil"/>
              <w:right w:val="nil"/>
            </w:tcBorders>
            <w:shd w:val="clear" w:color="auto" w:fill="auto"/>
            <w:noWrap/>
            <w:vAlign w:val="bottom"/>
            <w:hideMark/>
          </w:tcPr>
          <w:p w14:paraId="455DBBDE" w14:textId="77777777" w:rsidR="00E775FA" w:rsidRPr="00A02DF8" w:rsidRDefault="00E775FA" w:rsidP="00A02DF8">
            <w:pPr>
              <w:spacing w:after="0" w:line="240" w:lineRule="auto"/>
              <w:rPr>
                <w:rFonts w:ascii="Calibri" w:eastAsia="Times New Roman" w:hAnsi="Calibri" w:cs="Calibri"/>
                <w:i/>
                <w:sz w:val="20"/>
                <w:szCs w:val="20"/>
              </w:rPr>
            </w:pPr>
          </w:p>
        </w:tc>
        <w:tc>
          <w:tcPr>
            <w:tcW w:w="0" w:type="auto"/>
            <w:tcBorders>
              <w:top w:val="nil"/>
              <w:left w:val="nil"/>
              <w:bottom w:val="nil"/>
              <w:right w:val="nil"/>
            </w:tcBorders>
            <w:shd w:val="clear" w:color="auto" w:fill="auto"/>
            <w:noWrap/>
            <w:vAlign w:val="bottom"/>
            <w:hideMark/>
          </w:tcPr>
          <w:p w14:paraId="37FD1A0A"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3DCC07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46D025A4"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3A40D5F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(.0964)</w:t>
            </w:r>
          </w:p>
        </w:tc>
        <w:tc>
          <w:tcPr>
            <w:tcW w:w="0" w:type="auto"/>
            <w:tcBorders>
              <w:top w:val="nil"/>
              <w:left w:val="nil"/>
              <w:bottom w:val="nil"/>
              <w:right w:val="nil"/>
            </w:tcBorders>
            <w:shd w:val="clear" w:color="auto" w:fill="auto"/>
            <w:noWrap/>
            <w:vAlign w:val="bottom"/>
          </w:tcPr>
          <w:p w14:paraId="645CAF2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2B8703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08B6C4C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66A7E05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(.0149)</w:t>
            </w:r>
          </w:p>
        </w:tc>
      </w:tr>
      <w:tr w:rsidR="00E775FA" w:rsidRPr="006E6122" w14:paraId="2A68CA3B" w14:textId="77777777" w:rsidTr="00A02DF8">
        <w:trPr>
          <w:trHeight w:val="255"/>
        </w:trPr>
        <w:tc>
          <w:tcPr>
            <w:tcW w:w="0" w:type="auto"/>
            <w:tcBorders>
              <w:top w:val="nil"/>
              <w:left w:val="nil"/>
              <w:bottom w:val="nil"/>
              <w:right w:val="nil"/>
            </w:tcBorders>
            <w:shd w:val="clear" w:color="auto" w:fill="auto"/>
            <w:noWrap/>
            <w:vAlign w:val="bottom"/>
            <w:hideMark/>
          </w:tcPr>
          <w:p w14:paraId="0E4DDF3F"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hideMark/>
          </w:tcPr>
          <w:p w14:paraId="5C7A1CDF"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3B27E9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-.0175***</w:t>
            </w:r>
          </w:p>
        </w:tc>
        <w:tc>
          <w:tcPr>
            <w:tcW w:w="0" w:type="auto"/>
            <w:tcBorders>
              <w:top w:val="nil"/>
              <w:left w:val="nil"/>
              <w:bottom w:val="nil"/>
              <w:right w:val="nil"/>
            </w:tcBorders>
            <w:shd w:val="clear" w:color="auto" w:fill="auto"/>
            <w:noWrap/>
            <w:vAlign w:val="bottom"/>
          </w:tcPr>
          <w:p w14:paraId="01AE3534"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-.0175***</w:t>
            </w:r>
          </w:p>
        </w:tc>
        <w:tc>
          <w:tcPr>
            <w:tcW w:w="0" w:type="auto"/>
            <w:tcBorders>
              <w:top w:val="nil"/>
              <w:left w:val="nil"/>
              <w:bottom w:val="nil"/>
              <w:right w:val="nil"/>
            </w:tcBorders>
            <w:shd w:val="clear" w:color="auto" w:fill="auto"/>
            <w:noWrap/>
            <w:vAlign w:val="bottom"/>
          </w:tcPr>
          <w:p w14:paraId="133BCC0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-.0174***</w:t>
            </w:r>
          </w:p>
        </w:tc>
        <w:tc>
          <w:tcPr>
            <w:tcW w:w="0" w:type="auto"/>
            <w:tcBorders>
              <w:top w:val="nil"/>
              <w:left w:val="nil"/>
              <w:bottom w:val="nil"/>
              <w:right w:val="nil"/>
            </w:tcBorders>
            <w:shd w:val="clear" w:color="auto" w:fill="auto"/>
            <w:noWrap/>
            <w:vAlign w:val="bottom"/>
          </w:tcPr>
          <w:p w14:paraId="780F14F7"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5A4323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.000913***</w:t>
            </w:r>
          </w:p>
        </w:tc>
        <w:tc>
          <w:tcPr>
            <w:tcW w:w="0" w:type="auto"/>
            <w:tcBorders>
              <w:top w:val="nil"/>
              <w:left w:val="nil"/>
              <w:bottom w:val="nil"/>
              <w:right w:val="nil"/>
            </w:tcBorders>
            <w:shd w:val="clear" w:color="auto" w:fill="auto"/>
            <w:noWrap/>
            <w:vAlign w:val="bottom"/>
          </w:tcPr>
          <w:p w14:paraId="3726D314"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.000907***</w:t>
            </w:r>
          </w:p>
        </w:tc>
        <w:tc>
          <w:tcPr>
            <w:tcW w:w="0" w:type="auto"/>
            <w:tcBorders>
              <w:top w:val="nil"/>
              <w:left w:val="nil"/>
              <w:bottom w:val="nil"/>
              <w:right w:val="nil"/>
            </w:tcBorders>
            <w:shd w:val="clear" w:color="auto" w:fill="auto"/>
            <w:noWrap/>
            <w:vAlign w:val="bottom"/>
          </w:tcPr>
          <w:p w14:paraId="677C662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.000904***</w:t>
            </w:r>
          </w:p>
        </w:tc>
      </w:tr>
      <w:tr w:rsidR="00E775FA" w:rsidRPr="006E6122" w14:paraId="3B49407B" w14:textId="77777777" w:rsidTr="00A02DF8">
        <w:trPr>
          <w:trHeight w:val="255"/>
        </w:trPr>
        <w:tc>
          <w:tcPr>
            <w:tcW w:w="0" w:type="auto"/>
            <w:tcBorders>
              <w:top w:val="nil"/>
              <w:left w:val="nil"/>
              <w:bottom w:val="nil"/>
              <w:right w:val="nil"/>
            </w:tcBorders>
            <w:shd w:val="clear" w:color="auto" w:fill="auto"/>
            <w:noWrap/>
            <w:vAlign w:val="bottom"/>
            <w:hideMark/>
          </w:tcPr>
          <w:p w14:paraId="1122F2E8"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04CD6DF9"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800AC1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(.000479)</w:t>
            </w:r>
          </w:p>
        </w:tc>
        <w:tc>
          <w:tcPr>
            <w:tcW w:w="0" w:type="auto"/>
            <w:tcBorders>
              <w:top w:val="nil"/>
              <w:left w:val="nil"/>
              <w:bottom w:val="nil"/>
              <w:right w:val="nil"/>
            </w:tcBorders>
            <w:shd w:val="clear" w:color="auto" w:fill="auto"/>
            <w:noWrap/>
            <w:vAlign w:val="bottom"/>
          </w:tcPr>
          <w:p w14:paraId="2CD5F46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(.000479)</w:t>
            </w:r>
          </w:p>
        </w:tc>
        <w:tc>
          <w:tcPr>
            <w:tcW w:w="0" w:type="auto"/>
            <w:tcBorders>
              <w:top w:val="nil"/>
              <w:left w:val="nil"/>
              <w:bottom w:val="nil"/>
              <w:right w:val="nil"/>
            </w:tcBorders>
            <w:shd w:val="clear" w:color="auto" w:fill="auto"/>
            <w:noWrap/>
            <w:vAlign w:val="bottom"/>
          </w:tcPr>
          <w:p w14:paraId="270CC57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(.000479)</w:t>
            </w:r>
          </w:p>
        </w:tc>
        <w:tc>
          <w:tcPr>
            <w:tcW w:w="0" w:type="auto"/>
            <w:tcBorders>
              <w:top w:val="nil"/>
              <w:left w:val="nil"/>
              <w:bottom w:val="nil"/>
              <w:right w:val="nil"/>
            </w:tcBorders>
            <w:shd w:val="clear" w:color="auto" w:fill="auto"/>
            <w:noWrap/>
            <w:vAlign w:val="bottom"/>
          </w:tcPr>
          <w:p w14:paraId="2FFF4D3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042875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(.000102)</w:t>
            </w:r>
          </w:p>
        </w:tc>
        <w:tc>
          <w:tcPr>
            <w:tcW w:w="0" w:type="auto"/>
            <w:tcBorders>
              <w:top w:val="nil"/>
              <w:left w:val="nil"/>
              <w:bottom w:val="nil"/>
              <w:right w:val="nil"/>
            </w:tcBorders>
            <w:shd w:val="clear" w:color="auto" w:fill="auto"/>
            <w:noWrap/>
            <w:vAlign w:val="bottom"/>
          </w:tcPr>
          <w:p w14:paraId="434F8D5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(.000102)</w:t>
            </w:r>
          </w:p>
        </w:tc>
        <w:tc>
          <w:tcPr>
            <w:tcW w:w="0" w:type="auto"/>
            <w:tcBorders>
              <w:top w:val="nil"/>
              <w:left w:val="nil"/>
              <w:bottom w:val="nil"/>
              <w:right w:val="nil"/>
            </w:tcBorders>
            <w:shd w:val="clear" w:color="auto" w:fill="auto"/>
            <w:noWrap/>
            <w:vAlign w:val="bottom"/>
          </w:tcPr>
          <w:p w14:paraId="5DEF2AC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(.000102)</w:t>
            </w:r>
          </w:p>
        </w:tc>
      </w:tr>
      <w:tr w:rsidR="00E775FA" w:rsidRPr="006E6122" w14:paraId="26B15998" w14:textId="77777777" w:rsidTr="00A02DF8">
        <w:trPr>
          <w:trHeight w:val="255"/>
        </w:trPr>
        <w:tc>
          <w:tcPr>
            <w:tcW w:w="0" w:type="auto"/>
            <w:tcBorders>
              <w:top w:val="nil"/>
              <w:left w:val="nil"/>
              <w:bottom w:val="nil"/>
              <w:right w:val="nil"/>
            </w:tcBorders>
            <w:shd w:val="clear" w:color="auto" w:fill="auto"/>
            <w:noWrap/>
            <w:vAlign w:val="bottom"/>
            <w:hideMark/>
          </w:tcPr>
          <w:p w14:paraId="043B71E6"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0" w:type="auto"/>
            <w:tcBorders>
              <w:top w:val="nil"/>
              <w:left w:val="nil"/>
              <w:bottom w:val="nil"/>
              <w:right w:val="nil"/>
            </w:tcBorders>
            <w:shd w:val="clear" w:color="auto" w:fill="auto"/>
            <w:noWrap/>
            <w:vAlign w:val="bottom"/>
            <w:hideMark/>
          </w:tcPr>
          <w:p w14:paraId="778D3568"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F46C11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.00153***</w:t>
            </w:r>
          </w:p>
        </w:tc>
        <w:tc>
          <w:tcPr>
            <w:tcW w:w="0" w:type="auto"/>
            <w:tcBorders>
              <w:top w:val="nil"/>
              <w:left w:val="nil"/>
              <w:bottom w:val="nil"/>
              <w:right w:val="nil"/>
            </w:tcBorders>
            <w:shd w:val="clear" w:color="auto" w:fill="auto"/>
            <w:noWrap/>
            <w:vAlign w:val="bottom"/>
          </w:tcPr>
          <w:p w14:paraId="586AF90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.00153***</w:t>
            </w:r>
          </w:p>
        </w:tc>
        <w:tc>
          <w:tcPr>
            <w:tcW w:w="0" w:type="auto"/>
            <w:tcBorders>
              <w:top w:val="nil"/>
              <w:left w:val="nil"/>
              <w:bottom w:val="nil"/>
              <w:right w:val="nil"/>
            </w:tcBorders>
            <w:shd w:val="clear" w:color="auto" w:fill="auto"/>
            <w:noWrap/>
            <w:vAlign w:val="bottom"/>
          </w:tcPr>
          <w:p w14:paraId="1AE17C9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.00154***</w:t>
            </w:r>
          </w:p>
        </w:tc>
        <w:tc>
          <w:tcPr>
            <w:tcW w:w="0" w:type="auto"/>
            <w:tcBorders>
              <w:top w:val="nil"/>
              <w:left w:val="nil"/>
              <w:bottom w:val="nil"/>
              <w:right w:val="nil"/>
            </w:tcBorders>
            <w:shd w:val="clear" w:color="auto" w:fill="auto"/>
            <w:noWrap/>
            <w:vAlign w:val="bottom"/>
          </w:tcPr>
          <w:p w14:paraId="57761D1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94648C7"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-.00967***</w:t>
            </w:r>
          </w:p>
        </w:tc>
        <w:tc>
          <w:tcPr>
            <w:tcW w:w="0" w:type="auto"/>
            <w:tcBorders>
              <w:top w:val="nil"/>
              <w:left w:val="nil"/>
              <w:bottom w:val="nil"/>
              <w:right w:val="nil"/>
            </w:tcBorders>
            <w:shd w:val="clear" w:color="auto" w:fill="auto"/>
            <w:noWrap/>
            <w:vAlign w:val="bottom"/>
          </w:tcPr>
          <w:p w14:paraId="4862E33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-.00969***</w:t>
            </w:r>
          </w:p>
        </w:tc>
        <w:tc>
          <w:tcPr>
            <w:tcW w:w="0" w:type="auto"/>
            <w:tcBorders>
              <w:top w:val="nil"/>
              <w:left w:val="nil"/>
              <w:bottom w:val="nil"/>
              <w:right w:val="nil"/>
            </w:tcBorders>
            <w:shd w:val="clear" w:color="auto" w:fill="auto"/>
            <w:noWrap/>
            <w:vAlign w:val="bottom"/>
          </w:tcPr>
          <w:p w14:paraId="14B2B40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-.00968***</w:t>
            </w:r>
          </w:p>
        </w:tc>
      </w:tr>
      <w:tr w:rsidR="00E775FA" w:rsidRPr="006E6122" w14:paraId="5B33D62B" w14:textId="77777777" w:rsidTr="00A02DF8">
        <w:trPr>
          <w:trHeight w:val="255"/>
        </w:trPr>
        <w:tc>
          <w:tcPr>
            <w:tcW w:w="0" w:type="auto"/>
            <w:tcBorders>
              <w:top w:val="nil"/>
              <w:left w:val="nil"/>
              <w:bottom w:val="nil"/>
              <w:right w:val="nil"/>
            </w:tcBorders>
            <w:shd w:val="clear" w:color="auto" w:fill="auto"/>
            <w:noWrap/>
            <w:vAlign w:val="bottom"/>
            <w:hideMark/>
          </w:tcPr>
          <w:p w14:paraId="7CC6E904"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75E6459F"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E09D8A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(.000398)</w:t>
            </w:r>
          </w:p>
        </w:tc>
        <w:tc>
          <w:tcPr>
            <w:tcW w:w="0" w:type="auto"/>
            <w:tcBorders>
              <w:top w:val="nil"/>
              <w:left w:val="nil"/>
              <w:bottom w:val="nil"/>
              <w:right w:val="nil"/>
            </w:tcBorders>
            <w:shd w:val="clear" w:color="auto" w:fill="auto"/>
            <w:noWrap/>
            <w:vAlign w:val="bottom"/>
          </w:tcPr>
          <w:p w14:paraId="7ACA3EAF"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(.000397)</w:t>
            </w:r>
          </w:p>
        </w:tc>
        <w:tc>
          <w:tcPr>
            <w:tcW w:w="0" w:type="auto"/>
            <w:tcBorders>
              <w:top w:val="nil"/>
              <w:left w:val="nil"/>
              <w:bottom w:val="nil"/>
              <w:right w:val="nil"/>
            </w:tcBorders>
            <w:shd w:val="clear" w:color="auto" w:fill="auto"/>
            <w:noWrap/>
            <w:vAlign w:val="bottom"/>
          </w:tcPr>
          <w:p w14:paraId="3BD3B79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(.000397)</w:t>
            </w:r>
          </w:p>
        </w:tc>
        <w:tc>
          <w:tcPr>
            <w:tcW w:w="0" w:type="auto"/>
            <w:tcBorders>
              <w:top w:val="nil"/>
              <w:left w:val="nil"/>
              <w:bottom w:val="nil"/>
              <w:right w:val="nil"/>
            </w:tcBorders>
            <w:shd w:val="clear" w:color="auto" w:fill="auto"/>
            <w:noWrap/>
            <w:vAlign w:val="bottom"/>
          </w:tcPr>
          <w:p w14:paraId="4437B53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82FB4C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(.000298)</w:t>
            </w:r>
          </w:p>
        </w:tc>
        <w:tc>
          <w:tcPr>
            <w:tcW w:w="0" w:type="auto"/>
            <w:tcBorders>
              <w:top w:val="nil"/>
              <w:left w:val="nil"/>
              <w:bottom w:val="nil"/>
              <w:right w:val="nil"/>
            </w:tcBorders>
            <w:shd w:val="clear" w:color="auto" w:fill="auto"/>
            <w:noWrap/>
            <w:vAlign w:val="bottom"/>
          </w:tcPr>
          <w:p w14:paraId="4937202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(.000298)</w:t>
            </w:r>
          </w:p>
        </w:tc>
        <w:tc>
          <w:tcPr>
            <w:tcW w:w="0" w:type="auto"/>
            <w:tcBorders>
              <w:top w:val="nil"/>
              <w:left w:val="nil"/>
              <w:bottom w:val="nil"/>
              <w:right w:val="nil"/>
            </w:tcBorders>
            <w:shd w:val="clear" w:color="auto" w:fill="auto"/>
            <w:noWrap/>
            <w:vAlign w:val="bottom"/>
          </w:tcPr>
          <w:p w14:paraId="62D9DE5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(.000298)</w:t>
            </w:r>
          </w:p>
        </w:tc>
      </w:tr>
      <w:tr w:rsidR="00E775FA" w:rsidRPr="006E6122" w14:paraId="69054B0B" w14:textId="77777777" w:rsidTr="00A02DF8">
        <w:trPr>
          <w:trHeight w:val="255"/>
        </w:trPr>
        <w:tc>
          <w:tcPr>
            <w:tcW w:w="0" w:type="auto"/>
            <w:tcBorders>
              <w:top w:val="nil"/>
              <w:left w:val="nil"/>
              <w:bottom w:val="nil"/>
              <w:right w:val="nil"/>
            </w:tcBorders>
            <w:shd w:val="clear" w:color="auto" w:fill="auto"/>
            <w:noWrap/>
            <w:vAlign w:val="bottom"/>
            <w:hideMark/>
          </w:tcPr>
          <w:p w14:paraId="6EAC27A7" w14:textId="77777777" w:rsidR="00E775FA" w:rsidRPr="004961A2" w:rsidRDefault="006751BB" w:rsidP="00A02DF8">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00E775FA" w:rsidRPr="004961A2">
              <w:rPr>
                <w:rFonts w:ascii="Calibri" w:eastAsia="Times New Roman" w:hAnsi="Calibri" w:cs="Calibri"/>
                <w:i/>
                <w:sz w:val="20"/>
                <w:szCs w:val="20"/>
              </w:rPr>
              <w:t>Age</w:t>
            </w:r>
          </w:p>
        </w:tc>
        <w:tc>
          <w:tcPr>
            <w:tcW w:w="0" w:type="auto"/>
            <w:tcBorders>
              <w:top w:val="nil"/>
              <w:left w:val="nil"/>
              <w:bottom w:val="nil"/>
              <w:right w:val="nil"/>
            </w:tcBorders>
            <w:shd w:val="clear" w:color="auto" w:fill="auto"/>
            <w:noWrap/>
            <w:vAlign w:val="bottom"/>
            <w:hideMark/>
          </w:tcPr>
          <w:p w14:paraId="5D7A316B"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3C6CA8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.0465***</w:t>
            </w:r>
          </w:p>
        </w:tc>
        <w:tc>
          <w:tcPr>
            <w:tcW w:w="0" w:type="auto"/>
            <w:tcBorders>
              <w:top w:val="nil"/>
              <w:left w:val="nil"/>
              <w:bottom w:val="nil"/>
              <w:right w:val="nil"/>
            </w:tcBorders>
            <w:shd w:val="clear" w:color="auto" w:fill="auto"/>
            <w:noWrap/>
            <w:vAlign w:val="bottom"/>
          </w:tcPr>
          <w:p w14:paraId="6C54BC7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.0465***</w:t>
            </w:r>
          </w:p>
        </w:tc>
        <w:tc>
          <w:tcPr>
            <w:tcW w:w="0" w:type="auto"/>
            <w:tcBorders>
              <w:top w:val="nil"/>
              <w:left w:val="nil"/>
              <w:bottom w:val="nil"/>
              <w:right w:val="nil"/>
            </w:tcBorders>
            <w:shd w:val="clear" w:color="auto" w:fill="auto"/>
            <w:noWrap/>
            <w:vAlign w:val="bottom"/>
          </w:tcPr>
          <w:p w14:paraId="09CFF5A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.0465***</w:t>
            </w:r>
          </w:p>
        </w:tc>
        <w:tc>
          <w:tcPr>
            <w:tcW w:w="0" w:type="auto"/>
            <w:tcBorders>
              <w:top w:val="nil"/>
              <w:left w:val="nil"/>
              <w:bottom w:val="nil"/>
              <w:right w:val="nil"/>
            </w:tcBorders>
            <w:shd w:val="clear" w:color="auto" w:fill="auto"/>
            <w:noWrap/>
            <w:vAlign w:val="bottom"/>
          </w:tcPr>
          <w:p w14:paraId="0A0F02D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CEC0A4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.0362***</w:t>
            </w:r>
          </w:p>
        </w:tc>
        <w:tc>
          <w:tcPr>
            <w:tcW w:w="0" w:type="auto"/>
            <w:tcBorders>
              <w:top w:val="nil"/>
              <w:left w:val="nil"/>
              <w:bottom w:val="nil"/>
              <w:right w:val="nil"/>
            </w:tcBorders>
            <w:shd w:val="clear" w:color="auto" w:fill="auto"/>
            <w:noWrap/>
            <w:vAlign w:val="bottom"/>
          </w:tcPr>
          <w:p w14:paraId="065242E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.0362***</w:t>
            </w:r>
          </w:p>
        </w:tc>
        <w:tc>
          <w:tcPr>
            <w:tcW w:w="0" w:type="auto"/>
            <w:tcBorders>
              <w:top w:val="nil"/>
              <w:left w:val="nil"/>
              <w:bottom w:val="nil"/>
              <w:right w:val="nil"/>
            </w:tcBorders>
            <w:shd w:val="clear" w:color="auto" w:fill="auto"/>
            <w:noWrap/>
            <w:vAlign w:val="bottom"/>
          </w:tcPr>
          <w:p w14:paraId="1CDD189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.0362***</w:t>
            </w:r>
          </w:p>
        </w:tc>
      </w:tr>
      <w:tr w:rsidR="00E775FA" w:rsidRPr="006E6122" w14:paraId="79251B45" w14:textId="77777777" w:rsidTr="00A02DF8">
        <w:trPr>
          <w:trHeight w:val="255"/>
        </w:trPr>
        <w:tc>
          <w:tcPr>
            <w:tcW w:w="0" w:type="auto"/>
            <w:tcBorders>
              <w:top w:val="nil"/>
              <w:left w:val="nil"/>
              <w:bottom w:val="nil"/>
              <w:right w:val="nil"/>
            </w:tcBorders>
            <w:shd w:val="clear" w:color="auto" w:fill="auto"/>
            <w:noWrap/>
            <w:vAlign w:val="bottom"/>
            <w:hideMark/>
          </w:tcPr>
          <w:p w14:paraId="0B1CDE4F"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6D893318"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37A1AF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(.0024</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E69BB04"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(.0024</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9386C4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(.00241)</w:t>
            </w:r>
          </w:p>
        </w:tc>
        <w:tc>
          <w:tcPr>
            <w:tcW w:w="0" w:type="auto"/>
            <w:tcBorders>
              <w:top w:val="nil"/>
              <w:left w:val="nil"/>
              <w:bottom w:val="nil"/>
              <w:right w:val="nil"/>
            </w:tcBorders>
            <w:shd w:val="clear" w:color="auto" w:fill="auto"/>
            <w:noWrap/>
            <w:vAlign w:val="bottom"/>
          </w:tcPr>
          <w:p w14:paraId="049DF7B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B351C4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(.000396)</w:t>
            </w:r>
          </w:p>
        </w:tc>
        <w:tc>
          <w:tcPr>
            <w:tcW w:w="0" w:type="auto"/>
            <w:tcBorders>
              <w:top w:val="nil"/>
              <w:left w:val="nil"/>
              <w:bottom w:val="nil"/>
              <w:right w:val="nil"/>
            </w:tcBorders>
            <w:shd w:val="clear" w:color="auto" w:fill="auto"/>
            <w:noWrap/>
            <w:vAlign w:val="bottom"/>
          </w:tcPr>
          <w:p w14:paraId="7F8B49E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(.000397)</w:t>
            </w:r>
          </w:p>
        </w:tc>
        <w:tc>
          <w:tcPr>
            <w:tcW w:w="0" w:type="auto"/>
            <w:tcBorders>
              <w:top w:val="nil"/>
              <w:left w:val="nil"/>
              <w:bottom w:val="nil"/>
              <w:right w:val="nil"/>
            </w:tcBorders>
            <w:shd w:val="clear" w:color="auto" w:fill="auto"/>
            <w:noWrap/>
            <w:vAlign w:val="bottom"/>
          </w:tcPr>
          <w:p w14:paraId="1D9F08E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(.000397)</w:t>
            </w:r>
          </w:p>
        </w:tc>
      </w:tr>
      <w:tr w:rsidR="00E775FA" w:rsidRPr="006E6122" w14:paraId="1AB8EFCC" w14:textId="77777777" w:rsidTr="00A02DF8">
        <w:trPr>
          <w:trHeight w:val="255"/>
        </w:trPr>
        <w:tc>
          <w:tcPr>
            <w:tcW w:w="0" w:type="auto"/>
            <w:tcBorders>
              <w:top w:val="nil"/>
              <w:left w:val="nil"/>
              <w:bottom w:val="nil"/>
              <w:right w:val="nil"/>
            </w:tcBorders>
            <w:shd w:val="clear" w:color="auto" w:fill="auto"/>
            <w:noWrap/>
            <w:vAlign w:val="bottom"/>
            <w:hideMark/>
          </w:tcPr>
          <w:p w14:paraId="1F941D5B" w14:textId="77777777" w:rsidR="00E775FA" w:rsidRPr="004961A2" w:rsidRDefault="006751BB" w:rsidP="00A02DF8">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00E775FA" w:rsidRPr="004961A2">
              <w:rPr>
                <w:rFonts w:ascii="Calibri" w:eastAsia="Times New Roman" w:hAnsi="Calibri" w:cs="Calibri"/>
                <w:i/>
                <w:sz w:val="20"/>
                <w:szCs w:val="20"/>
              </w:rPr>
              <w:t>Age^2</w:t>
            </w:r>
          </w:p>
        </w:tc>
        <w:tc>
          <w:tcPr>
            <w:tcW w:w="0" w:type="auto"/>
            <w:tcBorders>
              <w:top w:val="nil"/>
              <w:left w:val="nil"/>
              <w:bottom w:val="nil"/>
              <w:right w:val="nil"/>
            </w:tcBorders>
            <w:shd w:val="clear" w:color="auto" w:fill="auto"/>
            <w:noWrap/>
            <w:vAlign w:val="bottom"/>
            <w:hideMark/>
          </w:tcPr>
          <w:p w14:paraId="1036E622"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527511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-.000225***</w:t>
            </w:r>
          </w:p>
        </w:tc>
        <w:tc>
          <w:tcPr>
            <w:tcW w:w="0" w:type="auto"/>
            <w:tcBorders>
              <w:top w:val="nil"/>
              <w:left w:val="nil"/>
              <w:bottom w:val="nil"/>
              <w:right w:val="nil"/>
            </w:tcBorders>
            <w:shd w:val="clear" w:color="auto" w:fill="auto"/>
            <w:noWrap/>
            <w:vAlign w:val="bottom"/>
          </w:tcPr>
          <w:p w14:paraId="705D9AD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-.000225***</w:t>
            </w:r>
          </w:p>
        </w:tc>
        <w:tc>
          <w:tcPr>
            <w:tcW w:w="0" w:type="auto"/>
            <w:tcBorders>
              <w:top w:val="nil"/>
              <w:left w:val="nil"/>
              <w:bottom w:val="nil"/>
              <w:right w:val="nil"/>
            </w:tcBorders>
            <w:shd w:val="clear" w:color="auto" w:fill="auto"/>
            <w:noWrap/>
            <w:vAlign w:val="bottom"/>
          </w:tcPr>
          <w:p w14:paraId="5209331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-.000225***</w:t>
            </w:r>
          </w:p>
        </w:tc>
        <w:tc>
          <w:tcPr>
            <w:tcW w:w="0" w:type="auto"/>
            <w:tcBorders>
              <w:top w:val="nil"/>
              <w:left w:val="nil"/>
              <w:bottom w:val="nil"/>
              <w:right w:val="nil"/>
            </w:tcBorders>
            <w:shd w:val="clear" w:color="auto" w:fill="auto"/>
            <w:noWrap/>
            <w:vAlign w:val="bottom"/>
          </w:tcPr>
          <w:p w14:paraId="45FAF504"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796829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-.000226***</w:t>
            </w:r>
          </w:p>
        </w:tc>
        <w:tc>
          <w:tcPr>
            <w:tcW w:w="0" w:type="auto"/>
            <w:tcBorders>
              <w:top w:val="nil"/>
              <w:left w:val="nil"/>
              <w:bottom w:val="nil"/>
              <w:right w:val="nil"/>
            </w:tcBorders>
            <w:shd w:val="clear" w:color="auto" w:fill="auto"/>
            <w:noWrap/>
            <w:vAlign w:val="bottom"/>
          </w:tcPr>
          <w:p w14:paraId="741D3A37"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-.000226***</w:t>
            </w:r>
          </w:p>
        </w:tc>
        <w:tc>
          <w:tcPr>
            <w:tcW w:w="0" w:type="auto"/>
            <w:tcBorders>
              <w:top w:val="nil"/>
              <w:left w:val="nil"/>
              <w:bottom w:val="nil"/>
              <w:right w:val="nil"/>
            </w:tcBorders>
            <w:shd w:val="clear" w:color="auto" w:fill="auto"/>
            <w:noWrap/>
            <w:vAlign w:val="bottom"/>
          </w:tcPr>
          <w:p w14:paraId="204F3BE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-.000226***</w:t>
            </w:r>
          </w:p>
        </w:tc>
      </w:tr>
      <w:tr w:rsidR="00E775FA" w:rsidRPr="006E6122" w14:paraId="0D696513" w14:textId="77777777" w:rsidTr="00A02DF8">
        <w:trPr>
          <w:trHeight w:val="255"/>
        </w:trPr>
        <w:tc>
          <w:tcPr>
            <w:tcW w:w="0" w:type="auto"/>
            <w:tcBorders>
              <w:top w:val="nil"/>
              <w:left w:val="nil"/>
              <w:bottom w:val="nil"/>
              <w:right w:val="nil"/>
            </w:tcBorders>
            <w:shd w:val="clear" w:color="auto" w:fill="auto"/>
            <w:noWrap/>
            <w:vAlign w:val="bottom"/>
            <w:hideMark/>
          </w:tcPr>
          <w:p w14:paraId="43D41C68"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3B529D92"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B73B11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(.0000208)</w:t>
            </w:r>
          </w:p>
        </w:tc>
        <w:tc>
          <w:tcPr>
            <w:tcW w:w="0" w:type="auto"/>
            <w:tcBorders>
              <w:top w:val="nil"/>
              <w:left w:val="nil"/>
              <w:bottom w:val="nil"/>
              <w:right w:val="nil"/>
            </w:tcBorders>
            <w:shd w:val="clear" w:color="auto" w:fill="auto"/>
            <w:noWrap/>
            <w:vAlign w:val="bottom"/>
          </w:tcPr>
          <w:p w14:paraId="505CE0DF"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(.0000208)</w:t>
            </w:r>
          </w:p>
        </w:tc>
        <w:tc>
          <w:tcPr>
            <w:tcW w:w="0" w:type="auto"/>
            <w:tcBorders>
              <w:top w:val="nil"/>
              <w:left w:val="nil"/>
              <w:bottom w:val="nil"/>
              <w:right w:val="nil"/>
            </w:tcBorders>
            <w:shd w:val="clear" w:color="auto" w:fill="auto"/>
            <w:noWrap/>
            <w:vAlign w:val="bottom"/>
          </w:tcPr>
          <w:p w14:paraId="162BA30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(.0000208)</w:t>
            </w:r>
          </w:p>
        </w:tc>
        <w:tc>
          <w:tcPr>
            <w:tcW w:w="0" w:type="auto"/>
            <w:tcBorders>
              <w:top w:val="nil"/>
              <w:left w:val="nil"/>
              <w:bottom w:val="nil"/>
              <w:right w:val="nil"/>
            </w:tcBorders>
            <w:shd w:val="clear" w:color="auto" w:fill="auto"/>
            <w:noWrap/>
            <w:vAlign w:val="bottom"/>
          </w:tcPr>
          <w:p w14:paraId="231B13F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0DA00A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(3.09e-06)</w:t>
            </w:r>
          </w:p>
        </w:tc>
        <w:tc>
          <w:tcPr>
            <w:tcW w:w="0" w:type="auto"/>
            <w:tcBorders>
              <w:top w:val="nil"/>
              <w:left w:val="nil"/>
              <w:bottom w:val="nil"/>
              <w:right w:val="nil"/>
            </w:tcBorders>
            <w:shd w:val="clear" w:color="auto" w:fill="auto"/>
            <w:noWrap/>
            <w:vAlign w:val="bottom"/>
          </w:tcPr>
          <w:p w14:paraId="26583EF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(3.09e-06)</w:t>
            </w:r>
          </w:p>
        </w:tc>
        <w:tc>
          <w:tcPr>
            <w:tcW w:w="0" w:type="auto"/>
            <w:tcBorders>
              <w:top w:val="nil"/>
              <w:left w:val="nil"/>
              <w:bottom w:val="nil"/>
              <w:right w:val="nil"/>
            </w:tcBorders>
            <w:shd w:val="clear" w:color="auto" w:fill="auto"/>
            <w:noWrap/>
            <w:vAlign w:val="bottom"/>
          </w:tcPr>
          <w:p w14:paraId="227569D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(3.09e-06)</w:t>
            </w:r>
          </w:p>
        </w:tc>
      </w:tr>
      <w:tr w:rsidR="00E775FA" w:rsidRPr="006E6122" w14:paraId="50E22A24" w14:textId="77777777" w:rsidTr="00A02DF8">
        <w:trPr>
          <w:trHeight w:val="255"/>
        </w:trPr>
        <w:tc>
          <w:tcPr>
            <w:tcW w:w="0" w:type="auto"/>
            <w:tcBorders>
              <w:top w:val="nil"/>
              <w:left w:val="nil"/>
              <w:bottom w:val="nil"/>
              <w:right w:val="nil"/>
            </w:tcBorders>
            <w:shd w:val="clear" w:color="auto" w:fill="auto"/>
            <w:noWrap/>
            <w:vAlign w:val="bottom"/>
            <w:hideMark/>
          </w:tcPr>
          <w:p w14:paraId="1F573DD4"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0" w:type="auto"/>
            <w:tcBorders>
              <w:top w:val="nil"/>
              <w:left w:val="nil"/>
              <w:bottom w:val="nil"/>
              <w:right w:val="nil"/>
            </w:tcBorders>
            <w:shd w:val="clear" w:color="auto" w:fill="auto"/>
            <w:noWrap/>
            <w:vAlign w:val="bottom"/>
            <w:hideMark/>
          </w:tcPr>
          <w:p w14:paraId="70EBC322"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FA9D66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.357</w:t>
            </w:r>
          </w:p>
        </w:tc>
        <w:tc>
          <w:tcPr>
            <w:tcW w:w="0" w:type="auto"/>
            <w:tcBorders>
              <w:top w:val="nil"/>
              <w:left w:val="nil"/>
              <w:bottom w:val="nil"/>
              <w:right w:val="nil"/>
            </w:tcBorders>
            <w:shd w:val="clear" w:color="auto" w:fill="auto"/>
            <w:noWrap/>
            <w:vAlign w:val="bottom"/>
          </w:tcPr>
          <w:p w14:paraId="519217C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.348</w:t>
            </w:r>
          </w:p>
        </w:tc>
        <w:tc>
          <w:tcPr>
            <w:tcW w:w="0" w:type="auto"/>
            <w:tcBorders>
              <w:top w:val="nil"/>
              <w:left w:val="nil"/>
              <w:bottom w:val="nil"/>
              <w:right w:val="nil"/>
            </w:tcBorders>
            <w:shd w:val="clear" w:color="auto" w:fill="auto"/>
            <w:noWrap/>
            <w:vAlign w:val="bottom"/>
          </w:tcPr>
          <w:p w14:paraId="6CA75DF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.335</w:t>
            </w:r>
          </w:p>
        </w:tc>
        <w:tc>
          <w:tcPr>
            <w:tcW w:w="0" w:type="auto"/>
            <w:tcBorders>
              <w:top w:val="nil"/>
              <w:left w:val="nil"/>
              <w:bottom w:val="nil"/>
              <w:right w:val="nil"/>
            </w:tcBorders>
            <w:shd w:val="clear" w:color="auto" w:fill="auto"/>
            <w:noWrap/>
            <w:vAlign w:val="bottom"/>
          </w:tcPr>
          <w:p w14:paraId="6BCCFF2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264A7E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-1.52</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A8AEA37"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-1.519***</w:t>
            </w:r>
          </w:p>
        </w:tc>
        <w:tc>
          <w:tcPr>
            <w:tcW w:w="0" w:type="auto"/>
            <w:tcBorders>
              <w:top w:val="nil"/>
              <w:left w:val="nil"/>
              <w:bottom w:val="nil"/>
              <w:right w:val="nil"/>
            </w:tcBorders>
            <w:shd w:val="clear" w:color="auto" w:fill="auto"/>
            <w:noWrap/>
            <w:vAlign w:val="bottom"/>
          </w:tcPr>
          <w:p w14:paraId="1E4825E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-1.519***</w:t>
            </w:r>
          </w:p>
        </w:tc>
      </w:tr>
      <w:tr w:rsidR="00E775FA" w:rsidRPr="006E6122" w14:paraId="3F9068C8" w14:textId="77777777" w:rsidTr="00A02DF8">
        <w:trPr>
          <w:trHeight w:val="255"/>
        </w:trPr>
        <w:tc>
          <w:tcPr>
            <w:tcW w:w="0" w:type="auto"/>
            <w:tcBorders>
              <w:top w:val="nil"/>
              <w:left w:val="nil"/>
              <w:bottom w:val="nil"/>
              <w:right w:val="nil"/>
            </w:tcBorders>
            <w:shd w:val="clear" w:color="auto" w:fill="auto"/>
            <w:noWrap/>
            <w:vAlign w:val="bottom"/>
            <w:hideMark/>
          </w:tcPr>
          <w:p w14:paraId="0F777528"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74D63D58"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9FC538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(.228)</w:t>
            </w:r>
          </w:p>
        </w:tc>
        <w:tc>
          <w:tcPr>
            <w:tcW w:w="0" w:type="auto"/>
            <w:tcBorders>
              <w:top w:val="nil"/>
              <w:left w:val="nil"/>
              <w:bottom w:val="nil"/>
              <w:right w:val="nil"/>
            </w:tcBorders>
            <w:shd w:val="clear" w:color="auto" w:fill="auto"/>
            <w:noWrap/>
            <w:vAlign w:val="bottom"/>
          </w:tcPr>
          <w:p w14:paraId="401E285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(.228)</w:t>
            </w:r>
          </w:p>
        </w:tc>
        <w:tc>
          <w:tcPr>
            <w:tcW w:w="0" w:type="auto"/>
            <w:tcBorders>
              <w:top w:val="nil"/>
              <w:left w:val="nil"/>
              <w:bottom w:val="nil"/>
              <w:right w:val="nil"/>
            </w:tcBorders>
            <w:shd w:val="clear" w:color="auto" w:fill="auto"/>
            <w:noWrap/>
            <w:vAlign w:val="bottom"/>
          </w:tcPr>
          <w:p w14:paraId="5FFF069F"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(.228)</w:t>
            </w:r>
          </w:p>
        </w:tc>
        <w:tc>
          <w:tcPr>
            <w:tcW w:w="0" w:type="auto"/>
            <w:tcBorders>
              <w:top w:val="nil"/>
              <w:left w:val="nil"/>
              <w:bottom w:val="nil"/>
              <w:right w:val="nil"/>
            </w:tcBorders>
            <w:shd w:val="clear" w:color="auto" w:fill="auto"/>
            <w:noWrap/>
            <w:vAlign w:val="bottom"/>
          </w:tcPr>
          <w:p w14:paraId="55ADDA4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99AB6F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F6938C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2B331F5"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w:t>
            </w:r>
            <w:r w:rsidR="00C364B1">
              <w:rPr>
                <w:rFonts w:ascii="Calibri" w:hAnsi="Calibri" w:cs="Calibri"/>
                <w:sz w:val="20"/>
                <w:szCs w:val="20"/>
              </w:rPr>
              <w:t>0</w:t>
            </w:r>
            <w:r>
              <w:rPr>
                <w:rFonts w:ascii="Calibri" w:hAnsi="Calibri" w:cs="Calibri"/>
                <w:sz w:val="20"/>
                <w:szCs w:val="20"/>
              </w:rPr>
              <w:t>)</w:t>
            </w:r>
          </w:p>
        </w:tc>
      </w:tr>
      <w:tr w:rsidR="00E775FA" w:rsidRPr="006E6122" w14:paraId="69A2F394" w14:textId="77777777" w:rsidTr="00A02DF8">
        <w:trPr>
          <w:trHeight w:val="255"/>
        </w:trPr>
        <w:tc>
          <w:tcPr>
            <w:tcW w:w="0" w:type="auto"/>
            <w:tcBorders>
              <w:top w:val="nil"/>
              <w:left w:val="nil"/>
              <w:bottom w:val="nil"/>
              <w:right w:val="nil"/>
            </w:tcBorders>
            <w:shd w:val="clear" w:color="auto" w:fill="auto"/>
            <w:noWrap/>
            <w:vAlign w:val="bottom"/>
            <w:hideMark/>
          </w:tcPr>
          <w:p w14:paraId="2210A643"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0" w:type="auto"/>
            <w:tcBorders>
              <w:top w:val="nil"/>
              <w:left w:val="nil"/>
              <w:bottom w:val="nil"/>
              <w:right w:val="nil"/>
            </w:tcBorders>
            <w:shd w:val="clear" w:color="auto" w:fill="auto"/>
            <w:noWrap/>
            <w:vAlign w:val="bottom"/>
            <w:hideMark/>
          </w:tcPr>
          <w:p w14:paraId="73C71780"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7DD8E6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.713***</w:t>
            </w:r>
          </w:p>
        </w:tc>
        <w:tc>
          <w:tcPr>
            <w:tcW w:w="0" w:type="auto"/>
            <w:tcBorders>
              <w:top w:val="nil"/>
              <w:left w:val="nil"/>
              <w:bottom w:val="nil"/>
              <w:right w:val="nil"/>
            </w:tcBorders>
            <w:shd w:val="clear" w:color="auto" w:fill="auto"/>
            <w:noWrap/>
            <w:vAlign w:val="bottom"/>
          </w:tcPr>
          <w:p w14:paraId="49ADA81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.716***</w:t>
            </w:r>
          </w:p>
        </w:tc>
        <w:tc>
          <w:tcPr>
            <w:tcW w:w="0" w:type="auto"/>
            <w:tcBorders>
              <w:top w:val="nil"/>
              <w:left w:val="nil"/>
              <w:bottom w:val="nil"/>
              <w:right w:val="nil"/>
            </w:tcBorders>
            <w:shd w:val="clear" w:color="auto" w:fill="auto"/>
            <w:noWrap/>
            <w:vAlign w:val="bottom"/>
          </w:tcPr>
          <w:p w14:paraId="26155E0F"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.722***</w:t>
            </w:r>
          </w:p>
        </w:tc>
        <w:tc>
          <w:tcPr>
            <w:tcW w:w="0" w:type="auto"/>
            <w:tcBorders>
              <w:top w:val="nil"/>
              <w:left w:val="nil"/>
              <w:bottom w:val="nil"/>
              <w:right w:val="nil"/>
            </w:tcBorders>
            <w:shd w:val="clear" w:color="auto" w:fill="auto"/>
            <w:noWrap/>
            <w:vAlign w:val="bottom"/>
          </w:tcPr>
          <w:p w14:paraId="1CC61CA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746C74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.398***</w:t>
            </w:r>
          </w:p>
        </w:tc>
        <w:tc>
          <w:tcPr>
            <w:tcW w:w="0" w:type="auto"/>
            <w:tcBorders>
              <w:top w:val="nil"/>
              <w:left w:val="nil"/>
              <w:bottom w:val="nil"/>
              <w:right w:val="nil"/>
            </w:tcBorders>
            <w:shd w:val="clear" w:color="auto" w:fill="auto"/>
            <w:noWrap/>
            <w:vAlign w:val="bottom"/>
          </w:tcPr>
          <w:p w14:paraId="7158C67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.396***</w:t>
            </w:r>
          </w:p>
        </w:tc>
        <w:tc>
          <w:tcPr>
            <w:tcW w:w="0" w:type="auto"/>
            <w:tcBorders>
              <w:top w:val="nil"/>
              <w:left w:val="nil"/>
              <w:bottom w:val="nil"/>
              <w:right w:val="nil"/>
            </w:tcBorders>
            <w:shd w:val="clear" w:color="auto" w:fill="auto"/>
            <w:noWrap/>
            <w:vAlign w:val="bottom"/>
          </w:tcPr>
          <w:p w14:paraId="75C38A7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.396***</w:t>
            </w:r>
          </w:p>
        </w:tc>
      </w:tr>
      <w:tr w:rsidR="00E775FA" w:rsidRPr="006E6122" w14:paraId="2FEC2F9E" w14:textId="77777777" w:rsidTr="00A02DF8">
        <w:trPr>
          <w:trHeight w:val="255"/>
        </w:trPr>
        <w:tc>
          <w:tcPr>
            <w:tcW w:w="0" w:type="auto"/>
            <w:tcBorders>
              <w:top w:val="nil"/>
              <w:left w:val="nil"/>
              <w:bottom w:val="nil"/>
              <w:right w:val="nil"/>
            </w:tcBorders>
            <w:shd w:val="clear" w:color="auto" w:fill="auto"/>
            <w:noWrap/>
            <w:vAlign w:val="bottom"/>
            <w:hideMark/>
          </w:tcPr>
          <w:p w14:paraId="2B676F93"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3A302914"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4A4B377"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(.0417)</w:t>
            </w:r>
          </w:p>
        </w:tc>
        <w:tc>
          <w:tcPr>
            <w:tcW w:w="0" w:type="auto"/>
            <w:tcBorders>
              <w:top w:val="nil"/>
              <w:left w:val="nil"/>
              <w:bottom w:val="nil"/>
              <w:right w:val="nil"/>
            </w:tcBorders>
            <w:shd w:val="clear" w:color="auto" w:fill="auto"/>
            <w:noWrap/>
            <w:vAlign w:val="bottom"/>
          </w:tcPr>
          <w:p w14:paraId="1D85B5D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(.0421)</w:t>
            </w:r>
          </w:p>
        </w:tc>
        <w:tc>
          <w:tcPr>
            <w:tcW w:w="0" w:type="auto"/>
            <w:tcBorders>
              <w:top w:val="nil"/>
              <w:left w:val="nil"/>
              <w:bottom w:val="nil"/>
              <w:right w:val="nil"/>
            </w:tcBorders>
            <w:shd w:val="clear" w:color="auto" w:fill="auto"/>
            <w:noWrap/>
            <w:vAlign w:val="bottom"/>
          </w:tcPr>
          <w:p w14:paraId="2D9E029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(.0422)</w:t>
            </w:r>
          </w:p>
        </w:tc>
        <w:tc>
          <w:tcPr>
            <w:tcW w:w="0" w:type="auto"/>
            <w:tcBorders>
              <w:top w:val="nil"/>
              <w:left w:val="nil"/>
              <w:bottom w:val="nil"/>
              <w:right w:val="nil"/>
            </w:tcBorders>
            <w:shd w:val="clear" w:color="auto" w:fill="auto"/>
            <w:noWrap/>
            <w:vAlign w:val="bottom"/>
          </w:tcPr>
          <w:p w14:paraId="21D68D5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EF8E95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(.0106)</w:t>
            </w:r>
          </w:p>
        </w:tc>
        <w:tc>
          <w:tcPr>
            <w:tcW w:w="0" w:type="auto"/>
            <w:tcBorders>
              <w:top w:val="nil"/>
              <w:left w:val="nil"/>
              <w:bottom w:val="nil"/>
              <w:right w:val="nil"/>
            </w:tcBorders>
            <w:shd w:val="clear" w:color="auto" w:fill="auto"/>
            <w:noWrap/>
            <w:vAlign w:val="bottom"/>
          </w:tcPr>
          <w:p w14:paraId="6E1CAB4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(.0106)</w:t>
            </w:r>
          </w:p>
        </w:tc>
        <w:tc>
          <w:tcPr>
            <w:tcW w:w="0" w:type="auto"/>
            <w:tcBorders>
              <w:top w:val="nil"/>
              <w:left w:val="nil"/>
              <w:bottom w:val="nil"/>
              <w:right w:val="nil"/>
            </w:tcBorders>
            <w:shd w:val="clear" w:color="auto" w:fill="auto"/>
            <w:noWrap/>
            <w:vAlign w:val="bottom"/>
          </w:tcPr>
          <w:p w14:paraId="5CE3F2F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(.0106)</w:t>
            </w:r>
          </w:p>
        </w:tc>
      </w:tr>
      <w:tr w:rsidR="00E775FA" w:rsidRPr="006E6122" w14:paraId="6722BD8A" w14:textId="77777777" w:rsidTr="00A02DF8">
        <w:trPr>
          <w:trHeight w:val="255"/>
        </w:trPr>
        <w:tc>
          <w:tcPr>
            <w:tcW w:w="0" w:type="auto"/>
            <w:tcBorders>
              <w:top w:val="nil"/>
              <w:left w:val="nil"/>
              <w:bottom w:val="nil"/>
              <w:right w:val="nil"/>
            </w:tcBorders>
            <w:shd w:val="clear" w:color="auto" w:fill="auto"/>
            <w:noWrap/>
            <w:vAlign w:val="bottom"/>
            <w:hideMark/>
          </w:tcPr>
          <w:p w14:paraId="12EB83FD"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hideMark/>
          </w:tcPr>
          <w:p w14:paraId="70332E3D"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681D63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.113**</w:t>
            </w:r>
          </w:p>
        </w:tc>
        <w:tc>
          <w:tcPr>
            <w:tcW w:w="0" w:type="auto"/>
            <w:tcBorders>
              <w:top w:val="nil"/>
              <w:left w:val="nil"/>
              <w:bottom w:val="nil"/>
              <w:right w:val="nil"/>
            </w:tcBorders>
            <w:shd w:val="clear" w:color="auto" w:fill="auto"/>
            <w:noWrap/>
            <w:vAlign w:val="bottom"/>
          </w:tcPr>
          <w:p w14:paraId="6E04DA9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.112**</w:t>
            </w:r>
          </w:p>
        </w:tc>
        <w:tc>
          <w:tcPr>
            <w:tcW w:w="0" w:type="auto"/>
            <w:tcBorders>
              <w:top w:val="nil"/>
              <w:left w:val="nil"/>
              <w:bottom w:val="nil"/>
              <w:right w:val="nil"/>
            </w:tcBorders>
            <w:shd w:val="clear" w:color="auto" w:fill="auto"/>
            <w:noWrap/>
            <w:vAlign w:val="bottom"/>
          </w:tcPr>
          <w:p w14:paraId="4B41E8F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.12</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A93CC3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30E0417"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.39</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BBFC357"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.39</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66B5CA67"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.389***</w:t>
            </w:r>
          </w:p>
        </w:tc>
      </w:tr>
      <w:tr w:rsidR="00E775FA" w:rsidRPr="006E6122" w14:paraId="4FD8549C" w14:textId="77777777" w:rsidTr="00A02DF8">
        <w:trPr>
          <w:trHeight w:val="255"/>
        </w:trPr>
        <w:tc>
          <w:tcPr>
            <w:tcW w:w="0" w:type="auto"/>
            <w:tcBorders>
              <w:top w:val="nil"/>
              <w:left w:val="nil"/>
              <w:bottom w:val="nil"/>
              <w:right w:val="nil"/>
            </w:tcBorders>
            <w:shd w:val="clear" w:color="auto" w:fill="auto"/>
            <w:noWrap/>
            <w:vAlign w:val="bottom"/>
            <w:hideMark/>
          </w:tcPr>
          <w:p w14:paraId="3ACE3518"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13D7AB05"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3C8955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(.0524)</w:t>
            </w:r>
          </w:p>
        </w:tc>
        <w:tc>
          <w:tcPr>
            <w:tcW w:w="0" w:type="auto"/>
            <w:tcBorders>
              <w:top w:val="nil"/>
              <w:left w:val="nil"/>
              <w:bottom w:val="nil"/>
              <w:right w:val="nil"/>
            </w:tcBorders>
            <w:shd w:val="clear" w:color="auto" w:fill="auto"/>
            <w:noWrap/>
            <w:vAlign w:val="bottom"/>
          </w:tcPr>
          <w:p w14:paraId="5116F39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(.0525)</w:t>
            </w:r>
          </w:p>
        </w:tc>
        <w:tc>
          <w:tcPr>
            <w:tcW w:w="0" w:type="auto"/>
            <w:tcBorders>
              <w:top w:val="nil"/>
              <w:left w:val="nil"/>
              <w:bottom w:val="nil"/>
              <w:right w:val="nil"/>
            </w:tcBorders>
            <w:shd w:val="clear" w:color="auto" w:fill="auto"/>
            <w:noWrap/>
            <w:vAlign w:val="bottom"/>
          </w:tcPr>
          <w:p w14:paraId="788CBE4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(.0525)</w:t>
            </w:r>
          </w:p>
        </w:tc>
        <w:tc>
          <w:tcPr>
            <w:tcW w:w="0" w:type="auto"/>
            <w:tcBorders>
              <w:top w:val="nil"/>
              <w:left w:val="nil"/>
              <w:bottom w:val="nil"/>
              <w:right w:val="nil"/>
            </w:tcBorders>
            <w:shd w:val="clear" w:color="auto" w:fill="auto"/>
            <w:noWrap/>
            <w:vAlign w:val="bottom"/>
          </w:tcPr>
          <w:p w14:paraId="4A6C876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092692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(.0102)</w:t>
            </w:r>
          </w:p>
        </w:tc>
        <w:tc>
          <w:tcPr>
            <w:tcW w:w="0" w:type="auto"/>
            <w:tcBorders>
              <w:top w:val="nil"/>
              <w:left w:val="nil"/>
              <w:bottom w:val="nil"/>
              <w:right w:val="nil"/>
            </w:tcBorders>
            <w:shd w:val="clear" w:color="auto" w:fill="auto"/>
            <w:noWrap/>
            <w:vAlign w:val="bottom"/>
          </w:tcPr>
          <w:p w14:paraId="4BD80F7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(.0102)</w:t>
            </w:r>
          </w:p>
        </w:tc>
        <w:tc>
          <w:tcPr>
            <w:tcW w:w="0" w:type="auto"/>
            <w:tcBorders>
              <w:top w:val="nil"/>
              <w:left w:val="nil"/>
              <w:bottom w:val="nil"/>
              <w:right w:val="nil"/>
            </w:tcBorders>
            <w:shd w:val="clear" w:color="auto" w:fill="auto"/>
            <w:noWrap/>
            <w:vAlign w:val="bottom"/>
          </w:tcPr>
          <w:p w14:paraId="3AD671C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(.0102)</w:t>
            </w:r>
          </w:p>
        </w:tc>
      </w:tr>
      <w:tr w:rsidR="00E775FA" w:rsidRPr="006E6122" w14:paraId="51FCB04A" w14:textId="77777777" w:rsidTr="00A02DF8">
        <w:trPr>
          <w:trHeight w:val="255"/>
        </w:trPr>
        <w:tc>
          <w:tcPr>
            <w:tcW w:w="0" w:type="auto"/>
            <w:tcBorders>
              <w:top w:val="nil"/>
              <w:left w:val="nil"/>
              <w:bottom w:val="nil"/>
              <w:right w:val="nil"/>
            </w:tcBorders>
            <w:shd w:val="clear" w:color="auto" w:fill="auto"/>
            <w:noWrap/>
            <w:vAlign w:val="bottom"/>
            <w:hideMark/>
          </w:tcPr>
          <w:p w14:paraId="3932B2AC"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lastRenderedPageBreak/>
              <w:t>Unemployment</w:t>
            </w:r>
          </w:p>
        </w:tc>
        <w:tc>
          <w:tcPr>
            <w:tcW w:w="0" w:type="auto"/>
            <w:tcBorders>
              <w:top w:val="nil"/>
              <w:left w:val="nil"/>
              <w:bottom w:val="nil"/>
              <w:right w:val="nil"/>
            </w:tcBorders>
            <w:shd w:val="clear" w:color="auto" w:fill="auto"/>
            <w:noWrap/>
            <w:vAlign w:val="bottom"/>
            <w:hideMark/>
          </w:tcPr>
          <w:p w14:paraId="68FD4DB1"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89A7E0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.0673***</w:t>
            </w:r>
          </w:p>
        </w:tc>
        <w:tc>
          <w:tcPr>
            <w:tcW w:w="0" w:type="auto"/>
            <w:tcBorders>
              <w:top w:val="nil"/>
              <w:left w:val="nil"/>
              <w:bottom w:val="nil"/>
              <w:right w:val="nil"/>
            </w:tcBorders>
            <w:shd w:val="clear" w:color="auto" w:fill="auto"/>
            <w:noWrap/>
            <w:vAlign w:val="bottom"/>
          </w:tcPr>
          <w:p w14:paraId="39E0CC1F"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.067</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003A05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.067</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62B3D1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3D27AA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-.0291***</w:t>
            </w:r>
          </w:p>
        </w:tc>
        <w:tc>
          <w:tcPr>
            <w:tcW w:w="0" w:type="auto"/>
            <w:tcBorders>
              <w:top w:val="nil"/>
              <w:left w:val="nil"/>
              <w:bottom w:val="nil"/>
              <w:right w:val="nil"/>
            </w:tcBorders>
            <w:shd w:val="clear" w:color="auto" w:fill="auto"/>
            <w:noWrap/>
            <w:vAlign w:val="bottom"/>
          </w:tcPr>
          <w:p w14:paraId="1CB78F2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48FAA0E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w:t>
            </w:r>
            <w:r w:rsidR="00C364B1">
              <w:rPr>
                <w:rFonts w:ascii="Calibri" w:hAnsi="Calibri" w:cs="Calibri"/>
                <w:sz w:val="20"/>
                <w:szCs w:val="20"/>
              </w:rPr>
              <w:t>0</w:t>
            </w:r>
            <w:r>
              <w:rPr>
                <w:rFonts w:ascii="Calibri" w:hAnsi="Calibri" w:cs="Calibri"/>
                <w:sz w:val="20"/>
                <w:szCs w:val="20"/>
              </w:rPr>
              <w:t>***</w:t>
            </w:r>
          </w:p>
        </w:tc>
      </w:tr>
      <w:tr w:rsidR="00E775FA" w:rsidRPr="006E6122" w14:paraId="660A4645" w14:textId="77777777" w:rsidTr="00A02DF8">
        <w:trPr>
          <w:trHeight w:val="255"/>
        </w:trPr>
        <w:tc>
          <w:tcPr>
            <w:tcW w:w="0" w:type="auto"/>
            <w:tcBorders>
              <w:top w:val="nil"/>
              <w:left w:val="nil"/>
              <w:bottom w:val="nil"/>
              <w:right w:val="nil"/>
            </w:tcBorders>
            <w:shd w:val="clear" w:color="auto" w:fill="auto"/>
            <w:noWrap/>
            <w:vAlign w:val="bottom"/>
            <w:hideMark/>
          </w:tcPr>
          <w:p w14:paraId="6603DAF3"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3CF394D6"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7A1B98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(.00819)</w:t>
            </w:r>
          </w:p>
        </w:tc>
        <w:tc>
          <w:tcPr>
            <w:tcW w:w="0" w:type="auto"/>
            <w:tcBorders>
              <w:top w:val="nil"/>
              <w:left w:val="nil"/>
              <w:bottom w:val="nil"/>
              <w:right w:val="nil"/>
            </w:tcBorders>
            <w:shd w:val="clear" w:color="auto" w:fill="auto"/>
            <w:noWrap/>
            <w:vAlign w:val="bottom"/>
          </w:tcPr>
          <w:p w14:paraId="4258079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(.00818)</w:t>
            </w:r>
          </w:p>
        </w:tc>
        <w:tc>
          <w:tcPr>
            <w:tcW w:w="0" w:type="auto"/>
            <w:tcBorders>
              <w:top w:val="nil"/>
              <w:left w:val="nil"/>
              <w:bottom w:val="nil"/>
              <w:right w:val="nil"/>
            </w:tcBorders>
            <w:shd w:val="clear" w:color="auto" w:fill="auto"/>
            <w:noWrap/>
            <w:vAlign w:val="bottom"/>
          </w:tcPr>
          <w:p w14:paraId="46286D5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(.00819)</w:t>
            </w:r>
          </w:p>
        </w:tc>
        <w:tc>
          <w:tcPr>
            <w:tcW w:w="0" w:type="auto"/>
            <w:tcBorders>
              <w:top w:val="nil"/>
              <w:left w:val="nil"/>
              <w:bottom w:val="nil"/>
              <w:right w:val="nil"/>
            </w:tcBorders>
            <w:shd w:val="clear" w:color="auto" w:fill="auto"/>
            <w:noWrap/>
            <w:vAlign w:val="bottom"/>
          </w:tcPr>
          <w:p w14:paraId="17F6BC7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FA97E6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(.00207)</w:t>
            </w:r>
          </w:p>
        </w:tc>
        <w:tc>
          <w:tcPr>
            <w:tcW w:w="0" w:type="auto"/>
            <w:tcBorders>
              <w:top w:val="nil"/>
              <w:left w:val="nil"/>
              <w:bottom w:val="nil"/>
              <w:right w:val="nil"/>
            </w:tcBorders>
            <w:shd w:val="clear" w:color="auto" w:fill="auto"/>
            <w:noWrap/>
            <w:vAlign w:val="bottom"/>
          </w:tcPr>
          <w:p w14:paraId="5463B08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(.00207)</w:t>
            </w:r>
          </w:p>
        </w:tc>
        <w:tc>
          <w:tcPr>
            <w:tcW w:w="0" w:type="auto"/>
            <w:tcBorders>
              <w:top w:val="nil"/>
              <w:left w:val="nil"/>
              <w:bottom w:val="nil"/>
              <w:right w:val="nil"/>
            </w:tcBorders>
            <w:shd w:val="clear" w:color="auto" w:fill="auto"/>
            <w:noWrap/>
            <w:vAlign w:val="bottom"/>
          </w:tcPr>
          <w:p w14:paraId="0F77126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(.00207)</w:t>
            </w:r>
          </w:p>
        </w:tc>
      </w:tr>
      <w:tr w:rsidR="00E775FA" w:rsidRPr="006E6122" w14:paraId="09B3EA5A" w14:textId="77777777" w:rsidTr="00A02DF8">
        <w:trPr>
          <w:trHeight w:val="255"/>
        </w:trPr>
        <w:tc>
          <w:tcPr>
            <w:tcW w:w="0" w:type="auto"/>
            <w:tcBorders>
              <w:top w:val="nil"/>
              <w:left w:val="nil"/>
              <w:bottom w:val="nil"/>
              <w:right w:val="nil"/>
            </w:tcBorders>
            <w:shd w:val="clear" w:color="auto" w:fill="auto"/>
            <w:noWrap/>
            <w:vAlign w:val="bottom"/>
            <w:hideMark/>
          </w:tcPr>
          <w:p w14:paraId="3336B622"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0" w:type="auto"/>
            <w:tcBorders>
              <w:top w:val="nil"/>
              <w:left w:val="nil"/>
              <w:bottom w:val="nil"/>
              <w:right w:val="nil"/>
            </w:tcBorders>
            <w:shd w:val="clear" w:color="auto" w:fill="auto"/>
            <w:noWrap/>
            <w:vAlign w:val="bottom"/>
            <w:hideMark/>
          </w:tcPr>
          <w:p w14:paraId="54F613DC"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F64D32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-.0158***</w:t>
            </w:r>
          </w:p>
        </w:tc>
        <w:tc>
          <w:tcPr>
            <w:tcW w:w="0" w:type="auto"/>
            <w:tcBorders>
              <w:top w:val="nil"/>
              <w:left w:val="nil"/>
              <w:bottom w:val="nil"/>
              <w:right w:val="nil"/>
            </w:tcBorders>
            <w:shd w:val="clear" w:color="auto" w:fill="auto"/>
            <w:noWrap/>
            <w:vAlign w:val="bottom"/>
          </w:tcPr>
          <w:p w14:paraId="5A04B4F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-.0155***</w:t>
            </w:r>
          </w:p>
        </w:tc>
        <w:tc>
          <w:tcPr>
            <w:tcW w:w="0" w:type="auto"/>
            <w:tcBorders>
              <w:top w:val="nil"/>
              <w:left w:val="nil"/>
              <w:bottom w:val="nil"/>
              <w:right w:val="nil"/>
            </w:tcBorders>
            <w:shd w:val="clear" w:color="auto" w:fill="auto"/>
            <w:noWrap/>
            <w:vAlign w:val="bottom"/>
          </w:tcPr>
          <w:p w14:paraId="01A02EA6"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-.0155***</w:t>
            </w:r>
          </w:p>
        </w:tc>
        <w:tc>
          <w:tcPr>
            <w:tcW w:w="0" w:type="auto"/>
            <w:tcBorders>
              <w:top w:val="nil"/>
              <w:left w:val="nil"/>
              <w:bottom w:val="nil"/>
              <w:right w:val="nil"/>
            </w:tcBorders>
            <w:shd w:val="clear" w:color="auto" w:fill="auto"/>
            <w:noWrap/>
            <w:vAlign w:val="bottom"/>
          </w:tcPr>
          <w:p w14:paraId="792A3685"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37A909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-.0114***</w:t>
            </w:r>
          </w:p>
        </w:tc>
        <w:tc>
          <w:tcPr>
            <w:tcW w:w="0" w:type="auto"/>
            <w:tcBorders>
              <w:top w:val="nil"/>
              <w:left w:val="nil"/>
              <w:bottom w:val="nil"/>
              <w:right w:val="nil"/>
            </w:tcBorders>
            <w:shd w:val="clear" w:color="auto" w:fill="auto"/>
            <w:noWrap/>
            <w:vAlign w:val="bottom"/>
          </w:tcPr>
          <w:p w14:paraId="7008E09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-.0114***</w:t>
            </w:r>
          </w:p>
        </w:tc>
        <w:tc>
          <w:tcPr>
            <w:tcW w:w="0" w:type="auto"/>
            <w:tcBorders>
              <w:top w:val="nil"/>
              <w:left w:val="nil"/>
              <w:bottom w:val="nil"/>
              <w:right w:val="nil"/>
            </w:tcBorders>
            <w:shd w:val="clear" w:color="auto" w:fill="auto"/>
            <w:noWrap/>
            <w:vAlign w:val="bottom"/>
          </w:tcPr>
          <w:p w14:paraId="1F9DF45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-.0114***</w:t>
            </w:r>
          </w:p>
        </w:tc>
      </w:tr>
      <w:tr w:rsidR="00E775FA" w:rsidRPr="006E6122" w14:paraId="335F47F9" w14:textId="77777777" w:rsidTr="00A02DF8">
        <w:trPr>
          <w:trHeight w:val="255"/>
        </w:trPr>
        <w:tc>
          <w:tcPr>
            <w:tcW w:w="0" w:type="auto"/>
            <w:tcBorders>
              <w:top w:val="nil"/>
              <w:left w:val="nil"/>
              <w:bottom w:val="nil"/>
              <w:right w:val="nil"/>
            </w:tcBorders>
            <w:shd w:val="clear" w:color="auto" w:fill="auto"/>
            <w:noWrap/>
            <w:vAlign w:val="bottom"/>
            <w:hideMark/>
          </w:tcPr>
          <w:p w14:paraId="56324760"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61E90F0E"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4F37C7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(.00239)</w:t>
            </w:r>
          </w:p>
        </w:tc>
        <w:tc>
          <w:tcPr>
            <w:tcW w:w="0" w:type="auto"/>
            <w:tcBorders>
              <w:top w:val="nil"/>
              <w:left w:val="nil"/>
              <w:bottom w:val="nil"/>
              <w:right w:val="nil"/>
            </w:tcBorders>
            <w:shd w:val="clear" w:color="auto" w:fill="auto"/>
            <w:noWrap/>
            <w:vAlign w:val="bottom"/>
          </w:tcPr>
          <w:p w14:paraId="4BFB3FD8"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(.00238)</w:t>
            </w:r>
          </w:p>
        </w:tc>
        <w:tc>
          <w:tcPr>
            <w:tcW w:w="0" w:type="auto"/>
            <w:tcBorders>
              <w:top w:val="nil"/>
              <w:left w:val="nil"/>
              <w:bottom w:val="nil"/>
              <w:right w:val="nil"/>
            </w:tcBorders>
            <w:shd w:val="clear" w:color="auto" w:fill="auto"/>
            <w:noWrap/>
            <w:vAlign w:val="bottom"/>
          </w:tcPr>
          <w:p w14:paraId="00CD0E0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(.00238)</w:t>
            </w:r>
          </w:p>
        </w:tc>
        <w:tc>
          <w:tcPr>
            <w:tcW w:w="0" w:type="auto"/>
            <w:tcBorders>
              <w:top w:val="nil"/>
              <w:left w:val="nil"/>
              <w:bottom w:val="nil"/>
              <w:right w:val="nil"/>
            </w:tcBorders>
            <w:shd w:val="clear" w:color="auto" w:fill="auto"/>
            <w:noWrap/>
            <w:vAlign w:val="bottom"/>
          </w:tcPr>
          <w:p w14:paraId="55A0AE4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04A1A4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(.000417)</w:t>
            </w:r>
          </w:p>
        </w:tc>
        <w:tc>
          <w:tcPr>
            <w:tcW w:w="0" w:type="auto"/>
            <w:tcBorders>
              <w:top w:val="nil"/>
              <w:left w:val="nil"/>
              <w:bottom w:val="nil"/>
              <w:right w:val="nil"/>
            </w:tcBorders>
            <w:shd w:val="clear" w:color="auto" w:fill="auto"/>
            <w:noWrap/>
            <w:vAlign w:val="bottom"/>
          </w:tcPr>
          <w:p w14:paraId="05DE13B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(.000417)</w:t>
            </w:r>
          </w:p>
        </w:tc>
        <w:tc>
          <w:tcPr>
            <w:tcW w:w="0" w:type="auto"/>
            <w:tcBorders>
              <w:top w:val="nil"/>
              <w:left w:val="nil"/>
              <w:bottom w:val="nil"/>
              <w:right w:val="nil"/>
            </w:tcBorders>
            <w:shd w:val="clear" w:color="auto" w:fill="auto"/>
            <w:noWrap/>
            <w:vAlign w:val="bottom"/>
          </w:tcPr>
          <w:p w14:paraId="33A7471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(.000417)</w:t>
            </w:r>
          </w:p>
        </w:tc>
      </w:tr>
      <w:tr w:rsidR="00E775FA" w:rsidRPr="006E6122" w14:paraId="75B82127" w14:textId="77777777" w:rsidTr="00A02DF8">
        <w:trPr>
          <w:trHeight w:val="255"/>
        </w:trPr>
        <w:tc>
          <w:tcPr>
            <w:tcW w:w="0" w:type="auto"/>
            <w:tcBorders>
              <w:top w:val="nil"/>
              <w:left w:val="nil"/>
              <w:bottom w:val="nil"/>
              <w:right w:val="nil"/>
            </w:tcBorders>
            <w:shd w:val="clear" w:color="auto" w:fill="auto"/>
            <w:noWrap/>
            <w:vAlign w:val="bottom"/>
            <w:hideMark/>
          </w:tcPr>
          <w:p w14:paraId="6958F6A4" w14:textId="77777777" w:rsidR="00E775FA" w:rsidRPr="004961A2" w:rsidRDefault="00E775FA"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0" w:type="auto"/>
            <w:tcBorders>
              <w:top w:val="nil"/>
              <w:left w:val="nil"/>
              <w:bottom w:val="nil"/>
              <w:right w:val="nil"/>
            </w:tcBorders>
            <w:shd w:val="clear" w:color="auto" w:fill="auto"/>
            <w:noWrap/>
            <w:vAlign w:val="bottom"/>
            <w:hideMark/>
          </w:tcPr>
          <w:p w14:paraId="14FAF3F5"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A6DB39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-.162***</w:t>
            </w:r>
          </w:p>
        </w:tc>
        <w:tc>
          <w:tcPr>
            <w:tcW w:w="0" w:type="auto"/>
            <w:tcBorders>
              <w:top w:val="nil"/>
              <w:left w:val="nil"/>
              <w:bottom w:val="nil"/>
              <w:right w:val="nil"/>
            </w:tcBorders>
            <w:shd w:val="clear" w:color="auto" w:fill="auto"/>
            <w:noWrap/>
            <w:vAlign w:val="bottom"/>
          </w:tcPr>
          <w:p w14:paraId="5D8F09B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-.161***</w:t>
            </w:r>
          </w:p>
        </w:tc>
        <w:tc>
          <w:tcPr>
            <w:tcW w:w="0" w:type="auto"/>
            <w:tcBorders>
              <w:top w:val="nil"/>
              <w:left w:val="nil"/>
              <w:bottom w:val="nil"/>
              <w:right w:val="nil"/>
            </w:tcBorders>
            <w:shd w:val="clear" w:color="auto" w:fill="auto"/>
            <w:noWrap/>
            <w:vAlign w:val="bottom"/>
          </w:tcPr>
          <w:p w14:paraId="53754A89"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-.159***</w:t>
            </w:r>
          </w:p>
        </w:tc>
        <w:tc>
          <w:tcPr>
            <w:tcW w:w="0" w:type="auto"/>
            <w:tcBorders>
              <w:top w:val="nil"/>
              <w:left w:val="nil"/>
              <w:bottom w:val="nil"/>
              <w:right w:val="nil"/>
            </w:tcBorders>
            <w:shd w:val="clear" w:color="auto" w:fill="auto"/>
            <w:noWrap/>
            <w:vAlign w:val="bottom"/>
          </w:tcPr>
          <w:p w14:paraId="55B9506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14F133B"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-.0838***</w:t>
            </w:r>
          </w:p>
        </w:tc>
        <w:tc>
          <w:tcPr>
            <w:tcW w:w="0" w:type="auto"/>
            <w:tcBorders>
              <w:top w:val="nil"/>
              <w:left w:val="nil"/>
              <w:bottom w:val="nil"/>
              <w:right w:val="nil"/>
            </w:tcBorders>
            <w:shd w:val="clear" w:color="auto" w:fill="auto"/>
            <w:noWrap/>
            <w:vAlign w:val="bottom"/>
          </w:tcPr>
          <w:p w14:paraId="11A189A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-.0851***</w:t>
            </w:r>
          </w:p>
        </w:tc>
        <w:tc>
          <w:tcPr>
            <w:tcW w:w="0" w:type="auto"/>
            <w:tcBorders>
              <w:top w:val="nil"/>
              <w:left w:val="nil"/>
              <w:bottom w:val="nil"/>
              <w:right w:val="nil"/>
            </w:tcBorders>
            <w:shd w:val="clear" w:color="auto" w:fill="auto"/>
            <w:noWrap/>
            <w:vAlign w:val="bottom"/>
          </w:tcPr>
          <w:p w14:paraId="7D2B0051"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-.0848***</w:t>
            </w:r>
          </w:p>
        </w:tc>
      </w:tr>
      <w:tr w:rsidR="00E775FA" w:rsidRPr="006E6122" w14:paraId="0009CE0F" w14:textId="77777777" w:rsidTr="00A02DF8">
        <w:trPr>
          <w:trHeight w:val="255"/>
        </w:trPr>
        <w:tc>
          <w:tcPr>
            <w:tcW w:w="0" w:type="auto"/>
            <w:tcBorders>
              <w:top w:val="nil"/>
              <w:left w:val="nil"/>
              <w:bottom w:val="nil"/>
              <w:right w:val="nil"/>
            </w:tcBorders>
            <w:shd w:val="clear" w:color="auto" w:fill="auto"/>
            <w:noWrap/>
            <w:vAlign w:val="bottom"/>
            <w:hideMark/>
          </w:tcPr>
          <w:p w14:paraId="33DCCD94"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38C77CB6"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80812B4"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(.0414)</w:t>
            </w:r>
          </w:p>
        </w:tc>
        <w:tc>
          <w:tcPr>
            <w:tcW w:w="0" w:type="auto"/>
            <w:tcBorders>
              <w:top w:val="nil"/>
              <w:left w:val="nil"/>
              <w:bottom w:val="nil"/>
              <w:right w:val="nil"/>
            </w:tcBorders>
            <w:shd w:val="clear" w:color="auto" w:fill="auto"/>
            <w:noWrap/>
            <w:vAlign w:val="bottom"/>
          </w:tcPr>
          <w:p w14:paraId="48C27342"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(.0415)</w:t>
            </w:r>
          </w:p>
        </w:tc>
        <w:tc>
          <w:tcPr>
            <w:tcW w:w="0" w:type="auto"/>
            <w:tcBorders>
              <w:top w:val="nil"/>
              <w:left w:val="nil"/>
              <w:bottom w:val="nil"/>
              <w:right w:val="nil"/>
            </w:tcBorders>
            <w:shd w:val="clear" w:color="auto" w:fill="auto"/>
            <w:noWrap/>
            <w:vAlign w:val="bottom"/>
          </w:tcPr>
          <w:p w14:paraId="66CC8C15"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(.0413)</w:t>
            </w:r>
          </w:p>
        </w:tc>
        <w:tc>
          <w:tcPr>
            <w:tcW w:w="0" w:type="auto"/>
            <w:tcBorders>
              <w:top w:val="nil"/>
              <w:left w:val="nil"/>
              <w:bottom w:val="nil"/>
              <w:right w:val="nil"/>
            </w:tcBorders>
            <w:shd w:val="clear" w:color="auto" w:fill="auto"/>
            <w:noWrap/>
            <w:vAlign w:val="bottom"/>
          </w:tcPr>
          <w:p w14:paraId="5026EB0D"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014415F"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(.00823)</w:t>
            </w:r>
          </w:p>
        </w:tc>
        <w:tc>
          <w:tcPr>
            <w:tcW w:w="0" w:type="auto"/>
            <w:tcBorders>
              <w:top w:val="nil"/>
              <w:left w:val="nil"/>
              <w:bottom w:val="nil"/>
              <w:right w:val="nil"/>
            </w:tcBorders>
            <w:shd w:val="clear" w:color="auto" w:fill="auto"/>
            <w:noWrap/>
            <w:vAlign w:val="bottom"/>
          </w:tcPr>
          <w:p w14:paraId="241C7F5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(.00824)</w:t>
            </w:r>
          </w:p>
        </w:tc>
        <w:tc>
          <w:tcPr>
            <w:tcW w:w="0" w:type="auto"/>
            <w:tcBorders>
              <w:top w:val="nil"/>
              <w:left w:val="nil"/>
              <w:bottom w:val="nil"/>
              <w:right w:val="nil"/>
            </w:tcBorders>
            <w:shd w:val="clear" w:color="auto" w:fill="auto"/>
            <w:noWrap/>
            <w:vAlign w:val="bottom"/>
          </w:tcPr>
          <w:p w14:paraId="744E6F1E" w14:textId="77777777" w:rsidR="00E775FA" w:rsidRPr="00356B3D" w:rsidRDefault="00E775FA"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(.00825)</w:t>
            </w:r>
          </w:p>
        </w:tc>
      </w:tr>
      <w:tr w:rsidR="00E775FA" w:rsidRPr="006E6122" w14:paraId="25F58595" w14:textId="77777777" w:rsidTr="00A02DF8">
        <w:trPr>
          <w:trHeight w:val="255"/>
        </w:trPr>
        <w:tc>
          <w:tcPr>
            <w:tcW w:w="0" w:type="auto"/>
            <w:tcBorders>
              <w:top w:val="nil"/>
              <w:left w:val="nil"/>
              <w:bottom w:val="nil"/>
              <w:right w:val="nil"/>
            </w:tcBorders>
            <w:shd w:val="clear" w:color="auto" w:fill="auto"/>
            <w:noWrap/>
            <w:vAlign w:val="bottom"/>
            <w:hideMark/>
          </w:tcPr>
          <w:p w14:paraId="1332C82E" w14:textId="77777777" w:rsidR="00E775FA" w:rsidRPr="006E6122" w:rsidRDefault="00E775FA"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1E363F11" w14:textId="77777777" w:rsidR="00E775FA" w:rsidRPr="006E6122" w:rsidRDefault="00E775FA"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21E32B5"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B8C0E9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719741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687E5FC"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68EB48A"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BB0CA40"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84BFB53" w14:textId="77777777" w:rsidR="00E775FA" w:rsidRPr="00356B3D" w:rsidRDefault="00E775FA" w:rsidP="00A02DF8">
            <w:pPr>
              <w:spacing w:after="0" w:line="240" w:lineRule="auto"/>
              <w:contextualSpacing/>
              <w:jc w:val="center"/>
              <w:rPr>
                <w:rFonts w:ascii="Calibri" w:eastAsia="Times New Roman" w:hAnsi="Calibri" w:cs="Calibri"/>
                <w:sz w:val="20"/>
                <w:szCs w:val="20"/>
              </w:rPr>
            </w:pPr>
          </w:p>
        </w:tc>
      </w:tr>
      <w:tr w:rsidR="00E775FA" w:rsidRPr="006E6122" w14:paraId="12AD6E0D" w14:textId="77777777" w:rsidTr="00A02DF8">
        <w:trPr>
          <w:trHeight w:val="255"/>
        </w:trPr>
        <w:tc>
          <w:tcPr>
            <w:tcW w:w="0" w:type="auto"/>
            <w:tcBorders>
              <w:top w:val="nil"/>
              <w:left w:val="nil"/>
              <w:bottom w:val="nil"/>
              <w:right w:val="nil"/>
            </w:tcBorders>
            <w:shd w:val="clear" w:color="auto" w:fill="auto"/>
            <w:noWrap/>
            <w:vAlign w:val="bottom"/>
            <w:hideMark/>
          </w:tcPr>
          <w:p w14:paraId="57126438"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Observations</w:t>
            </w:r>
          </w:p>
        </w:tc>
        <w:tc>
          <w:tcPr>
            <w:tcW w:w="0" w:type="auto"/>
            <w:tcBorders>
              <w:top w:val="nil"/>
              <w:left w:val="nil"/>
              <w:bottom w:val="nil"/>
              <w:right w:val="nil"/>
            </w:tcBorders>
            <w:shd w:val="clear" w:color="auto" w:fill="auto"/>
            <w:noWrap/>
            <w:vAlign w:val="bottom"/>
            <w:hideMark/>
          </w:tcPr>
          <w:p w14:paraId="779B8FEF"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5EDAAA1"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3,543,285</w:t>
            </w:r>
          </w:p>
        </w:tc>
        <w:tc>
          <w:tcPr>
            <w:tcW w:w="0" w:type="auto"/>
            <w:tcBorders>
              <w:top w:val="nil"/>
              <w:left w:val="nil"/>
              <w:bottom w:val="nil"/>
              <w:right w:val="nil"/>
            </w:tcBorders>
            <w:shd w:val="clear" w:color="auto" w:fill="auto"/>
            <w:noWrap/>
            <w:vAlign w:val="bottom"/>
          </w:tcPr>
          <w:p w14:paraId="29B79E0F"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3,543,285</w:t>
            </w:r>
          </w:p>
        </w:tc>
        <w:tc>
          <w:tcPr>
            <w:tcW w:w="0" w:type="auto"/>
            <w:tcBorders>
              <w:top w:val="nil"/>
              <w:left w:val="nil"/>
              <w:bottom w:val="nil"/>
              <w:right w:val="nil"/>
            </w:tcBorders>
            <w:shd w:val="clear" w:color="auto" w:fill="auto"/>
            <w:noWrap/>
            <w:vAlign w:val="bottom"/>
          </w:tcPr>
          <w:p w14:paraId="04376870"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3,543,285</w:t>
            </w:r>
          </w:p>
        </w:tc>
        <w:tc>
          <w:tcPr>
            <w:tcW w:w="0" w:type="auto"/>
            <w:tcBorders>
              <w:top w:val="nil"/>
              <w:left w:val="nil"/>
              <w:bottom w:val="nil"/>
              <w:right w:val="nil"/>
            </w:tcBorders>
            <w:shd w:val="clear" w:color="auto" w:fill="auto"/>
            <w:noWrap/>
            <w:vAlign w:val="center"/>
          </w:tcPr>
          <w:p w14:paraId="5CAE52FF" w14:textId="77777777" w:rsidR="00E775FA" w:rsidRPr="00356B3D" w:rsidRDefault="00E775FA" w:rsidP="00A02DF8">
            <w:pPr>
              <w:spacing w:after="0" w:line="240" w:lineRule="auto"/>
              <w:contextualSpacing/>
              <w:jc w:val="right"/>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6B2F753"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3,543,285</w:t>
            </w:r>
          </w:p>
        </w:tc>
        <w:tc>
          <w:tcPr>
            <w:tcW w:w="0" w:type="auto"/>
            <w:tcBorders>
              <w:top w:val="nil"/>
              <w:left w:val="nil"/>
              <w:bottom w:val="nil"/>
              <w:right w:val="nil"/>
            </w:tcBorders>
            <w:shd w:val="clear" w:color="auto" w:fill="auto"/>
            <w:noWrap/>
            <w:vAlign w:val="bottom"/>
          </w:tcPr>
          <w:p w14:paraId="3AC6FA34"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3,543,285</w:t>
            </w:r>
          </w:p>
        </w:tc>
        <w:tc>
          <w:tcPr>
            <w:tcW w:w="0" w:type="auto"/>
            <w:tcBorders>
              <w:top w:val="nil"/>
              <w:left w:val="nil"/>
              <w:bottom w:val="nil"/>
              <w:right w:val="nil"/>
            </w:tcBorders>
            <w:shd w:val="clear" w:color="auto" w:fill="auto"/>
            <w:noWrap/>
            <w:vAlign w:val="bottom"/>
          </w:tcPr>
          <w:p w14:paraId="7E796891"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3,543,285</w:t>
            </w:r>
          </w:p>
        </w:tc>
      </w:tr>
      <w:tr w:rsidR="00E775FA" w:rsidRPr="006E6122" w14:paraId="57BAB0E3" w14:textId="77777777" w:rsidTr="00A02DF8">
        <w:trPr>
          <w:trHeight w:val="255"/>
        </w:trPr>
        <w:tc>
          <w:tcPr>
            <w:tcW w:w="0" w:type="auto"/>
            <w:tcBorders>
              <w:top w:val="nil"/>
              <w:left w:val="nil"/>
              <w:bottom w:val="nil"/>
              <w:right w:val="nil"/>
            </w:tcBorders>
            <w:shd w:val="clear" w:color="auto" w:fill="auto"/>
            <w:noWrap/>
            <w:vAlign w:val="bottom"/>
            <w:hideMark/>
          </w:tcPr>
          <w:p w14:paraId="2263A771"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Loans</w:t>
            </w:r>
          </w:p>
        </w:tc>
        <w:tc>
          <w:tcPr>
            <w:tcW w:w="0" w:type="auto"/>
            <w:tcBorders>
              <w:top w:val="nil"/>
              <w:left w:val="nil"/>
              <w:bottom w:val="nil"/>
              <w:right w:val="nil"/>
            </w:tcBorders>
            <w:shd w:val="clear" w:color="auto" w:fill="auto"/>
            <w:noWrap/>
            <w:vAlign w:val="bottom"/>
            <w:hideMark/>
          </w:tcPr>
          <w:p w14:paraId="641B4ECC" w14:textId="77777777" w:rsidR="00E775FA" w:rsidRPr="006E6122" w:rsidRDefault="00E775FA" w:rsidP="00A02DF8">
            <w:pPr>
              <w:spacing w:after="0" w:line="240" w:lineRule="auto"/>
              <w:contextualSpacing/>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6AAE385"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87,917</w:t>
            </w:r>
          </w:p>
        </w:tc>
        <w:tc>
          <w:tcPr>
            <w:tcW w:w="0" w:type="auto"/>
            <w:tcBorders>
              <w:top w:val="nil"/>
              <w:left w:val="nil"/>
              <w:bottom w:val="nil"/>
              <w:right w:val="nil"/>
            </w:tcBorders>
            <w:shd w:val="clear" w:color="auto" w:fill="auto"/>
            <w:noWrap/>
            <w:vAlign w:val="bottom"/>
          </w:tcPr>
          <w:p w14:paraId="64E71F02"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87,917</w:t>
            </w:r>
          </w:p>
        </w:tc>
        <w:tc>
          <w:tcPr>
            <w:tcW w:w="0" w:type="auto"/>
            <w:tcBorders>
              <w:top w:val="nil"/>
              <w:left w:val="nil"/>
              <w:bottom w:val="nil"/>
              <w:right w:val="nil"/>
            </w:tcBorders>
            <w:shd w:val="clear" w:color="auto" w:fill="auto"/>
            <w:noWrap/>
            <w:vAlign w:val="bottom"/>
          </w:tcPr>
          <w:p w14:paraId="119D8AB0"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87,917</w:t>
            </w:r>
          </w:p>
        </w:tc>
        <w:tc>
          <w:tcPr>
            <w:tcW w:w="0" w:type="auto"/>
            <w:tcBorders>
              <w:top w:val="nil"/>
              <w:left w:val="nil"/>
              <w:bottom w:val="nil"/>
              <w:right w:val="nil"/>
            </w:tcBorders>
            <w:shd w:val="clear" w:color="auto" w:fill="auto"/>
            <w:noWrap/>
            <w:vAlign w:val="center"/>
          </w:tcPr>
          <w:p w14:paraId="63DE382F" w14:textId="77777777" w:rsidR="00E775FA" w:rsidRPr="00356B3D" w:rsidRDefault="00E775FA" w:rsidP="00A02DF8">
            <w:pPr>
              <w:spacing w:after="0" w:line="240" w:lineRule="auto"/>
              <w:contextualSpacing/>
              <w:jc w:val="right"/>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F1E5065"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87,917</w:t>
            </w:r>
          </w:p>
        </w:tc>
        <w:tc>
          <w:tcPr>
            <w:tcW w:w="0" w:type="auto"/>
            <w:tcBorders>
              <w:top w:val="nil"/>
              <w:left w:val="nil"/>
              <w:bottom w:val="nil"/>
              <w:right w:val="nil"/>
            </w:tcBorders>
            <w:shd w:val="clear" w:color="auto" w:fill="auto"/>
            <w:noWrap/>
            <w:vAlign w:val="bottom"/>
          </w:tcPr>
          <w:p w14:paraId="28FF0D0F"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87,917</w:t>
            </w:r>
          </w:p>
        </w:tc>
        <w:tc>
          <w:tcPr>
            <w:tcW w:w="0" w:type="auto"/>
            <w:tcBorders>
              <w:top w:val="nil"/>
              <w:left w:val="nil"/>
              <w:bottom w:val="nil"/>
              <w:right w:val="nil"/>
            </w:tcBorders>
            <w:shd w:val="clear" w:color="auto" w:fill="auto"/>
            <w:noWrap/>
            <w:vAlign w:val="bottom"/>
          </w:tcPr>
          <w:p w14:paraId="5BA4AE2C"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87,917</w:t>
            </w:r>
          </w:p>
        </w:tc>
      </w:tr>
      <w:tr w:rsidR="00E775FA" w:rsidRPr="006E6122" w14:paraId="02213B48" w14:textId="77777777" w:rsidTr="00A02DF8">
        <w:trPr>
          <w:trHeight w:val="255"/>
        </w:trPr>
        <w:tc>
          <w:tcPr>
            <w:tcW w:w="0" w:type="auto"/>
            <w:tcBorders>
              <w:top w:val="nil"/>
              <w:left w:val="nil"/>
              <w:bottom w:val="single" w:sz="4" w:space="0" w:color="auto"/>
              <w:right w:val="nil"/>
            </w:tcBorders>
            <w:shd w:val="clear" w:color="auto" w:fill="auto"/>
            <w:noWrap/>
            <w:vAlign w:val="bottom"/>
            <w:hideMark/>
          </w:tcPr>
          <w:p w14:paraId="3020EBAD" w14:textId="77777777" w:rsidR="00E775FA" w:rsidRPr="006E6122" w:rsidRDefault="00E775FA" w:rsidP="00A02DF8">
            <w:pPr>
              <w:spacing w:after="0" w:line="240" w:lineRule="auto"/>
              <w:contextualSpacing/>
              <w:rPr>
                <w:rFonts w:ascii="Calibri" w:eastAsia="Times New Roman" w:hAnsi="Calibri" w:cs="Calibri"/>
                <w:sz w:val="20"/>
                <w:szCs w:val="20"/>
                <w:vertAlign w:val="superscript"/>
              </w:rPr>
            </w:pPr>
            <w:r w:rsidRPr="006E6122">
              <w:rPr>
                <w:rFonts w:ascii="Calibri" w:eastAsia="Times New Roman" w:hAnsi="Calibri" w:cs="Calibri"/>
                <w:sz w:val="20"/>
                <w:szCs w:val="20"/>
              </w:rPr>
              <w:t>Pseudo R</w:t>
            </w:r>
            <w:r>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hideMark/>
          </w:tcPr>
          <w:p w14:paraId="79FE254F" w14:textId="77777777" w:rsidR="00E775FA" w:rsidRPr="006E6122" w:rsidRDefault="00E775FA"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tcPr>
          <w:p w14:paraId="25EA4342"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0.047</w:t>
            </w:r>
          </w:p>
        </w:tc>
        <w:tc>
          <w:tcPr>
            <w:tcW w:w="0" w:type="auto"/>
            <w:tcBorders>
              <w:top w:val="nil"/>
              <w:left w:val="nil"/>
              <w:bottom w:val="single" w:sz="4" w:space="0" w:color="auto"/>
              <w:right w:val="nil"/>
            </w:tcBorders>
            <w:shd w:val="clear" w:color="auto" w:fill="auto"/>
            <w:noWrap/>
            <w:vAlign w:val="bottom"/>
          </w:tcPr>
          <w:p w14:paraId="272302AF"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0.047</w:t>
            </w:r>
          </w:p>
        </w:tc>
        <w:tc>
          <w:tcPr>
            <w:tcW w:w="0" w:type="auto"/>
            <w:tcBorders>
              <w:top w:val="nil"/>
              <w:left w:val="nil"/>
              <w:bottom w:val="single" w:sz="4" w:space="0" w:color="auto"/>
              <w:right w:val="nil"/>
            </w:tcBorders>
            <w:shd w:val="clear" w:color="auto" w:fill="auto"/>
            <w:noWrap/>
            <w:vAlign w:val="bottom"/>
          </w:tcPr>
          <w:p w14:paraId="052AC6E6"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0.047</w:t>
            </w:r>
          </w:p>
        </w:tc>
        <w:tc>
          <w:tcPr>
            <w:tcW w:w="0" w:type="auto"/>
            <w:tcBorders>
              <w:top w:val="nil"/>
              <w:left w:val="nil"/>
              <w:bottom w:val="single" w:sz="4" w:space="0" w:color="auto"/>
              <w:right w:val="nil"/>
            </w:tcBorders>
            <w:shd w:val="clear" w:color="auto" w:fill="auto"/>
            <w:noWrap/>
            <w:vAlign w:val="center"/>
          </w:tcPr>
          <w:p w14:paraId="551D186E" w14:textId="77777777" w:rsidR="00E775FA" w:rsidRPr="00356B3D" w:rsidRDefault="00E775FA" w:rsidP="00A02DF8">
            <w:pPr>
              <w:spacing w:after="0" w:line="240" w:lineRule="auto"/>
              <w:contextualSpacing/>
              <w:jc w:val="right"/>
              <w:rPr>
                <w:rFonts w:ascii="Calibri" w:eastAsia="Times New Roman" w:hAnsi="Calibri" w:cs="Calibri"/>
                <w:sz w:val="20"/>
                <w:szCs w:val="20"/>
              </w:rPr>
            </w:pPr>
          </w:p>
        </w:tc>
        <w:tc>
          <w:tcPr>
            <w:tcW w:w="0" w:type="auto"/>
            <w:tcBorders>
              <w:top w:val="nil"/>
              <w:left w:val="nil"/>
              <w:bottom w:val="single" w:sz="4" w:space="0" w:color="auto"/>
              <w:right w:val="nil"/>
            </w:tcBorders>
            <w:shd w:val="clear" w:color="auto" w:fill="auto"/>
            <w:noWrap/>
            <w:vAlign w:val="bottom"/>
          </w:tcPr>
          <w:p w14:paraId="583F1A9D"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0.047</w:t>
            </w:r>
          </w:p>
        </w:tc>
        <w:tc>
          <w:tcPr>
            <w:tcW w:w="0" w:type="auto"/>
            <w:tcBorders>
              <w:top w:val="nil"/>
              <w:left w:val="nil"/>
              <w:bottom w:val="single" w:sz="4" w:space="0" w:color="auto"/>
              <w:right w:val="nil"/>
            </w:tcBorders>
            <w:shd w:val="clear" w:color="auto" w:fill="auto"/>
            <w:noWrap/>
            <w:vAlign w:val="bottom"/>
          </w:tcPr>
          <w:p w14:paraId="07ECCD09"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0.047</w:t>
            </w:r>
          </w:p>
        </w:tc>
        <w:tc>
          <w:tcPr>
            <w:tcW w:w="0" w:type="auto"/>
            <w:tcBorders>
              <w:top w:val="nil"/>
              <w:left w:val="nil"/>
              <w:bottom w:val="single" w:sz="4" w:space="0" w:color="auto"/>
              <w:right w:val="nil"/>
            </w:tcBorders>
            <w:shd w:val="clear" w:color="auto" w:fill="auto"/>
            <w:noWrap/>
            <w:vAlign w:val="bottom"/>
          </w:tcPr>
          <w:p w14:paraId="22827723" w14:textId="77777777" w:rsidR="00E775FA" w:rsidRPr="00356B3D" w:rsidRDefault="00E775FA"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0.047</w:t>
            </w:r>
          </w:p>
        </w:tc>
      </w:tr>
    </w:tbl>
    <w:p w14:paraId="4FEBEA29" w14:textId="77777777" w:rsidR="00FD4CDF" w:rsidRDefault="00FD4CDF" w:rsidP="00A02DF8">
      <w:pPr>
        <w:spacing w:after="0"/>
        <w:contextualSpacing/>
      </w:pPr>
    </w:p>
    <w:p w14:paraId="2882F8CC" w14:textId="77777777" w:rsidR="00FD4CDF" w:rsidRDefault="00FD4CDF" w:rsidP="00A02DF8">
      <w:pPr>
        <w:spacing w:after="0"/>
        <w:contextualSpacing/>
      </w:pPr>
      <w:r>
        <w:br w:type="page"/>
      </w:r>
    </w:p>
    <w:p w14:paraId="438F62AE" w14:textId="3FA543ED" w:rsidR="00847A0D" w:rsidRDefault="00847A0D" w:rsidP="00847A0D">
      <w:pPr>
        <w:spacing w:after="0"/>
        <w:contextualSpacing/>
      </w:pPr>
      <w:r>
        <w:rPr>
          <w:b/>
        </w:rPr>
        <w:lastRenderedPageBreak/>
        <w:t>Table A</w:t>
      </w:r>
      <w:r w:rsidR="00DC4756">
        <w:rPr>
          <w:b/>
        </w:rPr>
        <w:t>6</w:t>
      </w:r>
    </w:p>
    <w:p w14:paraId="6EC98C5E" w14:textId="28475CD1" w:rsidR="003520CC" w:rsidRDefault="00847A0D" w:rsidP="003520CC">
      <w:pPr>
        <w:spacing w:after="0"/>
        <w:contextualSpacing/>
      </w:pPr>
      <w:r>
        <w:t xml:space="preserve">Multinomial logit regressions based on monthly observations of first-lien, conventional, amortizing (non-balloon, non-interest only), fixed-rate mortgages for purchases of single-family residences or condominiums in Maryland and Virginia originated by nonbank originators between 2000 and 2015.  The sample is restricted to only prime mortgages (defined as those originated to borrowers with a FICO score greater than 660).  The sample is restricted to only mortgages originated by lenders that originated at least one mortgage in each of the ranges of years listed (as in Table </w:t>
      </w:r>
      <w:r w:rsidR="005C7B9C">
        <w:t>A1</w:t>
      </w:r>
      <w:r>
        <w:t xml:space="preserve">).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003520CC" w:rsidRPr="00EB01F8">
        <w:rPr>
          <w:i/>
        </w:rPr>
        <w:t>FICO</w:t>
      </w:r>
      <w:r w:rsidR="003520CC">
        <w:t xml:space="preserve"> is the borrower’s FICO score at origination.  </w:t>
      </w:r>
      <w:r w:rsidR="003520CC" w:rsidRPr="00EB01F8">
        <w:rPr>
          <w:i/>
        </w:rPr>
        <w:t>CLTV</w:t>
      </w:r>
      <w:r w:rsidR="003520CC">
        <w:t xml:space="preserve"> is the current loan balance divided by the current home value, where current home value is estimated as (1 + house price appreciation since origination) multiplied by the loan amount at origination divided by LTV at origination.  House price appreciation for </w:t>
      </w:r>
      <w:r w:rsidR="003520CC">
        <w:rPr>
          <w:i/>
        </w:rPr>
        <w:t>CLTV</w:t>
      </w:r>
      <w:r w:rsidR="003520CC">
        <w:t xml:space="preserve"> is measured by the CoreLogic Solutions county-level monthly house price index.  </w:t>
      </w:r>
      <w:r w:rsidR="003520CC" w:rsidRPr="000E12EE">
        <w:rPr>
          <w:i/>
        </w:rPr>
        <w:t>LoanAge</w:t>
      </w:r>
      <w:r w:rsidR="003520CC">
        <w:t xml:space="preserve"> is the number of months since origination.  </w:t>
      </w:r>
      <w:r w:rsidR="003520CC" w:rsidRPr="005B6422">
        <w:rPr>
          <w:i/>
        </w:rPr>
        <w:t>RefiPenalty</w:t>
      </w:r>
      <w:r w:rsidR="003520CC">
        <w:t xml:space="preserve"> is the change in the PMMS rate since origination.  </w:t>
      </w:r>
      <w:r w:rsidR="003520CC" w:rsidRPr="006879D3">
        <w:rPr>
          <w:i/>
        </w:rPr>
        <w:t>InterestGap</w:t>
      </w:r>
      <w:r w:rsidR="003520CC">
        <w:t xml:space="preserve"> is the difference between the mortgage interest rate at origination and the PMMS rate for the origination month.  </w:t>
      </w:r>
      <w:r w:rsidR="003520CC" w:rsidRPr="006879D3">
        <w:rPr>
          <w:i/>
        </w:rPr>
        <w:t>RelLoanSize</w:t>
      </w:r>
      <w:r w:rsidR="003520CC">
        <w:t xml:space="preserve"> is the loan amount at origination divided by the average loan amount for originations in the same vintage year and county.  </w:t>
      </w:r>
      <w:r w:rsidR="003520CC" w:rsidRPr="00EB01F8">
        <w:rPr>
          <w:i/>
        </w:rPr>
        <w:t>Unemployment</w:t>
      </w:r>
      <w:r w:rsidR="003520CC">
        <w:t xml:space="preserve"> is the monthly percentage change in the state-level unemployment rate.  </w:t>
      </w:r>
      <w:r w:rsidR="003520CC" w:rsidRPr="00EB01F8">
        <w:rPr>
          <w:i/>
        </w:rPr>
        <w:t>HPI</w:t>
      </w:r>
      <w:r w:rsidR="003520CC">
        <w:t xml:space="preserve"> is the percent change in quarterly FHFA state-level house price index since origination.  </w:t>
      </w:r>
      <w:r w:rsidR="003520CC" w:rsidRPr="001A09E2">
        <w:rPr>
          <w:i/>
        </w:rPr>
        <w:t>Condo</w:t>
      </w:r>
      <w:r w:rsidR="003520CC">
        <w:t xml:space="preserve"> is an indicator variable equaling one if the property is a condominium or townhouse and equaling zero if the property is a single family residence.  Each coefficient estimate represents the effect on the probability of default or prepayment, relative to the probability of the mortgage remaining current, of a one-unit change in the corresponding variable.  Vintage year indicators and a constant term are included in each specification.  Standard errors, clustered by loan, appear in parentheses</w:t>
      </w:r>
      <w:r w:rsidR="003520CC" w:rsidRPr="00957138">
        <w:t xml:space="preserve">.  </w:t>
      </w:r>
      <w:r w:rsidR="003520CC">
        <w:t>Levels of significance are indicated by *, **, and *** for 10%, 5%, and 1%, respectively.</w:t>
      </w:r>
    </w:p>
    <w:p w14:paraId="451AE636" w14:textId="77777777" w:rsidR="00847A0D" w:rsidRDefault="00847A0D" w:rsidP="00847A0D">
      <w:pPr>
        <w:spacing w:after="0"/>
        <w:contextualSpacing/>
      </w:pPr>
    </w:p>
    <w:tbl>
      <w:tblPr>
        <w:tblW w:w="7959" w:type="dxa"/>
        <w:jc w:val="center"/>
        <w:tblLook w:val="04A0" w:firstRow="1" w:lastRow="0" w:firstColumn="1" w:lastColumn="0" w:noHBand="0" w:noVBand="1"/>
      </w:tblPr>
      <w:tblGrid>
        <w:gridCol w:w="1639"/>
        <w:gridCol w:w="1280"/>
        <w:gridCol w:w="1260"/>
        <w:gridCol w:w="1260"/>
        <w:gridCol w:w="1260"/>
        <w:gridCol w:w="1117"/>
        <w:gridCol w:w="143"/>
      </w:tblGrid>
      <w:tr w:rsidR="00C956E3" w:rsidRPr="006E6122" w14:paraId="0D33F067" w14:textId="77777777" w:rsidTr="006751BB">
        <w:trPr>
          <w:trHeight w:val="255"/>
          <w:jc w:val="center"/>
        </w:trPr>
        <w:tc>
          <w:tcPr>
            <w:tcW w:w="1639" w:type="dxa"/>
            <w:tcBorders>
              <w:top w:val="single" w:sz="4" w:space="0" w:color="auto"/>
              <w:left w:val="nil"/>
              <w:right w:val="nil"/>
            </w:tcBorders>
            <w:shd w:val="clear" w:color="auto" w:fill="auto"/>
            <w:noWrap/>
            <w:vAlign w:val="bottom"/>
            <w:hideMark/>
          </w:tcPr>
          <w:p w14:paraId="33FE8D65"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6320" w:type="dxa"/>
            <w:gridSpan w:val="6"/>
            <w:tcBorders>
              <w:top w:val="single" w:sz="4" w:space="0" w:color="auto"/>
              <w:left w:val="nil"/>
              <w:right w:val="nil"/>
            </w:tcBorders>
            <w:shd w:val="clear" w:color="auto" w:fill="auto"/>
            <w:noWrap/>
            <w:vAlign w:val="bottom"/>
            <w:hideMark/>
          </w:tcPr>
          <w:p w14:paraId="4783251F"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xml:space="preserve">Probability of </w:t>
            </w:r>
            <w:r>
              <w:rPr>
                <w:rFonts w:ascii="Calibri" w:eastAsia="Times New Roman" w:hAnsi="Calibri" w:cs="Calibri"/>
                <w:sz w:val="20"/>
                <w:szCs w:val="20"/>
              </w:rPr>
              <w:t>d</w:t>
            </w:r>
            <w:r w:rsidRPr="006E6122">
              <w:rPr>
                <w:rFonts w:ascii="Calibri" w:eastAsia="Times New Roman" w:hAnsi="Calibri" w:cs="Calibri"/>
                <w:sz w:val="20"/>
                <w:szCs w:val="20"/>
              </w:rPr>
              <w:t>efault</w:t>
            </w:r>
          </w:p>
        </w:tc>
      </w:tr>
      <w:tr w:rsidR="00C956E3" w:rsidRPr="006E6122" w14:paraId="5989993B" w14:textId="77777777" w:rsidTr="006751BB">
        <w:trPr>
          <w:trHeight w:val="255"/>
          <w:jc w:val="center"/>
        </w:trPr>
        <w:tc>
          <w:tcPr>
            <w:tcW w:w="1639" w:type="dxa"/>
            <w:tcBorders>
              <w:top w:val="nil"/>
              <w:left w:val="nil"/>
              <w:right w:val="nil"/>
            </w:tcBorders>
            <w:shd w:val="clear" w:color="auto" w:fill="auto"/>
            <w:noWrap/>
            <w:vAlign w:val="bottom"/>
            <w:hideMark/>
          </w:tcPr>
          <w:p w14:paraId="1C9A669A" w14:textId="77777777" w:rsidR="00C956E3" w:rsidRPr="006E6122" w:rsidRDefault="00C956E3" w:rsidP="00A02DF8">
            <w:pPr>
              <w:spacing w:after="0" w:line="240" w:lineRule="auto"/>
              <w:contextualSpacing/>
              <w:jc w:val="center"/>
              <w:rPr>
                <w:rFonts w:ascii="Calibri" w:eastAsia="Times New Roman" w:hAnsi="Calibri" w:cs="Calibri"/>
                <w:sz w:val="18"/>
                <w:szCs w:val="18"/>
              </w:rPr>
            </w:pPr>
            <w:r w:rsidRPr="006E6122">
              <w:rPr>
                <w:rFonts w:ascii="Calibri" w:eastAsia="Times New Roman" w:hAnsi="Calibri" w:cs="Calibri"/>
                <w:sz w:val="18"/>
                <w:szCs w:val="18"/>
              </w:rPr>
              <w:t> </w:t>
            </w:r>
          </w:p>
        </w:tc>
        <w:tc>
          <w:tcPr>
            <w:tcW w:w="1280" w:type="dxa"/>
            <w:tcBorders>
              <w:top w:val="nil"/>
              <w:left w:val="nil"/>
              <w:right w:val="nil"/>
            </w:tcBorders>
            <w:shd w:val="clear" w:color="auto" w:fill="auto"/>
            <w:noWrap/>
            <w:vAlign w:val="bottom"/>
            <w:hideMark/>
          </w:tcPr>
          <w:p w14:paraId="6A5EEAD9"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2008-2010</w:t>
            </w:r>
          </w:p>
        </w:tc>
        <w:tc>
          <w:tcPr>
            <w:tcW w:w="1260" w:type="dxa"/>
            <w:tcBorders>
              <w:top w:val="nil"/>
              <w:left w:val="nil"/>
              <w:right w:val="nil"/>
            </w:tcBorders>
            <w:shd w:val="clear" w:color="auto" w:fill="auto"/>
            <w:noWrap/>
            <w:vAlign w:val="bottom"/>
            <w:hideMark/>
          </w:tcPr>
          <w:p w14:paraId="56647CEB"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2007-2011</w:t>
            </w:r>
          </w:p>
        </w:tc>
        <w:tc>
          <w:tcPr>
            <w:tcW w:w="1260" w:type="dxa"/>
            <w:tcBorders>
              <w:top w:val="nil"/>
              <w:left w:val="nil"/>
              <w:right w:val="nil"/>
            </w:tcBorders>
            <w:shd w:val="clear" w:color="auto" w:fill="auto"/>
            <w:noWrap/>
            <w:vAlign w:val="bottom"/>
            <w:hideMark/>
          </w:tcPr>
          <w:p w14:paraId="68192766"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2006-2012</w:t>
            </w:r>
          </w:p>
        </w:tc>
        <w:tc>
          <w:tcPr>
            <w:tcW w:w="1260" w:type="dxa"/>
            <w:tcBorders>
              <w:top w:val="nil"/>
              <w:left w:val="nil"/>
              <w:right w:val="nil"/>
            </w:tcBorders>
            <w:shd w:val="clear" w:color="auto" w:fill="auto"/>
            <w:noWrap/>
            <w:vAlign w:val="bottom"/>
            <w:hideMark/>
          </w:tcPr>
          <w:p w14:paraId="280960B4"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2005-2013</w:t>
            </w:r>
          </w:p>
        </w:tc>
        <w:tc>
          <w:tcPr>
            <w:tcW w:w="1260" w:type="dxa"/>
            <w:gridSpan w:val="2"/>
            <w:tcBorders>
              <w:top w:val="nil"/>
              <w:left w:val="nil"/>
              <w:right w:val="nil"/>
            </w:tcBorders>
            <w:shd w:val="clear" w:color="auto" w:fill="auto"/>
            <w:noWrap/>
            <w:vAlign w:val="bottom"/>
            <w:hideMark/>
          </w:tcPr>
          <w:p w14:paraId="0ACF9B68"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2004-2014</w:t>
            </w:r>
          </w:p>
        </w:tc>
      </w:tr>
      <w:tr w:rsidR="00C956E3" w:rsidRPr="006E6122" w14:paraId="2B01D0D2" w14:textId="77777777" w:rsidTr="006751BB">
        <w:trPr>
          <w:trHeight w:val="255"/>
          <w:jc w:val="center"/>
        </w:trPr>
        <w:tc>
          <w:tcPr>
            <w:tcW w:w="1639" w:type="dxa"/>
            <w:tcBorders>
              <w:left w:val="nil"/>
              <w:bottom w:val="single" w:sz="4" w:space="0" w:color="auto"/>
              <w:right w:val="nil"/>
            </w:tcBorders>
            <w:shd w:val="clear" w:color="auto" w:fill="auto"/>
            <w:noWrap/>
            <w:vAlign w:val="bottom"/>
            <w:hideMark/>
          </w:tcPr>
          <w:p w14:paraId="0EC84BF8"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left w:val="nil"/>
              <w:bottom w:val="single" w:sz="4" w:space="0" w:color="auto"/>
              <w:right w:val="nil"/>
            </w:tcBorders>
            <w:shd w:val="clear" w:color="auto" w:fill="auto"/>
            <w:noWrap/>
            <w:vAlign w:val="bottom"/>
            <w:hideMark/>
          </w:tcPr>
          <w:p w14:paraId="35173346"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(1)</w:t>
            </w:r>
          </w:p>
        </w:tc>
        <w:tc>
          <w:tcPr>
            <w:tcW w:w="1260" w:type="dxa"/>
            <w:tcBorders>
              <w:left w:val="nil"/>
              <w:bottom w:val="single" w:sz="4" w:space="0" w:color="auto"/>
              <w:right w:val="nil"/>
            </w:tcBorders>
            <w:shd w:val="clear" w:color="auto" w:fill="auto"/>
            <w:noWrap/>
            <w:vAlign w:val="bottom"/>
            <w:hideMark/>
          </w:tcPr>
          <w:p w14:paraId="5616D786"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w:t>
            </w:r>
          </w:p>
        </w:tc>
        <w:tc>
          <w:tcPr>
            <w:tcW w:w="1260" w:type="dxa"/>
            <w:tcBorders>
              <w:left w:val="nil"/>
              <w:bottom w:val="single" w:sz="4" w:space="0" w:color="auto"/>
              <w:right w:val="nil"/>
            </w:tcBorders>
            <w:shd w:val="clear" w:color="auto" w:fill="auto"/>
            <w:noWrap/>
            <w:vAlign w:val="bottom"/>
            <w:hideMark/>
          </w:tcPr>
          <w:p w14:paraId="45571A61"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(3)</w:t>
            </w:r>
          </w:p>
        </w:tc>
        <w:tc>
          <w:tcPr>
            <w:tcW w:w="1260" w:type="dxa"/>
            <w:tcBorders>
              <w:left w:val="nil"/>
              <w:bottom w:val="single" w:sz="4" w:space="0" w:color="auto"/>
              <w:right w:val="nil"/>
            </w:tcBorders>
            <w:shd w:val="clear" w:color="auto" w:fill="auto"/>
            <w:noWrap/>
            <w:vAlign w:val="bottom"/>
            <w:hideMark/>
          </w:tcPr>
          <w:p w14:paraId="399BC7E4"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(4)</w:t>
            </w:r>
          </w:p>
        </w:tc>
        <w:tc>
          <w:tcPr>
            <w:tcW w:w="1260" w:type="dxa"/>
            <w:gridSpan w:val="2"/>
            <w:tcBorders>
              <w:left w:val="nil"/>
              <w:bottom w:val="single" w:sz="4" w:space="0" w:color="auto"/>
              <w:right w:val="nil"/>
            </w:tcBorders>
            <w:shd w:val="clear" w:color="auto" w:fill="auto"/>
            <w:noWrap/>
            <w:vAlign w:val="bottom"/>
            <w:hideMark/>
          </w:tcPr>
          <w:p w14:paraId="285048B3" w14:textId="77777777" w:rsidR="00C956E3" w:rsidRPr="006E6122" w:rsidRDefault="00C956E3"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(5)</w:t>
            </w:r>
          </w:p>
        </w:tc>
      </w:tr>
      <w:tr w:rsidR="00DA64BC" w:rsidRPr="006E6122" w14:paraId="201C6303" w14:textId="77777777" w:rsidTr="006751BB">
        <w:trPr>
          <w:trHeight w:val="255"/>
          <w:jc w:val="center"/>
        </w:trPr>
        <w:tc>
          <w:tcPr>
            <w:tcW w:w="1639" w:type="dxa"/>
            <w:tcBorders>
              <w:top w:val="single" w:sz="4" w:space="0" w:color="auto"/>
              <w:left w:val="nil"/>
              <w:bottom w:val="nil"/>
              <w:right w:val="nil"/>
            </w:tcBorders>
            <w:shd w:val="clear" w:color="auto" w:fill="auto"/>
            <w:noWrap/>
            <w:vAlign w:val="bottom"/>
            <w:hideMark/>
          </w:tcPr>
          <w:p w14:paraId="7FB4E14D"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280" w:type="dxa"/>
            <w:tcBorders>
              <w:top w:val="single" w:sz="4" w:space="0" w:color="auto"/>
              <w:left w:val="nil"/>
              <w:bottom w:val="nil"/>
              <w:right w:val="nil"/>
            </w:tcBorders>
            <w:shd w:val="clear" w:color="auto" w:fill="auto"/>
            <w:noWrap/>
            <w:vAlign w:val="bottom"/>
          </w:tcPr>
          <w:p w14:paraId="59343F1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.119*</w:t>
            </w:r>
          </w:p>
        </w:tc>
        <w:tc>
          <w:tcPr>
            <w:tcW w:w="1260" w:type="dxa"/>
            <w:tcBorders>
              <w:top w:val="single" w:sz="4" w:space="0" w:color="auto"/>
              <w:left w:val="nil"/>
              <w:bottom w:val="nil"/>
              <w:right w:val="nil"/>
            </w:tcBorders>
            <w:shd w:val="clear" w:color="auto" w:fill="auto"/>
            <w:noWrap/>
            <w:vAlign w:val="bottom"/>
          </w:tcPr>
          <w:p w14:paraId="4464E91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.136**</w:t>
            </w:r>
          </w:p>
        </w:tc>
        <w:tc>
          <w:tcPr>
            <w:tcW w:w="1260" w:type="dxa"/>
            <w:tcBorders>
              <w:top w:val="single" w:sz="4" w:space="0" w:color="auto"/>
              <w:left w:val="nil"/>
              <w:bottom w:val="nil"/>
              <w:right w:val="nil"/>
            </w:tcBorders>
            <w:shd w:val="clear" w:color="auto" w:fill="auto"/>
            <w:noWrap/>
            <w:vAlign w:val="bottom"/>
          </w:tcPr>
          <w:p w14:paraId="6E4DDBE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.0338</w:t>
            </w:r>
          </w:p>
        </w:tc>
        <w:tc>
          <w:tcPr>
            <w:tcW w:w="1260" w:type="dxa"/>
            <w:tcBorders>
              <w:top w:val="single" w:sz="4" w:space="0" w:color="auto"/>
              <w:left w:val="nil"/>
              <w:bottom w:val="nil"/>
              <w:right w:val="nil"/>
            </w:tcBorders>
            <w:shd w:val="clear" w:color="auto" w:fill="auto"/>
            <w:noWrap/>
            <w:vAlign w:val="bottom"/>
          </w:tcPr>
          <w:p w14:paraId="3BF95B7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.00988</w:t>
            </w:r>
          </w:p>
        </w:tc>
        <w:tc>
          <w:tcPr>
            <w:tcW w:w="1260" w:type="dxa"/>
            <w:gridSpan w:val="2"/>
            <w:tcBorders>
              <w:top w:val="single" w:sz="4" w:space="0" w:color="auto"/>
              <w:left w:val="nil"/>
              <w:bottom w:val="nil"/>
              <w:right w:val="nil"/>
            </w:tcBorders>
            <w:shd w:val="clear" w:color="auto" w:fill="auto"/>
            <w:noWrap/>
            <w:vAlign w:val="bottom"/>
          </w:tcPr>
          <w:p w14:paraId="6836F9D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-.00597</w:t>
            </w:r>
          </w:p>
        </w:tc>
      </w:tr>
      <w:tr w:rsidR="00DA64BC" w:rsidRPr="006E6122" w14:paraId="6D418F2B"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7C0F27C1"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6C7503C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(.0632)</w:t>
            </w:r>
          </w:p>
        </w:tc>
        <w:tc>
          <w:tcPr>
            <w:tcW w:w="1260" w:type="dxa"/>
            <w:tcBorders>
              <w:top w:val="nil"/>
              <w:left w:val="nil"/>
              <w:bottom w:val="nil"/>
              <w:right w:val="nil"/>
            </w:tcBorders>
            <w:shd w:val="clear" w:color="auto" w:fill="auto"/>
            <w:noWrap/>
            <w:vAlign w:val="bottom"/>
          </w:tcPr>
          <w:p w14:paraId="601E120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(.0649)</w:t>
            </w:r>
          </w:p>
        </w:tc>
        <w:tc>
          <w:tcPr>
            <w:tcW w:w="1260" w:type="dxa"/>
            <w:tcBorders>
              <w:top w:val="nil"/>
              <w:left w:val="nil"/>
              <w:bottom w:val="nil"/>
              <w:right w:val="nil"/>
            </w:tcBorders>
            <w:shd w:val="clear" w:color="auto" w:fill="auto"/>
            <w:noWrap/>
            <w:vAlign w:val="bottom"/>
          </w:tcPr>
          <w:p w14:paraId="7CA572D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(.0845)</w:t>
            </w:r>
          </w:p>
        </w:tc>
        <w:tc>
          <w:tcPr>
            <w:tcW w:w="1260" w:type="dxa"/>
            <w:tcBorders>
              <w:top w:val="nil"/>
              <w:left w:val="nil"/>
              <w:bottom w:val="nil"/>
              <w:right w:val="nil"/>
            </w:tcBorders>
            <w:shd w:val="clear" w:color="auto" w:fill="auto"/>
            <w:noWrap/>
            <w:vAlign w:val="bottom"/>
          </w:tcPr>
          <w:p w14:paraId="7232E6E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(.0876)</w:t>
            </w:r>
          </w:p>
        </w:tc>
        <w:tc>
          <w:tcPr>
            <w:tcW w:w="1260" w:type="dxa"/>
            <w:gridSpan w:val="2"/>
            <w:tcBorders>
              <w:top w:val="nil"/>
              <w:left w:val="nil"/>
              <w:bottom w:val="nil"/>
              <w:right w:val="nil"/>
            </w:tcBorders>
            <w:shd w:val="clear" w:color="auto" w:fill="auto"/>
            <w:noWrap/>
            <w:vAlign w:val="bottom"/>
          </w:tcPr>
          <w:p w14:paraId="25D165F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(.0945)</w:t>
            </w:r>
          </w:p>
        </w:tc>
      </w:tr>
      <w:tr w:rsidR="00DA64BC" w:rsidRPr="006E6122" w14:paraId="1F99DAA8"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71E47AE"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280" w:type="dxa"/>
            <w:tcBorders>
              <w:top w:val="nil"/>
              <w:left w:val="nil"/>
              <w:bottom w:val="nil"/>
              <w:right w:val="nil"/>
            </w:tcBorders>
            <w:shd w:val="clear" w:color="auto" w:fill="auto"/>
            <w:noWrap/>
            <w:vAlign w:val="bottom"/>
          </w:tcPr>
          <w:p w14:paraId="2FB096C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-.509**</w:t>
            </w:r>
          </w:p>
        </w:tc>
        <w:tc>
          <w:tcPr>
            <w:tcW w:w="1260" w:type="dxa"/>
            <w:tcBorders>
              <w:top w:val="nil"/>
              <w:left w:val="nil"/>
              <w:bottom w:val="nil"/>
              <w:right w:val="nil"/>
            </w:tcBorders>
            <w:shd w:val="clear" w:color="auto" w:fill="auto"/>
            <w:noWrap/>
            <w:vAlign w:val="bottom"/>
          </w:tcPr>
          <w:p w14:paraId="249555D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-.422</w:t>
            </w:r>
          </w:p>
        </w:tc>
        <w:tc>
          <w:tcPr>
            <w:tcW w:w="1260" w:type="dxa"/>
            <w:tcBorders>
              <w:top w:val="nil"/>
              <w:left w:val="nil"/>
              <w:bottom w:val="nil"/>
              <w:right w:val="nil"/>
            </w:tcBorders>
            <w:shd w:val="clear" w:color="auto" w:fill="auto"/>
            <w:noWrap/>
            <w:vAlign w:val="bottom"/>
          </w:tcPr>
          <w:p w14:paraId="100A00A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-.36</w:t>
            </w:r>
            <w:r w:rsidR="00C364B1">
              <w:rPr>
                <w:rFonts w:ascii="Calibri" w:hAnsi="Calibri" w:cs="Calibri"/>
                <w:sz w:val="20"/>
                <w:szCs w:val="20"/>
              </w:rPr>
              <w:t>0</w:t>
            </w:r>
          </w:p>
        </w:tc>
        <w:tc>
          <w:tcPr>
            <w:tcW w:w="1260" w:type="dxa"/>
            <w:tcBorders>
              <w:top w:val="nil"/>
              <w:left w:val="nil"/>
              <w:bottom w:val="nil"/>
              <w:right w:val="nil"/>
            </w:tcBorders>
            <w:shd w:val="clear" w:color="auto" w:fill="auto"/>
            <w:noWrap/>
            <w:vAlign w:val="bottom"/>
          </w:tcPr>
          <w:p w14:paraId="6AC6E1D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-.315</w:t>
            </w:r>
          </w:p>
        </w:tc>
        <w:tc>
          <w:tcPr>
            <w:tcW w:w="1260" w:type="dxa"/>
            <w:gridSpan w:val="2"/>
            <w:tcBorders>
              <w:top w:val="nil"/>
              <w:left w:val="nil"/>
              <w:bottom w:val="nil"/>
              <w:right w:val="nil"/>
            </w:tcBorders>
            <w:shd w:val="clear" w:color="auto" w:fill="auto"/>
            <w:noWrap/>
            <w:vAlign w:val="bottom"/>
          </w:tcPr>
          <w:p w14:paraId="6AD2447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-.448</w:t>
            </w:r>
          </w:p>
        </w:tc>
      </w:tr>
      <w:tr w:rsidR="00DA64BC" w:rsidRPr="006E6122" w14:paraId="30285C0D"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C662CE1"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6D4A96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(.23</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4772A89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(.263)</w:t>
            </w:r>
          </w:p>
        </w:tc>
        <w:tc>
          <w:tcPr>
            <w:tcW w:w="1260" w:type="dxa"/>
            <w:tcBorders>
              <w:top w:val="nil"/>
              <w:left w:val="nil"/>
              <w:bottom w:val="nil"/>
              <w:right w:val="nil"/>
            </w:tcBorders>
            <w:shd w:val="clear" w:color="auto" w:fill="auto"/>
            <w:noWrap/>
            <w:vAlign w:val="bottom"/>
          </w:tcPr>
          <w:p w14:paraId="14BB2F4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(.266)</w:t>
            </w:r>
          </w:p>
        </w:tc>
        <w:tc>
          <w:tcPr>
            <w:tcW w:w="1260" w:type="dxa"/>
            <w:tcBorders>
              <w:top w:val="nil"/>
              <w:left w:val="nil"/>
              <w:bottom w:val="nil"/>
              <w:right w:val="nil"/>
            </w:tcBorders>
            <w:shd w:val="clear" w:color="auto" w:fill="auto"/>
            <w:noWrap/>
            <w:vAlign w:val="bottom"/>
          </w:tcPr>
          <w:p w14:paraId="6C10AE7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(.267)</w:t>
            </w:r>
          </w:p>
        </w:tc>
        <w:tc>
          <w:tcPr>
            <w:tcW w:w="1260" w:type="dxa"/>
            <w:gridSpan w:val="2"/>
            <w:tcBorders>
              <w:top w:val="nil"/>
              <w:left w:val="nil"/>
              <w:bottom w:val="nil"/>
              <w:right w:val="nil"/>
            </w:tcBorders>
            <w:shd w:val="clear" w:color="auto" w:fill="auto"/>
            <w:noWrap/>
            <w:vAlign w:val="bottom"/>
          </w:tcPr>
          <w:p w14:paraId="57032ED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(.302)</w:t>
            </w:r>
          </w:p>
        </w:tc>
      </w:tr>
      <w:tr w:rsidR="00DA64BC" w:rsidRPr="006E6122" w14:paraId="65CF9110"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17601AD1"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280" w:type="dxa"/>
            <w:tcBorders>
              <w:top w:val="nil"/>
              <w:left w:val="nil"/>
              <w:bottom w:val="nil"/>
              <w:right w:val="nil"/>
            </w:tcBorders>
            <w:shd w:val="clear" w:color="auto" w:fill="auto"/>
            <w:noWrap/>
            <w:vAlign w:val="bottom"/>
          </w:tcPr>
          <w:p w14:paraId="5CF1915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-.489***</w:t>
            </w:r>
          </w:p>
        </w:tc>
        <w:tc>
          <w:tcPr>
            <w:tcW w:w="1260" w:type="dxa"/>
            <w:tcBorders>
              <w:top w:val="nil"/>
              <w:left w:val="nil"/>
              <w:bottom w:val="nil"/>
              <w:right w:val="nil"/>
            </w:tcBorders>
            <w:shd w:val="clear" w:color="auto" w:fill="auto"/>
            <w:noWrap/>
            <w:vAlign w:val="bottom"/>
          </w:tcPr>
          <w:p w14:paraId="3A610F5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-.502***</w:t>
            </w:r>
          </w:p>
        </w:tc>
        <w:tc>
          <w:tcPr>
            <w:tcW w:w="1260" w:type="dxa"/>
            <w:tcBorders>
              <w:top w:val="nil"/>
              <w:left w:val="nil"/>
              <w:bottom w:val="nil"/>
              <w:right w:val="nil"/>
            </w:tcBorders>
            <w:shd w:val="clear" w:color="auto" w:fill="auto"/>
            <w:noWrap/>
            <w:vAlign w:val="bottom"/>
          </w:tcPr>
          <w:p w14:paraId="389675E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-.39</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7F366EC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-.339**</w:t>
            </w:r>
          </w:p>
        </w:tc>
        <w:tc>
          <w:tcPr>
            <w:tcW w:w="1260" w:type="dxa"/>
            <w:gridSpan w:val="2"/>
            <w:tcBorders>
              <w:top w:val="nil"/>
              <w:left w:val="nil"/>
              <w:bottom w:val="nil"/>
              <w:right w:val="nil"/>
            </w:tcBorders>
            <w:shd w:val="clear" w:color="auto" w:fill="auto"/>
            <w:noWrap/>
            <w:vAlign w:val="bottom"/>
          </w:tcPr>
          <w:p w14:paraId="6644507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-.363**</w:t>
            </w:r>
          </w:p>
        </w:tc>
      </w:tr>
      <w:tr w:rsidR="00DA64BC" w:rsidRPr="006E6122" w14:paraId="3358A92C"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6FCF69D"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18DE32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(.111)</w:t>
            </w:r>
          </w:p>
        </w:tc>
        <w:tc>
          <w:tcPr>
            <w:tcW w:w="1260" w:type="dxa"/>
            <w:tcBorders>
              <w:top w:val="nil"/>
              <w:left w:val="nil"/>
              <w:bottom w:val="nil"/>
              <w:right w:val="nil"/>
            </w:tcBorders>
            <w:shd w:val="clear" w:color="auto" w:fill="auto"/>
            <w:noWrap/>
            <w:vAlign w:val="bottom"/>
          </w:tcPr>
          <w:p w14:paraId="0B4FAA7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(.117)</w:t>
            </w:r>
          </w:p>
        </w:tc>
        <w:tc>
          <w:tcPr>
            <w:tcW w:w="1260" w:type="dxa"/>
            <w:tcBorders>
              <w:top w:val="nil"/>
              <w:left w:val="nil"/>
              <w:bottom w:val="nil"/>
              <w:right w:val="nil"/>
            </w:tcBorders>
            <w:shd w:val="clear" w:color="auto" w:fill="auto"/>
            <w:noWrap/>
            <w:vAlign w:val="bottom"/>
          </w:tcPr>
          <w:p w14:paraId="0A4AFDD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(.13</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79F8981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(.133)</w:t>
            </w:r>
          </w:p>
        </w:tc>
        <w:tc>
          <w:tcPr>
            <w:tcW w:w="1260" w:type="dxa"/>
            <w:gridSpan w:val="2"/>
            <w:tcBorders>
              <w:top w:val="nil"/>
              <w:left w:val="nil"/>
              <w:bottom w:val="nil"/>
              <w:right w:val="nil"/>
            </w:tcBorders>
            <w:shd w:val="clear" w:color="auto" w:fill="auto"/>
            <w:noWrap/>
            <w:vAlign w:val="bottom"/>
          </w:tcPr>
          <w:p w14:paraId="50F0722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(.141)</w:t>
            </w:r>
          </w:p>
        </w:tc>
      </w:tr>
      <w:tr w:rsidR="00DA64BC" w:rsidRPr="006E6122" w14:paraId="01CF69F1"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B5ED6BF"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280" w:type="dxa"/>
            <w:tcBorders>
              <w:top w:val="nil"/>
              <w:left w:val="nil"/>
              <w:bottom w:val="nil"/>
              <w:right w:val="nil"/>
            </w:tcBorders>
            <w:shd w:val="clear" w:color="auto" w:fill="auto"/>
            <w:noWrap/>
            <w:vAlign w:val="bottom"/>
          </w:tcPr>
          <w:p w14:paraId="30614E7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-.0191***</w:t>
            </w:r>
          </w:p>
        </w:tc>
        <w:tc>
          <w:tcPr>
            <w:tcW w:w="1260" w:type="dxa"/>
            <w:tcBorders>
              <w:top w:val="nil"/>
              <w:left w:val="nil"/>
              <w:bottom w:val="nil"/>
              <w:right w:val="nil"/>
            </w:tcBorders>
            <w:shd w:val="clear" w:color="auto" w:fill="auto"/>
            <w:noWrap/>
            <w:vAlign w:val="bottom"/>
          </w:tcPr>
          <w:p w14:paraId="200B95B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-.0189***</w:t>
            </w:r>
          </w:p>
        </w:tc>
        <w:tc>
          <w:tcPr>
            <w:tcW w:w="1260" w:type="dxa"/>
            <w:tcBorders>
              <w:top w:val="nil"/>
              <w:left w:val="nil"/>
              <w:bottom w:val="nil"/>
              <w:right w:val="nil"/>
            </w:tcBorders>
            <w:shd w:val="clear" w:color="auto" w:fill="auto"/>
            <w:noWrap/>
            <w:vAlign w:val="bottom"/>
          </w:tcPr>
          <w:p w14:paraId="777BD56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-.0209***</w:t>
            </w:r>
          </w:p>
        </w:tc>
        <w:tc>
          <w:tcPr>
            <w:tcW w:w="1260" w:type="dxa"/>
            <w:tcBorders>
              <w:top w:val="nil"/>
              <w:left w:val="nil"/>
              <w:bottom w:val="nil"/>
              <w:right w:val="nil"/>
            </w:tcBorders>
            <w:shd w:val="clear" w:color="auto" w:fill="auto"/>
            <w:noWrap/>
            <w:vAlign w:val="bottom"/>
          </w:tcPr>
          <w:p w14:paraId="64B6287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w:t>
            </w:r>
            <w:r w:rsidR="00C364B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3B3BD7B7"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-.0211***</w:t>
            </w:r>
          </w:p>
        </w:tc>
      </w:tr>
      <w:tr w:rsidR="00DA64BC" w:rsidRPr="006E6122" w14:paraId="1BA10F9F"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D1FE998"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C5111B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(.00062</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6D20508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(.00065</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0BBD9C67"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(.000763)</w:t>
            </w:r>
          </w:p>
        </w:tc>
        <w:tc>
          <w:tcPr>
            <w:tcW w:w="1260" w:type="dxa"/>
            <w:tcBorders>
              <w:top w:val="nil"/>
              <w:left w:val="nil"/>
              <w:bottom w:val="nil"/>
              <w:right w:val="nil"/>
            </w:tcBorders>
            <w:shd w:val="clear" w:color="auto" w:fill="auto"/>
            <w:noWrap/>
            <w:vAlign w:val="bottom"/>
          </w:tcPr>
          <w:p w14:paraId="0425DF6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(.000782)</w:t>
            </w:r>
          </w:p>
        </w:tc>
        <w:tc>
          <w:tcPr>
            <w:tcW w:w="1260" w:type="dxa"/>
            <w:gridSpan w:val="2"/>
            <w:tcBorders>
              <w:top w:val="nil"/>
              <w:left w:val="nil"/>
              <w:bottom w:val="nil"/>
              <w:right w:val="nil"/>
            </w:tcBorders>
            <w:shd w:val="clear" w:color="auto" w:fill="auto"/>
            <w:noWrap/>
            <w:vAlign w:val="bottom"/>
          </w:tcPr>
          <w:p w14:paraId="3BF75C6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(.000819)</w:t>
            </w:r>
          </w:p>
        </w:tc>
      </w:tr>
      <w:tr w:rsidR="00DA64BC" w:rsidRPr="006E6122" w14:paraId="732D74F8"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CE11AAF"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1280" w:type="dxa"/>
            <w:tcBorders>
              <w:top w:val="nil"/>
              <w:left w:val="nil"/>
              <w:bottom w:val="nil"/>
              <w:right w:val="nil"/>
            </w:tcBorders>
            <w:shd w:val="clear" w:color="auto" w:fill="auto"/>
            <w:noWrap/>
            <w:vAlign w:val="bottom"/>
          </w:tcPr>
          <w:p w14:paraId="32C96FD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.00137***</w:t>
            </w:r>
          </w:p>
        </w:tc>
        <w:tc>
          <w:tcPr>
            <w:tcW w:w="1260" w:type="dxa"/>
            <w:tcBorders>
              <w:top w:val="nil"/>
              <w:left w:val="nil"/>
              <w:bottom w:val="nil"/>
              <w:right w:val="nil"/>
            </w:tcBorders>
            <w:shd w:val="clear" w:color="auto" w:fill="auto"/>
            <w:noWrap/>
            <w:vAlign w:val="bottom"/>
          </w:tcPr>
          <w:p w14:paraId="74D42A6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.00133***</w:t>
            </w:r>
          </w:p>
        </w:tc>
        <w:tc>
          <w:tcPr>
            <w:tcW w:w="1260" w:type="dxa"/>
            <w:tcBorders>
              <w:top w:val="nil"/>
              <w:left w:val="nil"/>
              <w:bottom w:val="nil"/>
              <w:right w:val="nil"/>
            </w:tcBorders>
            <w:shd w:val="clear" w:color="auto" w:fill="auto"/>
            <w:noWrap/>
            <w:vAlign w:val="bottom"/>
          </w:tcPr>
          <w:p w14:paraId="0A6C6E9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.00119***</w:t>
            </w:r>
          </w:p>
        </w:tc>
        <w:tc>
          <w:tcPr>
            <w:tcW w:w="1260" w:type="dxa"/>
            <w:tcBorders>
              <w:top w:val="nil"/>
              <w:left w:val="nil"/>
              <w:bottom w:val="nil"/>
              <w:right w:val="nil"/>
            </w:tcBorders>
            <w:shd w:val="clear" w:color="auto" w:fill="auto"/>
            <w:noWrap/>
            <w:vAlign w:val="bottom"/>
          </w:tcPr>
          <w:p w14:paraId="7CDB6C5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.00115***</w:t>
            </w:r>
          </w:p>
        </w:tc>
        <w:tc>
          <w:tcPr>
            <w:tcW w:w="1260" w:type="dxa"/>
            <w:gridSpan w:val="2"/>
            <w:tcBorders>
              <w:top w:val="nil"/>
              <w:left w:val="nil"/>
              <w:bottom w:val="nil"/>
              <w:right w:val="nil"/>
            </w:tcBorders>
            <w:shd w:val="clear" w:color="auto" w:fill="auto"/>
            <w:noWrap/>
            <w:vAlign w:val="bottom"/>
          </w:tcPr>
          <w:p w14:paraId="08D875D7"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.00113***</w:t>
            </w:r>
          </w:p>
        </w:tc>
      </w:tr>
      <w:tr w:rsidR="00DA64BC" w:rsidRPr="006E6122" w14:paraId="55334820"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31ED5351"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78A222C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(.000367)</w:t>
            </w:r>
          </w:p>
        </w:tc>
        <w:tc>
          <w:tcPr>
            <w:tcW w:w="1260" w:type="dxa"/>
            <w:tcBorders>
              <w:top w:val="nil"/>
              <w:left w:val="nil"/>
              <w:bottom w:val="nil"/>
              <w:right w:val="nil"/>
            </w:tcBorders>
            <w:shd w:val="clear" w:color="auto" w:fill="auto"/>
            <w:noWrap/>
            <w:vAlign w:val="bottom"/>
          </w:tcPr>
          <w:p w14:paraId="7F1C98F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(.000363)</w:t>
            </w:r>
          </w:p>
        </w:tc>
        <w:tc>
          <w:tcPr>
            <w:tcW w:w="1260" w:type="dxa"/>
            <w:tcBorders>
              <w:top w:val="nil"/>
              <w:left w:val="nil"/>
              <w:bottom w:val="nil"/>
              <w:right w:val="nil"/>
            </w:tcBorders>
            <w:shd w:val="clear" w:color="auto" w:fill="auto"/>
            <w:noWrap/>
            <w:vAlign w:val="bottom"/>
          </w:tcPr>
          <w:p w14:paraId="0724F49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(.000352)</w:t>
            </w:r>
          </w:p>
        </w:tc>
        <w:tc>
          <w:tcPr>
            <w:tcW w:w="1260" w:type="dxa"/>
            <w:tcBorders>
              <w:top w:val="nil"/>
              <w:left w:val="nil"/>
              <w:bottom w:val="nil"/>
              <w:right w:val="nil"/>
            </w:tcBorders>
            <w:shd w:val="clear" w:color="auto" w:fill="auto"/>
            <w:noWrap/>
            <w:vAlign w:val="bottom"/>
          </w:tcPr>
          <w:p w14:paraId="2FC88CB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(.000351)</w:t>
            </w:r>
          </w:p>
        </w:tc>
        <w:tc>
          <w:tcPr>
            <w:tcW w:w="1260" w:type="dxa"/>
            <w:gridSpan w:val="2"/>
            <w:tcBorders>
              <w:top w:val="nil"/>
              <w:left w:val="nil"/>
              <w:bottom w:val="nil"/>
              <w:right w:val="nil"/>
            </w:tcBorders>
            <w:shd w:val="clear" w:color="auto" w:fill="auto"/>
            <w:noWrap/>
            <w:vAlign w:val="bottom"/>
          </w:tcPr>
          <w:p w14:paraId="3BCA267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(.000348)</w:t>
            </w:r>
          </w:p>
        </w:tc>
      </w:tr>
      <w:tr w:rsidR="006751BB" w:rsidRPr="006E6122" w14:paraId="6E9D8B7D"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2B62CEBD"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1280" w:type="dxa"/>
            <w:tcBorders>
              <w:top w:val="nil"/>
              <w:left w:val="nil"/>
              <w:bottom w:val="nil"/>
              <w:right w:val="nil"/>
            </w:tcBorders>
            <w:shd w:val="clear" w:color="auto" w:fill="auto"/>
            <w:noWrap/>
            <w:vAlign w:val="bottom"/>
          </w:tcPr>
          <w:p w14:paraId="08A1FDB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.0479***</w:t>
            </w:r>
          </w:p>
        </w:tc>
        <w:tc>
          <w:tcPr>
            <w:tcW w:w="1260" w:type="dxa"/>
            <w:tcBorders>
              <w:top w:val="nil"/>
              <w:left w:val="nil"/>
              <w:bottom w:val="nil"/>
              <w:right w:val="nil"/>
            </w:tcBorders>
            <w:shd w:val="clear" w:color="auto" w:fill="auto"/>
            <w:noWrap/>
            <w:vAlign w:val="bottom"/>
          </w:tcPr>
          <w:p w14:paraId="498EC273"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.0473***</w:t>
            </w:r>
          </w:p>
        </w:tc>
        <w:tc>
          <w:tcPr>
            <w:tcW w:w="1260" w:type="dxa"/>
            <w:tcBorders>
              <w:top w:val="nil"/>
              <w:left w:val="nil"/>
              <w:bottom w:val="nil"/>
              <w:right w:val="nil"/>
            </w:tcBorders>
            <w:shd w:val="clear" w:color="auto" w:fill="auto"/>
            <w:noWrap/>
            <w:vAlign w:val="bottom"/>
          </w:tcPr>
          <w:p w14:paraId="04C68A60"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.0541***</w:t>
            </w:r>
          </w:p>
        </w:tc>
        <w:tc>
          <w:tcPr>
            <w:tcW w:w="1260" w:type="dxa"/>
            <w:tcBorders>
              <w:top w:val="nil"/>
              <w:left w:val="nil"/>
              <w:bottom w:val="nil"/>
              <w:right w:val="nil"/>
            </w:tcBorders>
            <w:shd w:val="clear" w:color="auto" w:fill="auto"/>
            <w:noWrap/>
            <w:vAlign w:val="bottom"/>
          </w:tcPr>
          <w:p w14:paraId="4FB73B1F"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.0542***</w:t>
            </w:r>
          </w:p>
        </w:tc>
        <w:tc>
          <w:tcPr>
            <w:tcW w:w="1260" w:type="dxa"/>
            <w:gridSpan w:val="2"/>
            <w:tcBorders>
              <w:top w:val="nil"/>
              <w:left w:val="nil"/>
              <w:bottom w:val="nil"/>
              <w:right w:val="nil"/>
            </w:tcBorders>
            <w:shd w:val="clear" w:color="auto" w:fill="auto"/>
            <w:noWrap/>
            <w:vAlign w:val="bottom"/>
          </w:tcPr>
          <w:p w14:paraId="4364019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.0530***</w:t>
            </w:r>
          </w:p>
        </w:tc>
      </w:tr>
      <w:tr w:rsidR="006751BB" w:rsidRPr="006E6122" w14:paraId="1493191F"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2CFD3CDD"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A14A6E8"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(.00307)</w:t>
            </w:r>
          </w:p>
        </w:tc>
        <w:tc>
          <w:tcPr>
            <w:tcW w:w="1260" w:type="dxa"/>
            <w:tcBorders>
              <w:top w:val="nil"/>
              <w:left w:val="nil"/>
              <w:bottom w:val="nil"/>
              <w:right w:val="nil"/>
            </w:tcBorders>
            <w:shd w:val="clear" w:color="auto" w:fill="auto"/>
            <w:noWrap/>
            <w:vAlign w:val="bottom"/>
          </w:tcPr>
          <w:p w14:paraId="5553C3BC"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(.00323)</w:t>
            </w:r>
          </w:p>
        </w:tc>
        <w:tc>
          <w:tcPr>
            <w:tcW w:w="1260" w:type="dxa"/>
            <w:tcBorders>
              <w:top w:val="nil"/>
              <w:left w:val="nil"/>
              <w:bottom w:val="nil"/>
              <w:right w:val="nil"/>
            </w:tcBorders>
            <w:shd w:val="clear" w:color="auto" w:fill="auto"/>
            <w:noWrap/>
            <w:vAlign w:val="bottom"/>
          </w:tcPr>
          <w:p w14:paraId="0988D8A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(.00373)</w:t>
            </w:r>
          </w:p>
        </w:tc>
        <w:tc>
          <w:tcPr>
            <w:tcW w:w="1260" w:type="dxa"/>
            <w:tcBorders>
              <w:top w:val="nil"/>
              <w:left w:val="nil"/>
              <w:bottom w:val="nil"/>
              <w:right w:val="nil"/>
            </w:tcBorders>
            <w:shd w:val="clear" w:color="auto" w:fill="auto"/>
            <w:noWrap/>
            <w:vAlign w:val="bottom"/>
          </w:tcPr>
          <w:p w14:paraId="61EBE12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(.00385)</w:t>
            </w:r>
          </w:p>
        </w:tc>
        <w:tc>
          <w:tcPr>
            <w:tcW w:w="1260" w:type="dxa"/>
            <w:gridSpan w:val="2"/>
            <w:tcBorders>
              <w:top w:val="nil"/>
              <w:left w:val="nil"/>
              <w:bottom w:val="nil"/>
              <w:right w:val="nil"/>
            </w:tcBorders>
            <w:shd w:val="clear" w:color="auto" w:fill="auto"/>
            <w:noWrap/>
            <w:vAlign w:val="bottom"/>
          </w:tcPr>
          <w:p w14:paraId="312932EA"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(.00393)</w:t>
            </w:r>
          </w:p>
        </w:tc>
      </w:tr>
      <w:tr w:rsidR="006751BB" w:rsidRPr="006E6122" w14:paraId="54B9AB06"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A377321"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1280" w:type="dxa"/>
            <w:tcBorders>
              <w:top w:val="nil"/>
              <w:left w:val="nil"/>
              <w:bottom w:val="nil"/>
              <w:right w:val="nil"/>
            </w:tcBorders>
            <w:shd w:val="clear" w:color="auto" w:fill="auto"/>
            <w:noWrap/>
            <w:vAlign w:val="bottom"/>
          </w:tcPr>
          <w:p w14:paraId="6C48B40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-.000228***</w:t>
            </w:r>
          </w:p>
        </w:tc>
        <w:tc>
          <w:tcPr>
            <w:tcW w:w="1260" w:type="dxa"/>
            <w:tcBorders>
              <w:top w:val="nil"/>
              <w:left w:val="nil"/>
              <w:bottom w:val="nil"/>
              <w:right w:val="nil"/>
            </w:tcBorders>
            <w:shd w:val="clear" w:color="auto" w:fill="auto"/>
            <w:noWrap/>
            <w:vAlign w:val="bottom"/>
          </w:tcPr>
          <w:p w14:paraId="3C2F076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-.000225***</w:t>
            </w:r>
          </w:p>
        </w:tc>
        <w:tc>
          <w:tcPr>
            <w:tcW w:w="1260" w:type="dxa"/>
            <w:tcBorders>
              <w:top w:val="nil"/>
              <w:left w:val="nil"/>
              <w:bottom w:val="nil"/>
              <w:right w:val="nil"/>
            </w:tcBorders>
            <w:shd w:val="clear" w:color="auto" w:fill="auto"/>
            <w:noWrap/>
            <w:vAlign w:val="bottom"/>
          </w:tcPr>
          <w:p w14:paraId="733B96F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-.000260***</w:t>
            </w:r>
          </w:p>
        </w:tc>
        <w:tc>
          <w:tcPr>
            <w:tcW w:w="1260" w:type="dxa"/>
            <w:tcBorders>
              <w:top w:val="nil"/>
              <w:left w:val="nil"/>
              <w:bottom w:val="nil"/>
              <w:right w:val="nil"/>
            </w:tcBorders>
            <w:shd w:val="clear" w:color="auto" w:fill="auto"/>
            <w:noWrap/>
            <w:vAlign w:val="bottom"/>
          </w:tcPr>
          <w:p w14:paraId="501B6370"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-.000260***</w:t>
            </w:r>
          </w:p>
        </w:tc>
        <w:tc>
          <w:tcPr>
            <w:tcW w:w="1260" w:type="dxa"/>
            <w:gridSpan w:val="2"/>
            <w:tcBorders>
              <w:top w:val="nil"/>
              <w:left w:val="nil"/>
              <w:bottom w:val="nil"/>
              <w:right w:val="nil"/>
            </w:tcBorders>
            <w:shd w:val="clear" w:color="auto" w:fill="auto"/>
            <w:noWrap/>
            <w:vAlign w:val="bottom"/>
          </w:tcPr>
          <w:p w14:paraId="45C29422"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-.000252***</w:t>
            </w:r>
          </w:p>
        </w:tc>
      </w:tr>
      <w:tr w:rsidR="00DA64BC" w:rsidRPr="006E6122" w14:paraId="5DC598E2"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71E2FABD"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BBA24A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(.0000283)</w:t>
            </w:r>
          </w:p>
        </w:tc>
        <w:tc>
          <w:tcPr>
            <w:tcW w:w="1260" w:type="dxa"/>
            <w:tcBorders>
              <w:top w:val="nil"/>
              <w:left w:val="nil"/>
              <w:bottom w:val="nil"/>
              <w:right w:val="nil"/>
            </w:tcBorders>
            <w:shd w:val="clear" w:color="auto" w:fill="auto"/>
            <w:noWrap/>
            <w:vAlign w:val="bottom"/>
          </w:tcPr>
          <w:p w14:paraId="1F1C645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(.0000297)</w:t>
            </w:r>
          </w:p>
        </w:tc>
        <w:tc>
          <w:tcPr>
            <w:tcW w:w="1260" w:type="dxa"/>
            <w:tcBorders>
              <w:top w:val="nil"/>
              <w:left w:val="nil"/>
              <w:bottom w:val="nil"/>
              <w:right w:val="nil"/>
            </w:tcBorders>
            <w:shd w:val="clear" w:color="auto" w:fill="auto"/>
            <w:noWrap/>
            <w:vAlign w:val="bottom"/>
          </w:tcPr>
          <w:p w14:paraId="1F4269B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(.0000347)</w:t>
            </w:r>
          </w:p>
        </w:tc>
        <w:tc>
          <w:tcPr>
            <w:tcW w:w="1260" w:type="dxa"/>
            <w:tcBorders>
              <w:top w:val="nil"/>
              <w:left w:val="nil"/>
              <w:bottom w:val="nil"/>
              <w:right w:val="nil"/>
            </w:tcBorders>
            <w:shd w:val="clear" w:color="auto" w:fill="auto"/>
            <w:noWrap/>
            <w:vAlign w:val="bottom"/>
          </w:tcPr>
          <w:p w14:paraId="51DEAB4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(.0000356)</w:t>
            </w:r>
          </w:p>
        </w:tc>
        <w:tc>
          <w:tcPr>
            <w:tcW w:w="1260" w:type="dxa"/>
            <w:gridSpan w:val="2"/>
            <w:tcBorders>
              <w:top w:val="nil"/>
              <w:left w:val="nil"/>
              <w:bottom w:val="nil"/>
              <w:right w:val="nil"/>
            </w:tcBorders>
            <w:shd w:val="clear" w:color="auto" w:fill="auto"/>
            <w:noWrap/>
            <w:vAlign w:val="bottom"/>
          </w:tcPr>
          <w:p w14:paraId="665ECC0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(.000036</w:t>
            </w:r>
            <w:r w:rsidR="00C364B1">
              <w:rPr>
                <w:rFonts w:ascii="Calibri" w:hAnsi="Calibri" w:cs="Calibri"/>
                <w:sz w:val="20"/>
                <w:szCs w:val="20"/>
              </w:rPr>
              <w:t>0</w:t>
            </w:r>
            <w:r>
              <w:rPr>
                <w:rFonts w:ascii="Calibri" w:hAnsi="Calibri" w:cs="Calibri"/>
                <w:sz w:val="20"/>
                <w:szCs w:val="20"/>
              </w:rPr>
              <w:t>)</w:t>
            </w:r>
          </w:p>
        </w:tc>
      </w:tr>
      <w:tr w:rsidR="00DA64BC" w:rsidRPr="006E6122" w14:paraId="2B4F78BE"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086F15E"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1280" w:type="dxa"/>
            <w:tcBorders>
              <w:top w:val="nil"/>
              <w:left w:val="nil"/>
              <w:bottom w:val="nil"/>
              <w:right w:val="nil"/>
            </w:tcBorders>
            <w:shd w:val="clear" w:color="auto" w:fill="auto"/>
            <w:noWrap/>
            <w:vAlign w:val="bottom"/>
          </w:tcPr>
          <w:p w14:paraId="53E65FC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.929***</w:t>
            </w:r>
          </w:p>
        </w:tc>
        <w:tc>
          <w:tcPr>
            <w:tcW w:w="1260" w:type="dxa"/>
            <w:tcBorders>
              <w:top w:val="nil"/>
              <w:left w:val="nil"/>
              <w:bottom w:val="nil"/>
              <w:right w:val="nil"/>
            </w:tcBorders>
            <w:shd w:val="clear" w:color="auto" w:fill="auto"/>
            <w:noWrap/>
            <w:vAlign w:val="bottom"/>
          </w:tcPr>
          <w:p w14:paraId="47F4BA0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.945***</w:t>
            </w:r>
          </w:p>
        </w:tc>
        <w:tc>
          <w:tcPr>
            <w:tcW w:w="1260" w:type="dxa"/>
            <w:tcBorders>
              <w:top w:val="nil"/>
              <w:left w:val="nil"/>
              <w:bottom w:val="nil"/>
              <w:right w:val="nil"/>
            </w:tcBorders>
            <w:shd w:val="clear" w:color="auto" w:fill="auto"/>
            <w:noWrap/>
            <w:vAlign w:val="bottom"/>
          </w:tcPr>
          <w:p w14:paraId="129132A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1.235***</w:t>
            </w:r>
          </w:p>
        </w:tc>
        <w:tc>
          <w:tcPr>
            <w:tcW w:w="1260" w:type="dxa"/>
            <w:tcBorders>
              <w:top w:val="nil"/>
              <w:left w:val="nil"/>
              <w:bottom w:val="nil"/>
              <w:right w:val="nil"/>
            </w:tcBorders>
            <w:shd w:val="clear" w:color="auto" w:fill="auto"/>
            <w:noWrap/>
            <w:vAlign w:val="bottom"/>
          </w:tcPr>
          <w:p w14:paraId="674FF1A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1.192***</w:t>
            </w:r>
          </w:p>
        </w:tc>
        <w:tc>
          <w:tcPr>
            <w:tcW w:w="1260" w:type="dxa"/>
            <w:gridSpan w:val="2"/>
            <w:tcBorders>
              <w:top w:val="nil"/>
              <w:left w:val="nil"/>
              <w:bottom w:val="nil"/>
              <w:right w:val="nil"/>
            </w:tcBorders>
            <w:shd w:val="clear" w:color="auto" w:fill="auto"/>
            <w:noWrap/>
            <w:vAlign w:val="bottom"/>
          </w:tcPr>
          <w:p w14:paraId="00F7539E"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1.101***</w:t>
            </w:r>
          </w:p>
        </w:tc>
      </w:tr>
      <w:tr w:rsidR="00DA64BC" w:rsidRPr="006E6122" w14:paraId="2FB0F65A"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22D7C82D"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B27195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(.274)</w:t>
            </w:r>
          </w:p>
        </w:tc>
        <w:tc>
          <w:tcPr>
            <w:tcW w:w="1260" w:type="dxa"/>
            <w:tcBorders>
              <w:top w:val="nil"/>
              <w:left w:val="nil"/>
              <w:bottom w:val="nil"/>
              <w:right w:val="nil"/>
            </w:tcBorders>
            <w:shd w:val="clear" w:color="auto" w:fill="auto"/>
            <w:noWrap/>
            <w:vAlign w:val="bottom"/>
          </w:tcPr>
          <w:p w14:paraId="3603D62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(.287)</w:t>
            </w:r>
          </w:p>
        </w:tc>
        <w:tc>
          <w:tcPr>
            <w:tcW w:w="1260" w:type="dxa"/>
            <w:tcBorders>
              <w:top w:val="nil"/>
              <w:left w:val="nil"/>
              <w:bottom w:val="nil"/>
              <w:right w:val="nil"/>
            </w:tcBorders>
            <w:shd w:val="clear" w:color="auto" w:fill="auto"/>
            <w:noWrap/>
            <w:vAlign w:val="bottom"/>
          </w:tcPr>
          <w:p w14:paraId="4C3BEA37"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(.322)</w:t>
            </w:r>
          </w:p>
        </w:tc>
        <w:tc>
          <w:tcPr>
            <w:tcW w:w="1260" w:type="dxa"/>
            <w:tcBorders>
              <w:top w:val="nil"/>
              <w:left w:val="nil"/>
              <w:bottom w:val="nil"/>
              <w:right w:val="nil"/>
            </w:tcBorders>
            <w:shd w:val="clear" w:color="auto" w:fill="auto"/>
            <w:noWrap/>
            <w:vAlign w:val="bottom"/>
          </w:tcPr>
          <w:p w14:paraId="31951B7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(.33</w:t>
            </w:r>
            <w:r w:rsidR="00C364B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404B9C1E"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(.341)</w:t>
            </w:r>
          </w:p>
        </w:tc>
      </w:tr>
      <w:tr w:rsidR="00DA64BC" w:rsidRPr="006E6122" w14:paraId="3BAFF27E"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32E7B12A"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1280" w:type="dxa"/>
            <w:tcBorders>
              <w:top w:val="nil"/>
              <w:left w:val="nil"/>
              <w:bottom w:val="nil"/>
              <w:right w:val="nil"/>
            </w:tcBorders>
            <w:shd w:val="clear" w:color="auto" w:fill="auto"/>
            <w:noWrap/>
            <w:vAlign w:val="bottom"/>
          </w:tcPr>
          <w:p w14:paraId="7D84634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.596***</w:t>
            </w:r>
          </w:p>
        </w:tc>
        <w:tc>
          <w:tcPr>
            <w:tcW w:w="1260" w:type="dxa"/>
            <w:tcBorders>
              <w:top w:val="nil"/>
              <w:left w:val="nil"/>
              <w:bottom w:val="nil"/>
              <w:right w:val="nil"/>
            </w:tcBorders>
            <w:shd w:val="clear" w:color="auto" w:fill="auto"/>
            <w:noWrap/>
            <w:vAlign w:val="bottom"/>
          </w:tcPr>
          <w:p w14:paraId="5AE0D45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.608***</w:t>
            </w:r>
          </w:p>
        </w:tc>
        <w:tc>
          <w:tcPr>
            <w:tcW w:w="1260" w:type="dxa"/>
            <w:tcBorders>
              <w:top w:val="nil"/>
              <w:left w:val="nil"/>
              <w:bottom w:val="nil"/>
              <w:right w:val="nil"/>
            </w:tcBorders>
            <w:shd w:val="clear" w:color="auto" w:fill="auto"/>
            <w:noWrap/>
            <w:vAlign w:val="bottom"/>
          </w:tcPr>
          <w:p w14:paraId="7E3FB12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.506***</w:t>
            </w:r>
          </w:p>
        </w:tc>
        <w:tc>
          <w:tcPr>
            <w:tcW w:w="1260" w:type="dxa"/>
            <w:tcBorders>
              <w:top w:val="nil"/>
              <w:left w:val="nil"/>
              <w:bottom w:val="nil"/>
              <w:right w:val="nil"/>
            </w:tcBorders>
            <w:shd w:val="clear" w:color="auto" w:fill="auto"/>
            <w:noWrap/>
            <w:vAlign w:val="bottom"/>
          </w:tcPr>
          <w:p w14:paraId="6C7BF5F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.489***</w:t>
            </w:r>
          </w:p>
        </w:tc>
        <w:tc>
          <w:tcPr>
            <w:tcW w:w="1260" w:type="dxa"/>
            <w:gridSpan w:val="2"/>
            <w:tcBorders>
              <w:top w:val="nil"/>
              <w:left w:val="nil"/>
              <w:bottom w:val="nil"/>
              <w:right w:val="nil"/>
            </w:tcBorders>
            <w:shd w:val="clear" w:color="auto" w:fill="auto"/>
            <w:noWrap/>
            <w:vAlign w:val="bottom"/>
          </w:tcPr>
          <w:p w14:paraId="6A96F13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.459***</w:t>
            </w:r>
          </w:p>
        </w:tc>
      </w:tr>
      <w:tr w:rsidR="00DA64BC" w:rsidRPr="006E6122" w14:paraId="778EF2A5"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7F691C1"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79428BF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(.0524)</w:t>
            </w:r>
          </w:p>
        </w:tc>
        <w:tc>
          <w:tcPr>
            <w:tcW w:w="1260" w:type="dxa"/>
            <w:tcBorders>
              <w:top w:val="nil"/>
              <w:left w:val="nil"/>
              <w:bottom w:val="nil"/>
              <w:right w:val="nil"/>
            </w:tcBorders>
            <w:shd w:val="clear" w:color="auto" w:fill="auto"/>
            <w:noWrap/>
            <w:vAlign w:val="bottom"/>
          </w:tcPr>
          <w:p w14:paraId="0900E11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(.0542)</w:t>
            </w:r>
          </w:p>
        </w:tc>
        <w:tc>
          <w:tcPr>
            <w:tcW w:w="1260" w:type="dxa"/>
            <w:tcBorders>
              <w:top w:val="nil"/>
              <w:left w:val="nil"/>
              <w:bottom w:val="nil"/>
              <w:right w:val="nil"/>
            </w:tcBorders>
            <w:shd w:val="clear" w:color="auto" w:fill="auto"/>
            <w:noWrap/>
            <w:vAlign w:val="bottom"/>
          </w:tcPr>
          <w:p w14:paraId="01C919F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(.0591)</w:t>
            </w:r>
          </w:p>
        </w:tc>
        <w:tc>
          <w:tcPr>
            <w:tcW w:w="1260" w:type="dxa"/>
            <w:tcBorders>
              <w:top w:val="nil"/>
              <w:left w:val="nil"/>
              <w:bottom w:val="nil"/>
              <w:right w:val="nil"/>
            </w:tcBorders>
            <w:shd w:val="clear" w:color="auto" w:fill="auto"/>
            <w:noWrap/>
            <w:vAlign w:val="bottom"/>
          </w:tcPr>
          <w:p w14:paraId="1AF4BE1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w:t>
            </w:r>
            <w:r w:rsidR="00C364B1">
              <w:rPr>
                <w:rFonts w:ascii="Calibri" w:hAnsi="Calibri" w:cs="Calibri"/>
                <w:sz w:val="20"/>
                <w:szCs w:val="20"/>
              </w:rPr>
              <w:t>00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3A2D512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(.062</w:t>
            </w:r>
            <w:r w:rsidR="00C364B1">
              <w:rPr>
                <w:rFonts w:ascii="Calibri" w:hAnsi="Calibri" w:cs="Calibri"/>
                <w:sz w:val="20"/>
                <w:szCs w:val="20"/>
              </w:rPr>
              <w:t>0</w:t>
            </w:r>
            <w:r>
              <w:rPr>
                <w:rFonts w:ascii="Calibri" w:hAnsi="Calibri" w:cs="Calibri"/>
                <w:sz w:val="20"/>
                <w:szCs w:val="20"/>
              </w:rPr>
              <w:t>)</w:t>
            </w:r>
          </w:p>
        </w:tc>
      </w:tr>
      <w:tr w:rsidR="00DA64BC" w:rsidRPr="006E6122" w14:paraId="26415213"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41FFADF6"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280" w:type="dxa"/>
            <w:tcBorders>
              <w:top w:val="nil"/>
              <w:left w:val="nil"/>
              <w:bottom w:val="nil"/>
              <w:right w:val="nil"/>
            </w:tcBorders>
            <w:shd w:val="clear" w:color="auto" w:fill="auto"/>
            <w:noWrap/>
            <w:vAlign w:val="bottom"/>
          </w:tcPr>
          <w:p w14:paraId="08C1805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.0867</w:t>
            </w:r>
          </w:p>
        </w:tc>
        <w:tc>
          <w:tcPr>
            <w:tcW w:w="1260" w:type="dxa"/>
            <w:tcBorders>
              <w:top w:val="nil"/>
              <w:left w:val="nil"/>
              <w:bottom w:val="nil"/>
              <w:right w:val="nil"/>
            </w:tcBorders>
            <w:shd w:val="clear" w:color="auto" w:fill="auto"/>
            <w:noWrap/>
            <w:vAlign w:val="bottom"/>
          </w:tcPr>
          <w:p w14:paraId="0264AE5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.106</w:t>
            </w:r>
          </w:p>
        </w:tc>
        <w:tc>
          <w:tcPr>
            <w:tcW w:w="1260" w:type="dxa"/>
            <w:tcBorders>
              <w:top w:val="nil"/>
              <w:left w:val="nil"/>
              <w:bottom w:val="nil"/>
              <w:right w:val="nil"/>
            </w:tcBorders>
            <w:shd w:val="clear" w:color="auto" w:fill="auto"/>
            <w:noWrap/>
            <w:vAlign w:val="bottom"/>
          </w:tcPr>
          <w:p w14:paraId="6B8136A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.0354</w:t>
            </w:r>
          </w:p>
        </w:tc>
        <w:tc>
          <w:tcPr>
            <w:tcW w:w="1260" w:type="dxa"/>
            <w:tcBorders>
              <w:top w:val="nil"/>
              <w:left w:val="nil"/>
              <w:bottom w:val="nil"/>
              <w:right w:val="nil"/>
            </w:tcBorders>
            <w:shd w:val="clear" w:color="auto" w:fill="auto"/>
            <w:noWrap/>
            <w:vAlign w:val="bottom"/>
          </w:tcPr>
          <w:p w14:paraId="571B09A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.0516</w:t>
            </w:r>
          </w:p>
        </w:tc>
        <w:tc>
          <w:tcPr>
            <w:tcW w:w="1260" w:type="dxa"/>
            <w:gridSpan w:val="2"/>
            <w:tcBorders>
              <w:top w:val="nil"/>
              <w:left w:val="nil"/>
              <w:bottom w:val="nil"/>
              <w:right w:val="nil"/>
            </w:tcBorders>
            <w:shd w:val="clear" w:color="auto" w:fill="auto"/>
            <w:noWrap/>
            <w:vAlign w:val="bottom"/>
          </w:tcPr>
          <w:p w14:paraId="434E19D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-.0124</w:t>
            </w:r>
          </w:p>
        </w:tc>
      </w:tr>
      <w:tr w:rsidR="00DA64BC" w:rsidRPr="006E6122" w14:paraId="216EE298"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32F67300"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lastRenderedPageBreak/>
              <w:t> </w:t>
            </w:r>
          </w:p>
        </w:tc>
        <w:tc>
          <w:tcPr>
            <w:tcW w:w="1280" w:type="dxa"/>
            <w:tcBorders>
              <w:top w:val="nil"/>
              <w:left w:val="nil"/>
              <w:bottom w:val="nil"/>
              <w:right w:val="nil"/>
            </w:tcBorders>
            <w:shd w:val="clear" w:color="auto" w:fill="auto"/>
            <w:noWrap/>
            <w:vAlign w:val="bottom"/>
          </w:tcPr>
          <w:p w14:paraId="33A6A78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(.0664)</w:t>
            </w:r>
          </w:p>
        </w:tc>
        <w:tc>
          <w:tcPr>
            <w:tcW w:w="1260" w:type="dxa"/>
            <w:tcBorders>
              <w:top w:val="nil"/>
              <w:left w:val="nil"/>
              <w:bottom w:val="nil"/>
              <w:right w:val="nil"/>
            </w:tcBorders>
            <w:shd w:val="clear" w:color="auto" w:fill="auto"/>
            <w:noWrap/>
            <w:vAlign w:val="bottom"/>
          </w:tcPr>
          <w:p w14:paraId="1B74FE4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(.0695)</w:t>
            </w:r>
          </w:p>
        </w:tc>
        <w:tc>
          <w:tcPr>
            <w:tcW w:w="1260" w:type="dxa"/>
            <w:tcBorders>
              <w:top w:val="nil"/>
              <w:left w:val="nil"/>
              <w:bottom w:val="nil"/>
              <w:right w:val="nil"/>
            </w:tcBorders>
            <w:shd w:val="clear" w:color="auto" w:fill="auto"/>
            <w:noWrap/>
            <w:vAlign w:val="bottom"/>
          </w:tcPr>
          <w:p w14:paraId="724B60F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(.082</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50D339D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(.085</w:t>
            </w:r>
            <w:r w:rsidR="00C364B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525EFF2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(.0902)</w:t>
            </w:r>
          </w:p>
        </w:tc>
      </w:tr>
      <w:tr w:rsidR="00DA64BC" w:rsidRPr="006E6122" w14:paraId="7D62E8F4"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35F7A4E1"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1280" w:type="dxa"/>
            <w:tcBorders>
              <w:top w:val="nil"/>
              <w:left w:val="nil"/>
              <w:bottom w:val="nil"/>
              <w:right w:val="nil"/>
            </w:tcBorders>
            <w:shd w:val="clear" w:color="auto" w:fill="auto"/>
            <w:noWrap/>
            <w:vAlign w:val="bottom"/>
          </w:tcPr>
          <w:p w14:paraId="787D266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.0612***</w:t>
            </w:r>
          </w:p>
        </w:tc>
        <w:tc>
          <w:tcPr>
            <w:tcW w:w="1260" w:type="dxa"/>
            <w:tcBorders>
              <w:top w:val="nil"/>
              <w:left w:val="nil"/>
              <w:bottom w:val="nil"/>
              <w:right w:val="nil"/>
            </w:tcBorders>
            <w:shd w:val="clear" w:color="auto" w:fill="auto"/>
            <w:noWrap/>
            <w:vAlign w:val="bottom"/>
          </w:tcPr>
          <w:p w14:paraId="74370F0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.0654***</w:t>
            </w:r>
          </w:p>
        </w:tc>
        <w:tc>
          <w:tcPr>
            <w:tcW w:w="1260" w:type="dxa"/>
            <w:tcBorders>
              <w:top w:val="nil"/>
              <w:left w:val="nil"/>
              <w:bottom w:val="nil"/>
              <w:right w:val="nil"/>
            </w:tcBorders>
            <w:shd w:val="clear" w:color="auto" w:fill="auto"/>
            <w:noWrap/>
            <w:vAlign w:val="bottom"/>
          </w:tcPr>
          <w:p w14:paraId="7F47DEF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.0406***</w:t>
            </w:r>
          </w:p>
        </w:tc>
        <w:tc>
          <w:tcPr>
            <w:tcW w:w="1260" w:type="dxa"/>
            <w:tcBorders>
              <w:top w:val="nil"/>
              <w:left w:val="nil"/>
              <w:bottom w:val="nil"/>
              <w:right w:val="nil"/>
            </w:tcBorders>
            <w:shd w:val="clear" w:color="auto" w:fill="auto"/>
            <w:noWrap/>
            <w:vAlign w:val="bottom"/>
          </w:tcPr>
          <w:p w14:paraId="0340E9A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.0472***</w:t>
            </w:r>
          </w:p>
        </w:tc>
        <w:tc>
          <w:tcPr>
            <w:tcW w:w="1260" w:type="dxa"/>
            <w:gridSpan w:val="2"/>
            <w:tcBorders>
              <w:top w:val="nil"/>
              <w:left w:val="nil"/>
              <w:bottom w:val="nil"/>
              <w:right w:val="nil"/>
            </w:tcBorders>
            <w:shd w:val="clear" w:color="auto" w:fill="auto"/>
            <w:noWrap/>
            <w:vAlign w:val="bottom"/>
          </w:tcPr>
          <w:p w14:paraId="6C51136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.0487***</w:t>
            </w:r>
          </w:p>
        </w:tc>
      </w:tr>
      <w:tr w:rsidR="00DA64BC" w:rsidRPr="006E6122" w14:paraId="423002C0"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568FDDF0"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68421F6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(.0111)</w:t>
            </w:r>
          </w:p>
        </w:tc>
        <w:tc>
          <w:tcPr>
            <w:tcW w:w="1260" w:type="dxa"/>
            <w:tcBorders>
              <w:top w:val="nil"/>
              <w:left w:val="nil"/>
              <w:bottom w:val="nil"/>
              <w:right w:val="nil"/>
            </w:tcBorders>
            <w:shd w:val="clear" w:color="auto" w:fill="auto"/>
            <w:noWrap/>
            <w:vAlign w:val="bottom"/>
          </w:tcPr>
          <w:p w14:paraId="4BBC46E7"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(.0114)</w:t>
            </w:r>
          </w:p>
        </w:tc>
        <w:tc>
          <w:tcPr>
            <w:tcW w:w="1260" w:type="dxa"/>
            <w:tcBorders>
              <w:top w:val="nil"/>
              <w:left w:val="nil"/>
              <w:bottom w:val="nil"/>
              <w:right w:val="nil"/>
            </w:tcBorders>
            <w:shd w:val="clear" w:color="auto" w:fill="auto"/>
            <w:noWrap/>
            <w:vAlign w:val="bottom"/>
          </w:tcPr>
          <w:p w14:paraId="10F8EF8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(.0145)</w:t>
            </w:r>
          </w:p>
        </w:tc>
        <w:tc>
          <w:tcPr>
            <w:tcW w:w="1260" w:type="dxa"/>
            <w:tcBorders>
              <w:top w:val="nil"/>
              <w:left w:val="nil"/>
              <w:bottom w:val="nil"/>
              <w:right w:val="nil"/>
            </w:tcBorders>
            <w:shd w:val="clear" w:color="auto" w:fill="auto"/>
            <w:noWrap/>
            <w:vAlign w:val="bottom"/>
          </w:tcPr>
          <w:p w14:paraId="3908C45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(.0149)</w:t>
            </w:r>
          </w:p>
        </w:tc>
        <w:tc>
          <w:tcPr>
            <w:tcW w:w="1260" w:type="dxa"/>
            <w:gridSpan w:val="2"/>
            <w:tcBorders>
              <w:top w:val="nil"/>
              <w:left w:val="nil"/>
              <w:bottom w:val="nil"/>
              <w:right w:val="nil"/>
            </w:tcBorders>
            <w:shd w:val="clear" w:color="auto" w:fill="auto"/>
            <w:noWrap/>
            <w:vAlign w:val="bottom"/>
          </w:tcPr>
          <w:p w14:paraId="2060F1F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(.0155)</w:t>
            </w:r>
          </w:p>
        </w:tc>
      </w:tr>
      <w:tr w:rsidR="00DA64BC" w:rsidRPr="006E6122" w14:paraId="1613E035"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46E64E0D"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1280" w:type="dxa"/>
            <w:tcBorders>
              <w:top w:val="nil"/>
              <w:left w:val="nil"/>
              <w:bottom w:val="nil"/>
              <w:right w:val="nil"/>
            </w:tcBorders>
            <w:shd w:val="clear" w:color="auto" w:fill="auto"/>
            <w:noWrap/>
            <w:vAlign w:val="bottom"/>
          </w:tcPr>
          <w:p w14:paraId="0C4D1B7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-.0126***</w:t>
            </w:r>
          </w:p>
        </w:tc>
        <w:tc>
          <w:tcPr>
            <w:tcW w:w="1260" w:type="dxa"/>
            <w:tcBorders>
              <w:top w:val="nil"/>
              <w:left w:val="nil"/>
              <w:bottom w:val="nil"/>
              <w:right w:val="nil"/>
            </w:tcBorders>
            <w:shd w:val="clear" w:color="auto" w:fill="auto"/>
            <w:noWrap/>
            <w:vAlign w:val="bottom"/>
          </w:tcPr>
          <w:p w14:paraId="0522AC4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-.0143***</w:t>
            </w:r>
          </w:p>
        </w:tc>
        <w:tc>
          <w:tcPr>
            <w:tcW w:w="1260" w:type="dxa"/>
            <w:tcBorders>
              <w:top w:val="nil"/>
              <w:left w:val="nil"/>
              <w:bottom w:val="nil"/>
              <w:right w:val="nil"/>
            </w:tcBorders>
            <w:shd w:val="clear" w:color="auto" w:fill="auto"/>
            <w:noWrap/>
            <w:vAlign w:val="bottom"/>
          </w:tcPr>
          <w:p w14:paraId="1E37B45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-.0148***</w:t>
            </w:r>
          </w:p>
        </w:tc>
        <w:tc>
          <w:tcPr>
            <w:tcW w:w="1260" w:type="dxa"/>
            <w:tcBorders>
              <w:top w:val="nil"/>
              <w:left w:val="nil"/>
              <w:bottom w:val="nil"/>
              <w:right w:val="nil"/>
            </w:tcBorders>
            <w:shd w:val="clear" w:color="auto" w:fill="auto"/>
            <w:noWrap/>
            <w:vAlign w:val="bottom"/>
          </w:tcPr>
          <w:p w14:paraId="5A0DA52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-.0141***</w:t>
            </w:r>
          </w:p>
        </w:tc>
        <w:tc>
          <w:tcPr>
            <w:tcW w:w="1260" w:type="dxa"/>
            <w:gridSpan w:val="2"/>
            <w:tcBorders>
              <w:top w:val="nil"/>
              <w:left w:val="nil"/>
              <w:bottom w:val="nil"/>
              <w:right w:val="nil"/>
            </w:tcBorders>
            <w:shd w:val="clear" w:color="auto" w:fill="auto"/>
            <w:noWrap/>
            <w:vAlign w:val="bottom"/>
          </w:tcPr>
          <w:p w14:paraId="58858A3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-.0136***</w:t>
            </w:r>
          </w:p>
        </w:tc>
      </w:tr>
      <w:tr w:rsidR="00DA64BC" w:rsidRPr="006E6122" w14:paraId="4534D99A"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138D19A3"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71D478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(.00315)</w:t>
            </w:r>
          </w:p>
        </w:tc>
        <w:tc>
          <w:tcPr>
            <w:tcW w:w="1260" w:type="dxa"/>
            <w:tcBorders>
              <w:top w:val="nil"/>
              <w:left w:val="nil"/>
              <w:bottom w:val="nil"/>
              <w:right w:val="nil"/>
            </w:tcBorders>
            <w:shd w:val="clear" w:color="auto" w:fill="auto"/>
            <w:noWrap/>
            <w:vAlign w:val="bottom"/>
          </w:tcPr>
          <w:p w14:paraId="294DBA3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(.00329)</w:t>
            </w:r>
          </w:p>
        </w:tc>
        <w:tc>
          <w:tcPr>
            <w:tcW w:w="1260" w:type="dxa"/>
            <w:tcBorders>
              <w:top w:val="nil"/>
              <w:left w:val="nil"/>
              <w:bottom w:val="nil"/>
              <w:right w:val="nil"/>
            </w:tcBorders>
            <w:shd w:val="clear" w:color="auto" w:fill="auto"/>
            <w:noWrap/>
            <w:vAlign w:val="bottom"/>
          </w:tcPr>
          <w:p w14:paraId="25ECD3D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(.00363)</w:t>
            </w:r>
          </w:p>
        </w:tc>
        <w:tc>
          <w:tcPr>
            <w:tcW w:w="1260" w:type="dxa"/>
            <w:tcBorders>
              <w:top w:val="nil"/>
              <w:left w:val="nil"/>
              <w:bottom w:val="nil"/>
              <w:right w:val="nil"/>
            </w:tcBorders>
            <w:shd w:val="clear" w:color="auto" w:fill="auto"/>
            <w:noWrap/>
            <w:vAlign w:val="bottom"/>
          </w:tcPr>
          <w:p w14:paraId="0987205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(.00368)</w:t>
            </w:r>
          </w:p>
        </w:tc>
        <w:tc>
          <w:tcPr>
            <w:tcW w:w="1260" w:type="dxa"/>
            <w:gridSpan w:val="2"/>
            <w:tcBorders>
              <w:top w:val="nil"/>
              <w:left w:val="nil"/>
              <w:bottom w:val="nil"/>
              <w:right w:val="nil"/>
            </w:tcBorders>
            <w:shd w:val="clear" w:color="auto" w:fill="auto"/>
            <w:noWrap/>
            <w:vAlign w:val="bottom"/>
          </w:tcPr>
          <w:p w14:paraId="1FEF950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(.00374)</w:t>
            </w:r>
          </w:p>
        </w:tc>
      </w:tr>
      <w:tr w:rsidR="00DA64BC" w:rsidRPr="006E6122" w14:paraId="212A2E60"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178CBB4B"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1280" w:type="dxa"/>
            <w:tcBorders>
              <w:top w:val="nil"/>
              <w:left w:val="nil"/>
              <w:bottom w:val="nil"/>
              <w:right w:val="nil"/>
            </w:tcBorders>
            <w:shd w:val="clear" w:color="auto" w:fill="auto"/>
            <w:noWrap/>
            <w:vAlign w:val="bottom"/>
          </w:tcPr>
          <w:p w14:paraId="0CF9F7A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-.149***</w:t>
            </w:r>
          </w:p>
        </w:tc>
        <w:tc>
          <w:tcPr>
            <w:tcW w:w="1260" w:type="dxa"/>
            <w:tcBorders>
              <w:top w:val="nil"/>
              <w:left w:val="nil"/>
              <w:bottom w:val="nil"/>
              <w:right w:val="nil"/>
            </w:tcBorders>
            <w:shd w:val="clear" w:color="auto" w:fill="auto"/>
            <w:noWrap/>
            <w:vAlign w:val="bottom"/>
          </w:tcPr>
          <w:p w14:paraId="6C9D849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-.117**</w:t>
            </w:r>
          </w:p>
        </w:tc>
        <w:tc>
          <w:tcPr>
            <w:tcW w:w="1260" w:type="dxa"/>
            <w:tcBorders>
              <w:top w:val="nil"/>
              <w:left w:val="nil"/>
              <w:bottom w:val="nil"/>
              <w:right w:val="nil"/>
            </w:tcBorders>
            <w:shd w:val="clear" w:color="auto" w:fill="auto"/>
            <w:noWrap/>
            <w:vAlign w:val="bottom"/>
          </w:tcPr>
          <w:p w14:paraId="71F5BD3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-.208***</w:t>
            </w:r>
          </w:p>
        </w:tc>
        <w:tc>
          <w:tcPr>
            <w:tcW w:w="1260" w:type="dxa"/>
            <w:tcBorders>
              <w:top w:val="nil"/>
              <w:left w:val="nil"/>
              <w:bottom w:val="nil"/>
              <w:right w:val="nil"/>
            </w:tcBorders>
            <w:shd w:val="clear" w:color="auto" w:fill="auto"/>
            <w:noWrap/>
            <w:vAlign w:val="bottom"/>
          </w:tcPr>
          <w:p w14:paraId="7B6A12E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-.182***</w:t>
            </w:r>
          </w:p>
        </w:tc>
        <w:tc>
          <w:tcPr>
            <w:tcW w:w="1260" w:type="dxa"/>
            <w:gridSpan w:val="2"/>
            <w:tcBorders>
              <w:top w:val="nil"/>
              <w:left w:val="nil"/>
              <w:bottom w:val="nil"/>
              <w:right w:val="nil"/>
            </w:tcBorders>
            <w:shd w:val="clear" w:color="auto" w:fill="auto"/>
            <w:noWrap/>
            <w:vAlign w:val="bottom"/>
          </w:tcPr>
          <w:p w14:paraId="2F63C28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-.214***</w:t>
            </w:r>
          </w:p>
        </w:tc>
      </w:tr>
      <w:tr w:rsidR="00DA64BC" w:rsidRPr="006E6122" w14:paraId="1EF0E8C0"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A41EC58" w14:textId="77777777" w:rsidR="00DA64BC" w:rsidRPr="006E6122" w:rsidRDefault="00DA64BC"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7E14D32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(.0533)</w:t>
            </w:r>
          </w:p>
        </w:tc>
        <w:tc>
          <w:tcPr>
            <w:tcW w:w="1260" w:type="dxa"/>
            <w:tcBorders>
              <w:top w:val="nil"/>
              <w:left w:val="nil"/>
              <w:bottom w:val="nil"/>
              <w:right w:val="nil"/>
            </w:tcBorders>
            <w:shd w:val="clear" w:color="auto" w:fill="auto"/>
            <w:noWrap/>
            <w:vAlign w:val="bottom"/>
          </w:tcPr>
          <w:p w14:paraId="7FF510D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(.0557)</w:t>
            </w:r>
          </w:p>
        </w:tc>
        <w:tc>
          <w:tcPr>
            <w:tcW w:w="1260" w:type="dxa"/>
            <w:tcBorders>
              <w:top w:val="nil"/>
              <w:left w:val="nil"/>
              <w:bottom w:val="nil"/>
              <w:right w:val="nil"/>
            </w:tcBorders>
            <w:shd w:val="clear" w:color="auto" w:fill="auto"/>
            <w:noWrap/>
            <w:vAlign w:val="bottom"/>
          </w:tcPr>
          <w:p w14:paraId="77944FF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(.0649)</w:t>
            </w:r>
          </w:p>
        </w:tc>
        <w:tc>
          <w:tcPr>
            <w:tcW w:w="1260" w:type="dxa"/>
            <w:tcBorders>
              <w:top w:val="nil"/>
              <w:left w:val="nil"/>
              <w:bottom w:val="nil"/>
              <w:right w:val="nil"/>
            </w:tcBorders>
            <w:shd w:val="clear" w:color="auto" w:fill="auto"/>
            <w:noWrap/>
            <w:vAlign w:val="bottom"/>
          </w:tcPr>
          <w:p w14:paraId="0FCB94D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(.0666)</w:t>
            </w:r>
          </w:p>
        </w:tc>
        <w:tc>
          <w:tcPr>
            <w:tcW w:w="1260" w:type="dxa"/>
            <w:gridSpan w:val="2"/>
            <w:tcBorders>
              <w:top w:val="nil"/>
              <w:left w:val="nil"/>
              <w:bottom w:val="nil"/>
              <w:right w:val="nil"/>
            </w:tcBorders>
            <w:shd w:val="clear" w:color="auto" w:fill="auto"/>
            <w:noWrap/>
            <w:vAlign w:val="bottom"/>
          </w:tcPr>
          <w:p w14:paraId="1018B55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(.07</w:t>
            </w:r>
            <w:r w:rsidR="00C364B1">
              <w:rPr>
                <w:rFonts w:ascii="Calibri" w:hAnsi="Calibri" w:cs="Calibri"/>
                <w:sz w:val="20"/>
                <w:szCs w:val="20"/>
              </w:rPr>
              <w:t>00</w:t>
            </w:r>
            <w:r>
              <w:rPr>
                <w:rFonts w:ascii="Calibri" w:hAnsi="Calibri" w:cs="Calibri"/>
                <w:sz w:val="20"/>
                <w:szCs w:val="20"/>
              </w:rPr>
              <w:t>)</w:t>
            </w:r>
          </w:p>
        </w:tc>
      </w:tr>
      <w:tr w:rsidR="00DA64BC" w:rsidRPr="006E6122" w14:paraId="5597B5E5" w14:textId="77777777" w:rsidTr="006751BB">
        <w:tblPrEx>
          <w:jc w:val="left"/>
        </w:tblPrEx>
        <w:trPr>
          <w:gridAfter w:val="1"/>
          <w:wAfter w:w="143" w:type="dxa"/>
          <w:trHeight w:val="255"/>
        </w:trPr>
        <w:tc>
          <w:tcPr>
            <w:tcW w:w="1639" w:type="dxa"/>
            <w:tcBorders>
              <w:top w:val="single" w:sz="4" w:space="0" w:color="auto"/>
              <w:left w:val="nil"/>
              <w:bottom w:val="nil"/>
              <w:right w:val="nil"/>
            </w:tcBorders>
            <w:shd w:val="clear" w:color="auto" w:fill="auto"/>
            <w:noWrap/>
            <w:vAlign w:val="bottom"/>
            <w:hideMark/>
          </w:tcPr>
          <w:p w14:paraId="1B1DDF0D"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6177" w:type="dxa"/>
            <w:gridSpan w:val="5"/>
            <w:tcBorders>
              <w:top w:val="single" w:sz="4" w:space="0" w:color="auto"/>
              <w:left w:val="nil"/>
              <w:bottom w:val="nil"/>
              <w:right w:val="nil"/>
            </w:tcBorders>
            <w:shd w:val="clear" w:color="auto" w:fill="auto"/>
            <w:noWrap/>
            <w:vAlign w:val="bottom"/>
            <w:hideMark/>
          </w:tcPr>
          <w:p w14:paraId="6402AC45"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xml:space="preserve">Probability of </w:t>
            </w:r>
            <w:r>
              <w:rPr>
                <w:rFonts w:ascii="Calibri" w:eastAsia="Times New Roman" w:hAnsi="Calibri" w:cs="Calibri"/>
                <w:sz w:val="20"/>
                <w:szCs w:val="20"/>
              </w:rPr>
              <w:t>p</w:t>
            </w:r>
            <w:r w:rsidRPr="006E6122">
              <w:rPr>
                <w:rFonts w:ascii="Calibri" w:eastAsia="Times New Roman" w:hAnsi="Calibri" w:cs="Calibri"/>
                <w:sz w:val="20"/>
                <w:szCs w:val="20"/>
              </w:rPr>
              <w:t>repayment</w:t>
            </w:r>
          </w:p>
        </w:tc>
      </w:tr>
      <w:tr w:rsidR="00DA64BC" w:rsidRPr="006E6122" w14:paraId="675F4CF8" w14:textId="77777777" w:rsidTr="006751BB">
        <w:tblPrEx>
          <w:jc w:val="left"/>
        </w:tblPrEx>
        <w:trPr>
          <w:trHeight w:val="255"/>
        </w:trPr>
        <w:tc>
          <w:tcPr>
            <w:tcW w:w="1639" w:type="dxa"/>
            <w:tcBorders>
              <w:top w:val="nil"/>
              <w:left w:val="nil"/>
              <w:right w:val="nil"/>
            </w:tcBorders>
            <w:shd w:val="clear" w:color="auto" w:fill="auto"/>
            <w:noWrap/>
            <w:vAlign w:val="bottom"/>
            <w:hideMark/>
          </w:tcPr>
          <w:p w14:paraId="382A026F" w14:textId="77777777" w:rsidR="00DA64BC" w:rsidRPr="006E6122" w:rsidRDefault="00DA64BC" w:rsidP="00A02DF8">
            <w:pPr>
              <w:spacing w:after="0" w:line="240" w:lineRule="auto"/>
              <w:contextualSpacing/>
              <w:jc w:val="center"/>
              <w:rPr>
                <w:rFonts w:ascii="Calibri" w:eastAsia="Times New Roman" w:hAnsi="Calibri" w:cs="Calibri"/>
                <w:sz w:val="18"/>
                <w:szCs w:val="18"/>
              </w:rPr>
            </w:pPr>
            <w:r w:rsidRPr="006E6122">
              <w:rPr>
                <w:rFonts w:ascii="Calibri" w:eastAsia="Times New Roman" w:hAnsi="Calibri" w:cs="Calibri"/>
                <w:sz w:val="18"/>
                <w:szCs w:val="18"/>
              </w:rPr>
              <w:t> </w:t>
            </w:r>
          </w:p>
        </w:tc>
        <w:tc>
          <w:tcPr>
            <w:tcW w:w="1280" w:type="dxa"/>
            <w:tcBorders>
              <w:top w:val="nil"/>
              <w:left w:val="nil"/>
              <w:right w:val="nil"/>
            </w:tcBorders>
            <w:shd w:val="clear" w:color="auto" w:fill="auto"/>
            <w:noWrap/>
            <w:vAlign w:val="bottom"/>
            <w:hideMark/>
          </w:tcPr>
          <w:p w14:paraId="3EAC39E9"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2008-2010</w:t>
            </w:r>
          </w:p>
        </w:tc>
        <w:tc>
          <w:tcPr>
            <w:tcW w:w="1260" w:type="dxa"/>
            <w:tcBorders>
              <w:top w:val="nil"/>
              <w:left w:val="nil"/>
              <w:right w:val="nil"/>
            </w:tcBorders>
            <w:shd w:val="clear" w:color="auto" w:fill="auto"/>
            <w:noWrap/>
            <w:vAlign w:val="bottom"/>
            <w:hideMark/>
          </w:tcPr>
          <w:p w14:paraId="70367476"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2007-2011</w:t>
            </w:r>
          </w:p>
        </w:tc>
        <w:tc>
          <w:tcPr>
            <w:tcW w:w="1260" w:type="dxa"/>
            <w:tcBorders>
              <w:top w:val="nil"/>
              <w:left w:val="nil"/>
              <w:right w:val="nil"/>
            </w:tcBorders>
            <w:shd w:val="clear" w:color="auto" w:fill="auto"/>
            <w:noWrap/>
            <w:vAlign w:val="bottom"/>
            <w:hideMark/>
          </w:tcPr>
          <w:p w14:paraId="741EC461"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2006-2012</w:t>
            </w:r>
          </w:p>
        </w:tc>
        <w:tc>
          <w:tcPr>
            <w:tcW w:w="1260" w:type="dxa"/>
            <w:tcBorders>
              <w:top w:val="nil"/>
              <w:left w:val="nil"/>
              <w:right w:val="nil"/>
            </w:tcBorders>
            <w:shd w:val="clear" w:color="auto" w:fill="auto"/>
            <w:noWrap/>
            <w:vAlign w:val="bottom"/>
            <w:hideMark/>
          </w:tcPr>
          <w:p w14:paraId="5B60C4A2"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2005-2013</w:t>
            </w:r>
          </w:p>
        </w:tc>
        <w:tc>
          <w:tcPr>
            <w:tcW w:w="1260" w:type="dxa"/>
            <w:gridSpan w:val="2"/>
            <w:tcBorders>
              <w:top w:val="nil"/>
              <w:left w:val="nil"/>
              <w:right w:val="nil"/>
            </w:tcBorders>
            <w:shd w:val="clear" w:color="auto" w:fill="auto"/>
            <w:noWrap/>
            <w:vAlign w:val="bottom"/>
            <w:hideMark/>
          </w:tcPr>
          <w:p w14:paraId="2A645D62"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2004-2014</w:t>
            </w:r>
          </w:p>
        </w:tc>
      </w:tr>
      <w:tr w:rsidR="00DA64BC" w:rsidRPr="006E6122" w14:paraId="293A804A" w14:textId="77777777" w:rsidTr="006751BB">
        <w:tblPrEx>
          <w:jc w:val="left"/>
        </w:tblPrEx>
        <w:trPr>
          <w:trHeight w:val="255"/>
        </w:trPr>
        <w:tc>
          <w:tcPr>
            <w:tcW w:w="1639" w:type="dxa"/>
            <w:tcBorders>
              <w:top w:val="nil"/>
              <w:left w:val="nil"/>
              <w:bottom w:val="single" w:sz="4" w:space="0" w:color="auto"/>
              <w:right w:val="nil"/>
            </w:tcBorders>
            <w:shd w:val="clear" w:color="auto" w:fill="auto"/>
            <w:noWrap/>
            <w:vAlign w:val="bottom"/>
            <w:hideMark/>
          </w:tcPr>
          <w:p w14:paraId="4E18B42A"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single" w:sz="4" w:space="0" w:color="auto"/>
              <w:right w:val="nil"/>
            </w:tcBorders>
            <w:shd w:val="clear" w:color="auto" w:fill="auto"/>
            <w:noWrap/>
            <w:vAlign w:val="bottom"/>
            <w:hideMark/>
          </w:tcPr>
          <w:p w14:paraId="24C48294"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(1)</w:t>
            </w:r>
          </w:p>
        </w:tc>
        <w:tc>
          <w:tcPr>
            <w:tcW w:w="1260" w:type="dxa"/>
            <w:tcBorders>
              <w:top w:val="nil"/>
              <w:left w:val="nil"/>
              <w:bottom w:val="single" w:sz="4" w:space="0" w:color="auto"/>
              <w:right w:val="nil"/>
            </w:tcBorders>
            <w:shd w:val="clear" w:color="auto" w:fill="auto"/>
            <w:noWrap/>
            <w:vAlign w:val="bottom"/>
            <w:hideMark/>
          </w:tcPr>
          <w:p w14:paraId="21D24102"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w:t>
            </w:r>
          </w:p>
        </w:tc>
        <w:tc>
          <w:tcPr>
            <w:tcW w:w="1260" w:type="dxa"/>
            <w:tcBorders>
              <w:top w:val="nil"/>
              <w:left w:val="nil"/>
              <w:bottom w:val="single" w:sz="4" w:space="0" w:color="auto"/>
              <w:right w:val="nil"/>
            </w:tcBorders>
            <w:shd w:val="clear" w:color="auto" w:fill="auto"/>
            <w:noWrap/>
            <w:vAlign w:val="bottom"/>
            <w:hideMark/>
          </w:tcPr>
          <w:p w14:paraId="1A14AA05"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(3)</w:t>
            </w:r>
          </w:p>
        </w:tc>
        <w:tc>
          <w:tcPr>
            <w:tcW w:w="1260" w:type="dxa"/>
            <w:tcBorders>
              <w:top w:val="nil"/>
              <w:left w:val="nil"/>
              <w:bottom w:val="single" w:sz="4" w:space="0" w:color="auto"/>
              <w:right w:val="nil"/>
            </w:tcBorders>
            <w:shd w:val="clear" w:color="auto" w:fill="auto"/>
            <w:noWrap/>
            <w:vAlign w:val="bottom"/>
            <w:hideMark/>
          </w:tcPr>
          <w:p w14:paraId="25CB2F73"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(4)</w:t>
            </w:r>
          </w:p>
        </w:tc>
        <w:tc>
          <w:tcPr>
            <w:tcW w:w="1260" w:type="dxa"/>
            <w:gridSpan w:val="2"/>
            <w:tcBorders>
              <w:top w:val="nil"/>
              <w:left w:val="nil"/>
              <w:bottom w:val="single" w:sz="4" w:space="0" w:color="auto"/>
              <w:right w:val="nil"/>
            </w:tcBorders>
            <w:shd w:val="clear" w:color="auto" w:fill="auto"/>
            <w:noWrap/>
            <w:vAlign w:val="bottom"/>
            <w:hideMark/>
          </w:tcPr>
          <w:p w14:paraId="7EE81A00"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(5)</w:t>
            </w:r>
          </w:p>
        </w:tc>
      </w:tr>
      <w:tr w:rsidR="00DA64BC" w:rsidRPr="006E6122" w14:paraId="4D943550" w14:textId="77777777" w:rsidTr="006751BB">
        <w:tblPrEx>
          <w:jc w:val="left"/>
        </w:tblPrEx>
        <w:trPr>
          <w:trHeight w:val="255"/>
        </w:trPr>
        <w:tc>
          <w:tcPr>
            <w:tcW w:w="1639" w:type="dxa"/>
            <w:tcBorders>
              <w:top w:val="single" w:sz="4" w:space="0" w:color="auto"/>
              <w:left w:val="nil"/>
              <w:bottom w:val="nil"/>
              <w:right w:val="nil"/>
            </w:tcBorders>
            <w:shd w:val="clear" w:color="auto" w:fill="auto"/>
            <w:noWrap/>
            <w:vAlign w:val="bottom"/>
            <w:hideMark/>
          </w:tcPr>
          <w:p w14:paraId="44586E53"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280" w:type="dxa"/>
            <w:tcBorders>
              <w:top w:val="single" w:sz="4" w:space="0" w:color="auto"/>
              <w:left w:val="nil"/>
              <w:bottom w:val="nil"/>
              <w:right w:val="nil"/>
            </w:tcBorders>
            <w:shd w:val="clear" w:color="auto" w:fill="auto"/>
            <w:noWrap/>
            <w:vAlign w:val="bottom"/>
          </w:tcPr>
          <w:p w14:paraId="0F8D3F0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-.0241</w:t>
            </w:r>
          </w:p>
        </w:tc>
        <w:tc>
          <w:tcPr>
            <w:tcW w:w="1260" w:type="dxa"/>
            <w:tcBorders>
              <w:top w:val="single" w:sz="4" w:space="0" w:color="auto"/>
              <w:left w:val="nil"/>
              <w:bottom w:val="nil"/>
              <w:right w:val="nil"/>
            </w:tcBorders>
            <w:shd w:val="clear" w:color="auto" w:fill="auto"/>
            <w:noWrap/>
            <w:vAlign w:val="bottom"/>
          </w:tcPr>
          <w:p w14:paraId="38B766A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w:t>
            </w:r>
            <w:r w:rsidR="00C364B1">
              <w:rPr>
                <w:rFonts w:ascii="Calibri" w:hAnsi="Calibri" w:cs="Calibri"/>
                <w:sz w:val="20"/>
                <w:szCs w:val="20"/>
              </w:rPr>
              <w:t>00</w:t>
            </w:r>
            <w:r>
              <w:rPr>
                <w:rFonts w:ascii="Calibri" w:hAnsi="Calibri" w:cs="Calibri"/>
                <w:sz w:val="20"/>
                <w:szCs w:val="20"/>
              </w:rPr>
              <w:t>*</w:t>
            </w:r>
          </w:p>
        </w:tc>
        <w:tc>
          <w:tcPr>
            <w:tcW w:w="1260" w:type="dxa"/>
            <w:tcBorders>
              <w:top w:val="single" w:sz="4" w:space="0" w:color="auto"/>
              <w:left w:val="nil"/>
              <w:bottom w:val="nil"/>
              <w:right w:val="nil"/>
            </w:tcBorders>
            <w:shd w:val="clear" w:color="auto" w:fill="auto"/>
            <w:noWrap/>
            <w:vAlign w:val="bottom"/>
          </w:tcPr>
          <w:p w14:paraId="6EE8F0B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-.0836***</w:t>
            </w:r>
          </w:p>
        </w:tc>
        <w:tc>
          <w:tcPr>
            <w:tcW w:w="1260" w:type="dxa"/>
            <w:tcBorders>
              <w:top w:val="single" w:sz="4" w:space="0" w:color="auto"/>
              <w:left w:val="nil"/>
              <w:bottom w:val="nil"/>
              <w:right w:val="nil"/>
            </w:tcBorders>
            <w:shd w:val="clear" w:color="auto" w:fill="auto"/>
            <w:noWrap/>
            <w:vAlign w:val="bottom"/>
          </w:tcPr>
          <w:p w14:paraId="7967D8E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-.0865***</w:t>
            </w:r>
          </w:p>
        </w:tc>
        <w:tc>
          <w:tcPr>
            <w:tcW w:w="1260" w:type="dxa"/>
            <w:gridSpan w:val="2"/>
            <w:tcBorders>
              <w:top w:val="single" w:sz="4" w:space="0" w:color="auto"/>
              <w:left w:val="nil"/>
              <w:bottom w:val="nil"/>
              <w:right w:val="nil"/>
            </w:tcBorders>
            <w:shd w:val="clear" w:color="auto" w:fill="auto"/>
            <w:noWrap/>
            <w:vAlign w:val="bottom"/>
          </w:tcPr>
          <w:p w14:paraId="1FF9CF5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-.107***</w:t>
            </w:r>
          </w:p>
        </w:tc>
      </w:tr>
      <w:tr w:rsidR="00DA64BC" w:rsidRPr="006E6122" w14:paraId="32433ED2"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9CE2FCE"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60CC157"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(.0175)</w:t>
            </w:r>
          </w:p>
        </w:tc>
        <w:tc>
          <w:tcPr>
            <w:tcW w:w="1260" w:type="dxa"/>
            <w:tcBorders>
              <w:top w:val="nil"/>
              <w:left w:val="nil"/>
              <w:bottom w:val="nil"/>
              <w:right w:val="nil"/>
            </w:tcBorders>
            <w:shd w:val="clear" w:color="auto" w:fill="auto"/>
            <w:noWrap/>
            <w:vAlign w:val="bottom"/>
          </w:tcPr>
          <w:p w14:paraId="3261CF5E"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(.0181)</w:t>
            </w:r>
          </w:p>
        </w:tc>
        <w:tc>
          <w:tcPr>
            <w:tcW w:w="1260" w:type="dxa"/>
            <w:tcBorders>
              <w:top w:val="nil"/>
              <w:left w:val="nil"/>
              <w:bottom w:val="nil"/>
              <w:right w:val="nil"/>
            </w:tcBorders>
            <w:shd w:val="clear" w:color="auto" w:fill="auto"/>
            <w:noWrap/>
            <w:vAlign w:val="bottom"/>
          </w:tcPr>
          <w:p w14:paraId="6D5D1BC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(.0212)</w:t>
            </w:r>
          </w:p>
        </w:tc>
        <w:tc>
          <w:tcPr>
            <w:tcW w:w="1260" w:type="dxa"/>
            <w:tcBorders>
              <w:top w:val="nil"/>
              <w:left w:val="nil"/>
              <w:bottom w:val="nil"/>
              <w:right w:val="nil"/>
            </w:tcBorders>
            <w:shd w:val="clear" w:color="auto" w:fill="auto"/>
            <w:noWrap/>
            <w:vAlign w:val="bottom"/>
          </w:tcPr>
          <w:p w14:paraId="2800220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(.0215)</w:t>
            </w:r>
          </w:p>
        </w:tc>
        <w:tc>
          <w:tcPr>
            <w:tcW w:w="1260" w:type="dxa"/>
            <w:gridSpan w:val="2"/>
            <w:tcBorders>
              <w:top w:val="nil"/>
              <w:left w:val="nil"/>
              <w:bottom w:val="nil"/>
              <w:right w:val="nil"/>
            </w:tcBorders>
            <w:shd w:val="clear" w:color="auto" w:fill="auto"/>
            <w:noWrap/>
            <w:vAlign w:val="bottom"/>
          </w:tcPr>
          <w:p w14:paraId="2825192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(.0226)</w:t>
            </w:r>
          </w:p>
        </w:tc>
      </w:tr>
      <w:tr w:rsidR="00DA64BC" w:rsidRPr="006E6122" w14:paraId="3EC0168F"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8CDBA9B"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280" w:type="dxa"/>
            <w:tcBorders>
              <w:top w:val="nil"/>
              <w:left w:val="nil"/>
              <w:bottom w:val="nil"/>
              <w:right w:val="nil"/>
            </w:tcBorders>
            <w:shd w:val="clear" w:color="auto" w:fill="auto"/>
            <w:noWrap/>
            <w:vAlign w:val="bottom"/>
          </w:tcPr>
          <w:p w14:paraId="677CAE9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.113***</w:t>
            </w:r>
          </w:p>
        </w:tc>
        <w:tc>
          <w:tcPr>
            <w:tcW w:w="1260" w:type="dxa"/>
            <w:tcBorders>
              <w:top w:val="nil"/>
              <w:left w:val="nil"/>
              <w:bottom w:val="nil"/>
              <w:right w:val="nil"/>
            </w:tcBorders>
            <w:shd w:val="clear" w:color="auto" w:fill="auto"/>
            <w:noWrap/>
            <w:vAlign w:val="bottom"/>
          </w:tcPr>
          <w:p w14:paraId="3543A2D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.0996***</w:t>
            </w:r>
          </w:p>
        </w:tc>
        <w:tc>
          <w:tcPr>
            <w:tcW w:w="1260" w:type="dxa"/>
            <w:tcBorders>
              <w:top w:val="nil"/>
              <w:left w:val="nil"/>
              <w:bottom w:val="nil"/>
              <w:right w:val="nil"/>
            </w:tcBorders>
            <w:shd w:val="clear" w:color="auto" w:fill="auto"/>
            <w:noWrap/>
            <w:vAlign w:val="bottom"/>
          </w:tcPr>
          <w:p w14:paraId="7ECBCC5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.0831**</w:t>
            </w:r>
          </w:p>
        </w:tc>
        <w:tc>
          <w:tcPr>
            <w:tcW w:w="1260" w:type="dxa"/>
            <w:tcBorders>
              <w:top w:val="nil"/>
              <w:left w:val="nil"/>
              <w:bottom w:val="nil"/>
              <w:right w:val="nil"/>
            </w:tcBorders>
            <w:shd w:val="clear" w:color="auto" w:fill="auto"/>
            <w:noWrap/>
            <w:vAlign w:val="bottom"/>
          </w:tcPr>
          <w:p w14:paraId="6B6B914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.0833**</w:t>
            </w:r>
          </w:p>
        </w:tc>
        <w:tc>
          <w:tcPr>
            <w:tcW w:w="1260" w:type="dxa"/>
            <w:gridSpan w:val="2"/>
            <w:tcBorders>
              <w:top w:val="nil"/>
              <w:left w:val="nil"/>
              <w:bottom w:val="nil"/>
              <w:right w:val="nil"/>
            </w:tcBorders>
            <w:shd w:val="clear" w:color="auto" w:fill="auto"/>
            <w:noWrap/>
            <w:vAlign w:val="bottom"/>
          </w:tcPr>
          <w:p w14:paraId="18B04E7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.117***</w:t>
            </w:r>
          </w:p>
        </w:tc>
      </w:tr>
      <w:tr w:rsidR="00DA64BC" w:rsidRPr="006E6122" w14:paraId="12ABA737"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6A2E3D2B"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AED96EE"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(.0299)</w:t>
            </w:r>
          </w:p>
        </w:tc>
        <w:tc>
          <w:tcPr>
            <w:tcW w:w="1260" w:type="dxa"/>
            <w:tcBorders>
              <w:top w:val="nil"/>
              <w:left w:val="nil"/>
              <w:bottom w:val="nil"/>
              <w:right w:val="nil"/>
            </w:tcBorders>
            <w:shd w:val="clear" w:color="auto" w:fill="auto"/>
            <w:noWrap/>
            <w:vAlign w:val="bottom"/>
          </w:tcPr>
          <w:p w14:paraId="57C3E90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(.0339)</w:t>
            </w:r>
          </w:p>
        </w:tc>
        <w:tc>
          <w:tcPr>
            <w:tcW w:w="1260" w:type="dxa"/>
            <w:tcBorders>
              <w:top w:val="nil"/>
              <w:left w:val="nil"/>
              <w:bottom w:val="nil"/>
              <w:right w:val="nil"/>
            </w:tcBorders>
            <w:shd w:val="clear" w:color="auto" w:fill="auto"/>
            <w:noWrap/>
            <w:vAlign w:val="bottom"/>
          </w:tcPr>
          <w:p w14:paraId="11D0613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(.0362)</w:t>
            </w:r>
          </w:p>
        </w:tc>
        <w:tc>
          <w:tcPr>
            <w:tcW w:w="1260" w:type="dxa"/>
            <w:tcBorders>
              <w:top w:val="nil"/>
              <w:left w:val="nil"/>
              <w:bottom w:val="nil"/>
              <w:right w:val="nil"/>
            </w:tcBorders>
            <w:shd w:val="clear" w:color="auto" w:fill="auto"/>
            <w:noWrap/>
            <w:vAlign w:val="bottom"/>
          </w:tcPr>
          <w:p w14:paraId="022ECF2E"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(.0373)</w:t>
            </w:r>
          </w:p>
        </w:tc>
        <w:tc>
          <w:tcPr>
            <w:tcW w:w="1260" w:type="dxa"/>
            <w:gridSpan w:val="2"/>
            <w:tcBorders>
              <w:top w:val="nil"/>
              <w:left w:val="nil"/>
              <w:bottom w:val="nil"/>
              <w:right w:val="nil"/>
            </w:tcBorders>
            <w:shd w:val="clear" w:color="auto" w:fill="auto"/>
            <w:noWrap/>
            <w:vAlign w:val="bottom"/>
          </w:tcPr>
          <w:p w14:paraId="58CEDAC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(.0395)</w:t>
            </w:r>
          </w:p>
        </w:tc>
      </w:tr>
      <w:tr w:rsidR="00DA64BC" w:rsidRPr="006E6122" w14:paraId="0ADC9CDF"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E3AA5D2"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280" w:type="dxa"/>
            <w:tcBorders>
              <w:top w:val="nil"/>
              <w:left w:val="nil"/>
              <w:bottom w:val="nil"/>
              <w:right w:val="nil"/>
            </w:tcBorders>
            <w:shd w:val="clear" w:color="auto" w:fill="auto"/>
            <w:noWrap/>
            <w:vAlign w:val="bottom"/>
          </w:tcPr>
          <w:p w14:paraId="0AF8560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.00831</w:t>
            </w:r>
          </w:p>
        </w:tc>
        <w:tc>
          <w:tcPr>
            <w:tcW w:w="1260" w:type="dxa"/>
            <w:tcBorders>
              <w:top w:val="nil"/>
              <w:left w:val="nil"/>
              <w:bottom w:val="nil"/>
              <w:right w:val="nil"/>
            </w:tcBorders>
            <w:shd w:val="clear" w:color="auto" w:fill="auto"/>
            <w:noWrap/>
            <w:vAlign w:val="bottom"/>
          </w:tcPr>
          <w:p w14:paraId="74087A1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.0343</w:t>
            </w:r>
          </w:p>
        </w:tc>
        <w:tc>
          <w:tcPr>
            <w:tcW w:w="1260" w:type="dxa"/>
            <w:tcBorders>
              <w:top w:val="nil"/>
              <w:left w:val="nil"/>
              <w:bottom w:val="nil"/>
              <w:right w:val="nil"/>
            </w:tcBorders>
            <w:shd w:val="clear" w:color="auto" w:fill="auto"/>
            <w:noWrap/>
            <w:vAlign w:val="bottom"/>
          </w:tcPr>
          <w:p w14:paraId="043FDB3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.0841***</w:t>
            </w:r>
          </w:p>
        </w:tc>
        <w:tc>
          <w:tcPr>
            <w:tcW w:w="1260" w:type="dxa"/>
            <w:tcBorders>
              <w:top w:val="nil"/>
              <w:left w:val="nil"/>
              <w:bottom w:val="nil"/>
              <w:right w:val="nil"/>
            </w:tcBorders>
            <w:shd w:val="clear" w:color="auto" w:fill="auto"/>
            <w:noWrap/>
            <w:vAlign w:val="bottom"/>
          </w:tcPr>
          <w:p w14:paraId="20CA466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.0825***</w:t>
            </w:r>
          </w:p>
        </w:tc>
        <w:tc>
          <w:tcPr>
            <w:tcW w:w="1260" w:type="dxa"/>
            <w:gridSpan w:val="2"/>
            <w:tcBorders>
              <w:top w:val="nil"/>
              <w:left w:val="nil"/>
              <w:bottom w:val="nil"/>
              <w:right w:val="nil"/>
            </w:tcBorders>
            <w:shd w:val="clear" w:color="auto" w:fill="auto"/>
            <w:noWrap/>
            <w:vAlign w:val="bottom"/>
          </w:tcPr>
          <w:p w14:paraId="0AFC448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.102***</w:t>
            </w:r>
          </w:p>
        </w:tc>
      </w:tr>
      <w:tr w:rsidR="00DA64BC" w:rsidRPr="006E6122" w14:paraId="50F2C5D7"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C7ADD98"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093EE1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(.0201)</w:t>
            </w:r>
          </w:p>
        </w:tc>
        <w:tc>
          <w:tcPr>
            <w:tcW w:w="1260" w:type="dxa"/>
            <w:tcBorders>
              <w:top w:val="nil"/>
              <w:left w:val="nil"/>
              <w:bottom w:val="nil"/>
              <w:right w:val="nil"/>
            </w:tcBorders>
            <w:shd w:val="clear" w:color="auto" w:fill="auto"/>
            <w:noWrap/>
            <w:vAlign w:val="bottom"/>
          </w:tcPr>
          <w:p w14:paraId="66224C2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(.0208)</w:t>
            </w:r>
          </w:p>
        </w:tc>
        <w:tc>
          <w:tcPr>
            <w:tcW w:w="1260" w:type="dxa"/>
            <w:tcBorders>
              <w:top w:val="nil"/>
              <w:left w:val="nil"/>
              <w:bottom w:val="nil"/>
              <w:right w:val="nil"/>
            </w:tcBorders>
            <w:shd w:val="clear" w:color="auto" w:fill="auto"/>
            <w:noWrap/>
            <w:vAlign w:val="bottom"/>
          </w:tcPr>
          <w:p w14:paraId="4CCFBBB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(.0237)</w:t>
            </w:r>
          </w:p>
        </w:tc>
        <w:tc>
          <w:tcPr>
            <w:tcW w:w="1260" w:type="dxa"/>
            <w:tcBorders>
              <w:top w:val="nil"/>
              <w:left w:val="nil"/>
              <w:bottom w:val="nil"/>
              <w:right w:val="nil"/>
            </w:tcBorders>
            <w:shd w:val="clear" w:color="auto" w:fill="auto"/>
            <w:noWrap/>
            <w:vAlign w:val="bottom"/>
          </w:tcPr>
          <w:p w14:paraId="586270D7"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(.0241)</w:t>
            </w:r>
          </w:p>
        </w:tc>
        <w:tc>
          <w:tcPr>
            <w:tcW w:w="1260" w:type="dxa"/>
            <w:gridSpan w:val="2"/>
            <w:tcBorders>
              <w:top w:val="nil"/>
              <w:left w:val="nil"/>
              <w:bottom w:val="nil"/>
              <w:right w:val="nil"/>
            </w:tcBorders>
            <w:shd w:val="clear" w:color="auto" w:fill="auto"/>
            <w:noWrap/>
            <w:vAlign w:val="bottom"/>
          </w:tcPr>
          <w:p w14:paraId="538FDBDE"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(.0252)</w:t>
            </w:r>
          </w:p>
        </w:tc>
      </w:tr>
      <w:tr w:rsidR="00DA64BC" w:rsidRPr="006E6122" w14:paraId="7314D3DE"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0C9C9C0E"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280" w:type="dxa"/>
            <w:tcBorders>
              <w:top w:val="nil"/>
              <w:left w:val="nil"/>
              <w:bottom w:val="nil"/>
              <w:right w:val="nil"/>
            </w:tcBorders>
            <w:shd w:val="clear" w:color="auto" w:fill="auto"/>
            <w:noWrap/>
            <w:vAlign w:val="bottom"/>
          </w:tcPr>
          <w:p w14:paraId="6F1B7B7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.00143***</w:t>
            </w:r>
          </w:p>
        </w:tc>
        <w:tc>
          <w:tcPr>
            <w:tcW w:w="1260" w:type="dxa"/>
            <w:tcBorders>
              <w:top w:val="nil"/>
              <w:left w:val="nil"/>
              <w:bottom w:val="nil"/>
              <w:right w:val="nil"/>
            </w:tcBorders>
            <w:shd w:val="clear" w:color="auto" w:fill="auto"/>
            <w:noWrap/>
            <w:vAlign w:val="bottom"/>
          </w:tcPr>
          <w:p w14:paraId="0C5D18F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.0014</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6A92A7B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.00132***</w:t>
            </w:r>
          </w:p>
        </w:tc>
        <w:tc>
          <w:tcPr>
            <w:tcW w:w="1260" w:type="dxa"/>
            <w:tcBorders>
              <w:top w:val="nil"/>
              <w:left w:val="nil"/>
              <w:bottom w:val="nil"/>
              <w:right w:val="nil"/>
            </w:tcBorders>
            <w:shd w:val="clear" w:color="auto" w:fill="auto"/>
            <w:noWrap/>
            <w:vAlign w:val="bottom"/>
          </w:tcPr>
          <w:p w14:paraId="173A2E3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.00131***</w:t>
            </w:r>
          </w:p>
        </w:tc>
        <w:tc>
          <w:tcPr>
            <w:tcW w:w="1260" w:type="dxa"/>
            <w:gridSpan w:val="2"/>
            <w:tcBorders>
              <w:top w:val="nil"/>
              <w:left w:val="nil"/>
              <w:bottom w:val="nil"/>
              <w:right w:val="nil"/>
            </w:tcBorders>
            <w:shd w:val="clear" w:color="auto" w:fill="auto"/>
            <w:noWrap/>
            <w:vAlign w:val="bottom"/>
          </w:tcPr>
          <w:p w14:paraId="2E0AE58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.00126***</w:t>
            </w:r>
          </w:p>
        </w:tc>
      </w:tr>
      <w:tr w:rsidR="00DA64BC" w:rsidRPr="006E6122" w14:paraId="22337F14"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0110EBB4"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12F1C3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(.000125)</w:t>
            </w:r>
          </w:p>
        </w:tc>
        <w:tc>
          <w:tcPr>
            <w:tcW w:w="1260" w:type="dxa"/>
            <w:tcBorders>
              <w:top w:val="nil"/>
              <w:left w:val="nil"/>
              <w:bottom w:val="nil"/>
              <w:right w:val="nil"/>
            </w:tcBorders>
            <w:shd w:val="clear" w:color="auto" w:fill="auto"/>
            <w:noWrap/>
            <w:vAlign w:val="bottom"/>
          </w:tcPr>
          <w:p w14:paraId="0759B92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(.000132)</w:t>
            </w:r>
          </w:p>
        </w:tc>
        <w:tc>
          <w:tcPr>
            <w:tcW w:w="1260" w:type="dxa"/>
            <w:tcBorders>
              <w:top w:val="nil"/>
              <w:left w:val="nil"/>
              <w:bottom w:val="nil"/>
              <w:right w:val="nil"/>
            </w:tcBorders>
            <w:shd w:val="clear" w:color="auto" w:fill="auto"/>
            <w:noWrap/>
            <w:vAlign w:val="bottom"/>
          </w:tcPr>
          <w:p w14:paraId="181FFBD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(.000141)</w:t>
            </w:r>
          </w:p>
        </w:tc>
        <w:tc>
          <w:tcPr>
            <w:tcW w:w="1260" w:type="dxa"/>
            <w:tcBorders>
              <w:top w:val="nil"/>
              <w:left w:val="nil"/>
              <w:bottom w:val="nil"/>
              <w:right w:val="nil"/>
            </w:tcBorders>
            <w:shd w:val="clear" w:color="auto" w:fill="auto"/>
            <w:noWrap/>
            <w:vAlign w:val="bottom"/>
          </w:tcPr>
          <w:p w14:paraId="1E0D584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(.000143)</w:t>
            </w:r>
          </w:p>
        </w:tc>
        <w:tc>
          <w:tcPr>
            <w:tcW w:w="1260" w:type="dxa"/>
            <w:gridSpan w:val="2"/>
            <w:tcBorders>
              <w:top w:val="nil"/>
              <w:left w:val="nil"/>
              <w:bottom w:val="nil"/>
              <w:right w:val="nil"/>
            </w:tcBorders>
            <w:shd w:val="clear" w:color="auto" w:fill="auto"/>
            <w:noWrap/>
            <w:vAlign w:val="bottom"/>
          </w:tcPr>
          <w:p w14:paraId="0101194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(.000148)</w:t>
            </w:r>
          </w:p>
        </w:tc>
      </w:tr>
      <w:tr w:rsidR="00DA64BC" w:rsidRPr="006E6122" w14:paraId="796A0BDF"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2C9EE448"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1280" w:type="dxa"/>
            <w:tcBorders>
              <w:top w:val="nil"/>
              <w:left w:val="nil"/>
              <w:bottom w:val="nil"/>
              <w:right w:val="nil"/>
            </w:tcBorders>
            <w:shd w:val="clear" w:color="auto" w:fill="auto"/>
            <w:noWrap/>
            <w:vAlign w:val="bottom"/>
          </w:tcPr>
          <w:p w14:paraId="66A85E1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-.00948***</w:t>
            </w:r>
          </w:p>
        </w:tc>
        <w:tc>
          <w:tcPr>
            <w:tcW w:w="1260" w:type="dxa"/>
            <w:tcBorders>
              <w:top w:val="nil"/>
              <w:left w:val="nil"/>
              <w:bottom w:val="nil"/>
              <w:right w:val="nil"/>
            </w:tcBorders>
            <w:shd w:val="clear" w:color="auto" w:fill="auto"/>
            <w:noWrap/>
            <w:vAlign w:val="bottom"/>
          </w:tcPr>
          <w:p w14:paraId="642F1FF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-.00967***</w:t>
            </w:r>
          </w:p>
        </w:tc>
        <w:tc>
          <w:tcPr>
            <w:tcW w:w="1260" w:type="dxa"/>
            <w:tcBorders>
              <w:top w:val="nil"/>
              <w:left w:val="nil"/>
              <w:bottom w:val="nil"/>
              <w:right w:val="nil"/>
            </w:tcBorders>
            <w:shd w:val="clear" w:color="auto" w:fill="auto"/>
            <w:noWrap/>
            <w:vAlign w:val="bottom"/>
          </w:tcPr>
          <w:p w14:paraId="7EEB1DE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-.00938***</w:t>
            </w:r>
          </w:p>
        </w:tc>
        <w:tc>
          <w:tcPr>
            <w:tcW w:w="1260" w:type="dxa"/>
            <w:tcBorders>
              <w:top w:val="nil"/>
              <w:left w:val="nil"/>
              <w:bottom w:val="nil"/>
              <w:right w:val="nil"/>
            </w:tcBorders>
            <w:shd w:val="clear" w:color="auto" w:fill="auto"/>
            <w:noWrap/>
            <w:vAlign w:val="bottom"/>
          </w:tcPr>
          <w:p w14:paraId="1CE6FD7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-.00948***</w:t>
            </w:r>
          </w:p>
        </w:tc>
        <w:tc>
          <w:tcPr>
            <w:tcW w:w="1260" w:type="dxa"/>
            <w:gridSpan w:val="2"/>
            <w:tcBorders>
              <w:top w:val="nil"/>
              <w:left w:val="nil"/>
              <w:bottom w:val="nil"/>
              <w:right w:val="nil"/>
            </w:tcBorders>
            <w:shd w:val="clear" w:color="auto" w:fill="auto"/>
            <w:noWrap/>
            <w:vAlign w:val="bottom"/>
          </w:tcPr>
          <w:p w14:paraId="649669E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-.00932***</w:t>
            </w:r>
          </w:p>
        </w:tc>
      </w:tr>
      <w:tr w:rsidR="00DA64BC" w:rsidRPr="006E6122" w14:paraId="7CCFBEB4"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7456705B"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321472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(.000373)</w:t>
            </w:r>
          </w:p>
        </w:tc>
        <w:tc>
          <w:tcPr>
            <w:tcW w:w="1260" w:type="dxa"/>
            <w:tcBorders>
              <w:top w:val="nil"/>
              <w:left w:val="nil"/>
              <w:bottom w:val="nil"/>
              <w:right w:val="nil"/>
            </w:tcBorders>
            <w:shd w:val="clear" w:color="auto" w:fill="auto"/>
            <w:noWrap/>
            <w:vAlign w:val="bottom"/>
          </w:tcPr>
          <w:p w14:paraId="1EB2580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(.000401)</w:t>
            </w:r>
          </w:p>
        </w:tc>
        <w:tc>
          <w:tcPr>
            <w:tcW w:w="1260" w:type="dxa"/>
            <w:tcBorders>
              <w:top w:val="nil"/>
              <w:left w:val="nil"/>
              <w:bottom w:val="nil"/>
              <w:right w:val="nil"/>
            </w:tcBorders>
            <w:shd w:val="clear" w:color="auto" w:fill="auto"/>
            <w:noWrap/>
            <w:vAlign w:val="bottom"/>
          </w:tcPr>
          <w:p w14:paraId="3AE8411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(.000447)</w:t>
            </w:r>
          </w:p>
        </w:tc>
        <w:tc>
          <w:tcPr>
            <w:tcW w:w="1260" w:type="dxa"/>
            <w:tcBorders>
              <w:top w:val="nil"/>
              <w:left w:val="nil"/>
              <w:bottom w:val="nil"/>
              <w:right w:val="nil"/>
            </w:tcBorders>
            <w:shd w:val="clear" w:color="auto" w:fill="auto"/>
            <w:noWrap/>
            <w:vAlign w:val="bottom"/>
          </w:tcPr>
          <w:p w14:paraId="7B14DCF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(.00045</w:t>
            </w:r>
            <w:r w:rsidR="00C364B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6A6D43D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(.000475)</w:t>
            </w:r>
          </w:p>
        </w:tc>
      </w:tr>
      <w:tr w:rsidR="006751BB" w:rsidRPr="006E6122" w14:paraId="08194BC9"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8D4036A"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1280" w:type="dxa"/>
            <w:tcBorders>
              <w:top w:val="nil"/>
              <w:left w:val="nil"/>
              <w:bottom w:val="nil"/>
              <w:right w:val="nil"/>
            </w:tcBorders>
            <w:shd w:val="clear" w:color="auto" w:fill="auto"/>
            <w:noWrap/>
            <w:vAlign w:val="bottom"/>
          </w:tcPr>
          <w:p w14:paraId="0893D573"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.0457***</w:t>
            </w:r>
          </w:p>
        </w:tc>
        <w:tc>
          <w:tcPr>
            <w:tcW w:w="1260" w:type="dxa"/>
            <w:tcBorders>
              <w:top w:val="nil"/>
              <w:left w:val="nil"/>
              <w:bottom w:val="nil"/>
              <w:right w:val="nil"/>
            </w:tcBorders>
            <w:shd w:val="clear" w:color="auto" w:fill="auto"/>
            <w:noWrap/>
            <w:vAlign w:val="bottom"/>
          </w:tcPr>
          <w:p w14:paraId="2A704B62"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.0458***</w:t>
            </w:r>
          </w:p>
        </w:tc>
        <w:tc>
          <w:tcPr>
            <w:tcW w:w="1260" w:type="dxa"/>
            <w:tcBorders>
              <w:top w:val="nil"/>
              <w:left w:val="nil"/>
              <w:bottom w:val="nil"/>
              <w:right w:val="nil"/>
            </w:tcBorders>
            <w:shd w:val="clear" w:color="auto" w:fill="auto"/>
            <w:noWrap/>
            <w:vAlign w:val="bottom"/>
          </w:tcPr>
          <w:p w14:paraId="3108C7B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.0493***</w:t>
            </w:r>
          </w:p>
        </w:tc>
        <w:tc>
          <w:tcPr>
            <w:tcW w:w="1260" w:type="dxa"/>
            <w:tcBorders>
              <w:top w:val="nil"/>
              <w:left w:val="nil"/>
              <w:bottom w:val="nil"/>
              <w:right w:val="nil"/>
            </w:tcBorders>
            <w:shd w:val="clear" w:color="auto" w:fill="auto"/>
            <w:noWrap/>
            <w:vAlign w:val="bottom"/>
          </w:tcPr>
          <w:p w14:paraId="38E1AA04"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.0494***</w:t>
            </w:r>
          </w:p>
        </w:tc>
        <w:tc>
          <w:tcPr>
            <w:tcW w:w="1260" w:type="dxa"/>
            <w:gridSpan w:val="2"/>
            <w:tcBorders>
              <w:top w:val="nil"/>
              <w:left w:val="nil"/>
              <w:bottom w:val="nil"/>
              <w:right w:val="nil"/>
            </w:tcBorders>
            <w:shd w:val="clear" w:color="auto" w:fill="auto"/>
            <w:noWrap/>
            <w:vAlign w:val="bottom"/>
          </w:tcPr>
          <w:p w14:paraId="444437B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.0490***</w:t>
            </w:r>
          </w:p>
        </w:tc>
      </w:tr>
      <w:tr w:rsidR="006751BB" w:rsidRPr="006E6122" w14:paraId="6E26FDC6"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D7D0043"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F7FE48E"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(.000522)</w:t>
            </w:r>
          </w:p>
        </w:tc>
        <w:tc>
          <w:tcPr>
            <w:tcW w:w="1260" w:type="dxa"/>
            <w:tcBorders>
              <w:top w:val="nil"/>
              <w:left w:val="nil"/>
              <w:bottom w:val="nil"/>
              <w:right w:val="nil"/>
            </w:tcBorders>
            <w:shd w:val="clear" w:color="auto" w:fill="auto"/>
            <w:noWrap/>
            <w:vAlign w:val="bottom"/>
          </w:tcPr>
          <w:p w14:paraId="786FE9BC"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(.000558)</w:t>
            </w:r>
          </w:p>
        </w:tc>
        <w:tc>
          <w:tcPr>
            <w:tcW w:w="1260" w:type="dxa"/>
            <w:tcBorders>
              <w:top w:val="nil"/>
              <w:left w:val="nil"/>
              <w:bottom w:val="nil"/>
              <w:right w:val="nil"/>
            </w:tcBorders>
            <w:shd w:val="clear" w:color="auto" w:fill="auto"/>
            <w:noWrap/>
            <w:vAlign w:val="bottom"/>
          </w:tcPr>
          <w:p w14:paraId="7866BC7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(.000620)</w:t>
            </w:r>
          </w:p>
        </w:tc>
        <w:tc>
          <w:tcPr>
            <w:tcW w:w="1260" w:type="dxa"/>
            <w:tcBorders>
              <w:top w:val="nil"/>
              <w:left w:val="nil"/>
              <w:bottom w:val="nil"/>
              <w:right w:val="nil"/>
            </w:tcBorders>
            <w:shd w:val="clear" w:color="auto" w:fill="auto"/>
            <w:noWrap/>
            <w:vAlign w:val="bottom"/>
          </w:tcPr>
          <w:p w14:paraId="185831AA"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(.000639)</w:t>
            </w:r>
          </w:p>
        </w:tc>
        <w:tc>
          <w:tcPr>
            <w:tcW w:w="1260" w:type="dxa"/>
            <w:gridSpan w:val="2"/>
            <w:tcBorders>
              <w:top w:val="nil"/>
              <w:left w:val="nil"/>
              <w:bottom w:val="nil"/>
              <w:right w:val="nil"/>
            </w:tcBorders>
            <w:shd w:val="clear" w:color="auto" w:fill="auto"/>
            <w:noWrap/>
            <w:vAlign w:val="bottom"/>
          </w:tcPr>
          <w:p w14:paraId="0A760EEB"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(.000657)</w:t>
            </w:r>
          </w:p>
        </w:tc>
      </w:tr>
      <w:tr w:rsidR="006751BB" w:rsidRPr="006E6122" w14:paraId="5CCF8701"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68E27BCE"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1280" w:type="dxa"/>
            <w:tcBorders>
              <w:top w:val="nil"/>
              <w:left w:val="nil"/>
              <w:bottom w:val="nil"/>
              <w:right w:val="nil"/>
            </w:tcBorders>
            <w:shd w:val="clear" w:color="auto" w:fill="auto"/>
            <w:noWrap/>
            <w:vAlign w:val="bottom"/>
          </w:tcPr>
          <w:p w14:paraId="53B476CF"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-.000287***</w:t>
            </w:r>
          </w:p>
        </w:tc>
        <w:tc>
          <w:tcPr>
            <w:tcW w:w="1260" w:type="dxa"/>
            <w:tcBorders>
              <w:top w:val="nil"/>
              <w:left w:val="nil"/>
              <w:bottom w:val="nil"/>
              <w:right w:val="nil"/>
            </w:tcBorders>
            <w:shd w:val="clear" w:color="auto" w:fill="auto"/>
            <w:noWrap/>
            <w:vAlign w:val="bottom"/>
          </w:tcPr>
          <w:p w14:paraId="4D3ECF6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-.000292***</w:t>
            </w:r>
          </w:p>
        </w:tc>
        <w:tc>
          <w:tcPr>
            <w:tcW w:w="1260" w:type="dxa"/>
            <w:tcBorders>
              <w:top w:val="nil"/>
              <w:left w:val="nil"/>
              <w:bottom w:val="nil"/>
              <w:right w:val="nil"/>
            </w:tcBorders>
            <w:shd w:val="clear" w:color="auto" w:fill="auto"/>
            <w:noWrap/>
            <w:vAlign w:val="bottom"/>
          </w:tcPr>
          <w:p w14:paraId="7DA73A9E"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-.000317***</w:t>
            </w:r>
          </w:p>
        </w:tc>
        <w:tc>
          <w:tcPr>
            <w:tcW w:w="1260" w:type="dxa"/>
            <w:tcBorders>
              <w:top w:val="nil"/>
              <w:left w:val="nil"/>
              <w:bottom w:val="nil"/>
              <w:right w:val="nil"/>
            </w:tcBorders>
            <w:shd w:val="clear" w:color="auto" w:fill="auto"/>
            <w:noWrap/>
            <w:vAlign w:val="bottom"/>
          </w:tcPr>
          <w:p w14:paraId="1380B2F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-.000320***</w:t>
            </w:r>
          </w:p>
        </w:tc>
        <w:tc>
          <w:tcPr>
            <w:tcW w:w="1260" w:type="dxa"/>
            <w:gridSpan w:val="2"/>
            <w:tcBorders>
              <w:top w:val="nil"/>
              <w:left w:val="nil"/>
              <w:bottom w:val="nil"/>
              <w:right w:val="nil"/>
            </w:tcBorders>
            <w:shd w:val="clear" w:color="auto" w:fill="auto"/>
            <w:noWrap/>
            <w:vAlign w:val="bottom"/>
          </w:tcPr>
          <w:p w14:paraId="4B5D7E9F"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-.000318***</w:t>
            </w:r>
          </w:p>
        </w:tc>
      </w:tr>
      <w:tr w:rsidR="00DA64BC" w:rsidRPr="006E6122" w14:paraId="637D221F"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207B2B20"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032247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(4.38e-06)</w:t>
            </w:r>
          </w:p>
        </w:tc>
        <w:tc>
          <w:tcPr>
            <w:tcW w:w="1260" w:type="dxa"/>
            <w:tcBorders>
              <w:top w:val="nil"/>
              <w:left w:val="nil"/>
              <w:bottom w:val="nil"/>
              <w:right w:val="nil"/>
            </w:tcBorders>
            <w:shd w:val="clear" w:color="auto" w:fill="auto"/>
            <w:noWrap/>
            <w:vAlign w:val="bottom"/>
          </w:tcPr>
          <w:p w14:paraId="0EADF22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(4.68e-06)</w:t>
            </w:r>
          </w:p>
        </w:tc>
        <w:tc>
          <w:tcPr>
            <w:tcW w:w="1260" w:type="dxa"/>
            <w:tcBorders>
              <w:top w:val="nil"/>
              <w:left w:val="nil"/>
              <w:bottom w:val="nil"/>
              <w:right w:val="nil"/>
            </w:tcBorders>
            <w:shd w:val="clear" w:color="auto" w:fill="auto"/>
            <w:noWrap/>
            <w:vAlign w:val="bottom"/>
          </w:tcPr>
          <w:p w14:paraId="422E89F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(5.24e-06)</w:t>
            </w:r>
          </w:p>
        </w:tc>
        <w:tc>
          <w:tcPr>
            <w:tcW w:w="1260" w:type="dxa"/>
            <w:tcBorders>
              <w:top w:val="nil"/>
              <w:left w:val="nil"/>
              <w:bottom w:val="nil"/>
              <w:right w:val="nil"/>
            </w:tcBorders>
            <w:shd w:val="clear" w:color="auto" w:fill="auto"/>
            <w:noWrap/>
            <w:vAlign w:val="bottom"/>
          </w:tcPr>
          <w:p w14:paraId="0E70C35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(5.42e-06)</w:t>
            </w:r>
          </w:p>
        </w:tc>
        <w:tc>
          <w:tcPr>
            <w:tcW w:w="1260" w:type="dxa"/>
            <w:gridSpan w:val="2"/>
            <w:tcBorders>
              <w:top w:val="nil"/>
              <w:left w:val="nil"/>
              <w:bottom w:val="nil"/>
              <w:right w:val="nil"/>
            </w:tcBorders>
            <w:shd w:val="clear" w:color="auto" w:fill="auto"/>
            <w:noWrap/>
            <w:vAlign w:val="bottom"/>
          </w:tcPr>
          <w:p w14:paraId="1702DA4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(5.55e-06)</w:t>
            </w:r>
          </w:p>
        </w:tc>
      </w:tr>
      <w:tr w:rsidR="00DA64BC" w:rsidRPr="006E6122" w14:paraId="45EDB632"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292E5EA"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1280" w:type="dxa"/>
            <w:tcBorders>
              <w:top w:val="nil"/>
              <w:left w:val="nil"/>
              <w:bottom w:val="nil"/>
              <w:right w:val="nil"/>
            </w:tcBorders>
            <w:shd w:val="clear" w:color="auto" w:fill="auto"/>
            <w:noWrap/>
            <w:vAlign w:val="bottom"/>
          </w:tcPr>
          <w:p w14:paraId="688B160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-1.649***</w:t>
            </w:r>
          </w:p>
        </w:tc>
        <w:tc>
          <w:tcPr>
            <w:tcW w:w="1260" w:type="dxa"/>
            <w:tcBorders>
              <w:top w:val="nil"/>
              <w:left w:val="nil"/>
              <w:bottom w:val="nil"/>
              <w:right w:val="nil"/>
            </w:tcBorders>
            <w:shd w:val="clear" w:color="auto" w:fill="auto"/>
            <w:noWrap/>
            <w:vAlign w:val="bottom"/>
          </w:tcPr>
          <w:p w14:paraId="3AD7EF9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-1.661***</w:t>
            </w:r>
          </w:p>
        </w:tc>
        <w:tc>
          <w:tcPr>
            <w:tcW w:w="1260" w:type="dxa"/>
            <w:tcBorders>
              <w:top w:val="nil"/>
              <w:left w:val="nil"/>
              <w:bottom w:val="nil"/>
              <w:right w:val="nil"/>
            </w:tcBorders>
            <w:shd w:val="clear" w:color="auto" w:fill="auto"/>
            <w:noWrap/>
            <w:vAlign w:val="bottom"/>
          </w:tcPr>
          <w:p w14:paraId="090F5BC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-1.581***</w:t>
            </w:r>
          </w:p>
        </w:tc>
        <w:tc>
          <w:tcPr>
            <w:tcW w:w="1260" w:type="dxa"/>
            <w:tcBorders>
              <w:top w:val="nil"/>
              <w:left w:val="nil"/>
              <w:bottom w:val="nil"/>
              <w:right w:val="nil"/>
            </w:tcBorders>
            <w:shd w:val="clear" w:color="auto" w:fill="auto"/>
            <w:noWrap/>
            <w:vAlign w:val="bottom"/>
          </w:tcPr>
          <w:p w14:paraId="2D40DF0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-1.599***</w:t>
            </w:r>
          </w:p>
        </w:tc>
        <w:tc>
          <w:tcPr>
            <w:tcW w:w="1260" w:type="dxa"/>
            <w:gridSpan w:val="2"/>
            <w:tcBorders>
              <w:top w:val="nil"/>
              <w:left w:val="nil"/>
              <w:bottom w:val="nil"/>
              <w:right w:val="nil"/>
            </w:tcBorders>
            <w:shd w:val="clear" w:color="auto" w:fill="auto"/>
            <w:noWrap/>
            <w:vAlign w:val="bottom"/>
          </w:tcPr>
          <w:p w14:paraId="2CB8BB1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-1.606***</w:t>
            </w:r>
          </w:p>
        </w:tc>
      </w:tr>
      <w:tr w:rsidR="00DA64BC" w:rsidRPr="006E6122" w14:paraId="440F7C26"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B738464"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9AABD3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(.0481)</w:t>
            </w:r>
          </w:p>
        </w:tc>
        <w:tc>
          <w:tcPr>
            <w:tcW w:w="1260" w:type="dxa"/>
            <w:tcBorders>
              <w:top w:val="nil"/>
              <w:left w:val="nil"/>
              <w:bottom w:val="nil"/>
              <w:right w:val="nil"/>
            </w:tcBorders>
            <w:shd w:val="clear" w:color="auto" w:fill="auto"/>
            <w:noWrap/>
            <w:vAlign w:val="bottom"/>
          </w:tcPr>
          <w:p w14:paraId="16295BA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(.0511)</w:t>
            </w:r>
          </w:p>
        </w:tc>
        <w:tc>
          <w:tcPr>
            <w:tcW w:w="1260" w:type="dxa"/>
            <w:tcBorders>
              <w:top w:val="nil"/>
              <w:left w:val="nil"/>
              <w:bottom w:val="nil"/>
              <w:right w:val="nil"/>
            </w:tcBorders>
            <w:shd w:val="clear" w:color="auto" w:fill="auto"/>
            <w:noWrap/>
            <w:vAlign w:val="bottom"/>
          </w:tcPr>
          <w:p w14:paraId="4BAE788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(.0539)</w:t>
            </w:r>
          </w:p>
        </w:tc>
        <w:tc>
          <w:tcPr>
            <w:tcW w:w="1260" w:type="dxa"/>
            <w:tcBorders>
              <w:top w:val="nil"/>
              <w:left w:val="nil"/>
              <w:bottom w:val="nil"/>
              <w:right w:val="nil"/>
            </w:tcBorders>
            <w:shd w:val="clear" w:color="auto" w:fill="auto"/>
            <w:noWrap/>
            <w:vAlign w:val="bottom"/>
          </w:tcPr>
          <w:p w14:paraId="7F53935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(.055</w:t>
            </w:r>
            <w:r w:rsidR="00C364B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44491DF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(.0568)</w:t>
            </w:r>
          </w:p>
        </w:tc>
      </w:tr>
      <w:tr w:rsidR="00DA64BC" w:rsidRPr="006E6122" w14:paraId="4C7D2F50"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211A9B78"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1280" w:type="dxa"/>
            <w:tcBorders>
              <w:top w:val="nil"/>
              <w:left w:val="nil"/>
              <w:bottom w:val="nil"/>
              <w:right w:val="nil"/>
            </w:tcBorders>
            <w:shd w:val="clear" w:color="auto" w:fill="auto"/>
            <w:noWrap/>
            <w:vAlign w:val="bottom"/>
          </w:tcPr>
          <w:p w14:paraId="14CB000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.356***</w:t>
            </w:r>
          </w:p>
        </w:tc>
        <w:tc>
          <w:tcPr>
            <w:tcW w:w="1260" w:type="dxa"/>
            <w:tcBorders>
              <w:top w:val="nil"/>
              <w:left w:val="nil"/>
              <w:bottom w:val="nil"/>
              <w:right w:val="nil"/>
            </w:tcBorders>
            <w:shd w:val="clear" w:color="auto" w:fill="auto"/>
            <w:noWrap/>
            <w:vAlign w:val="bottom"/>
          </w:tcPr>
          <w:p w14:paraId="4ACC86D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.352***</w:t>
            </w:r>
          </w:p>
        </w:tc>
        <w:tc>
          <w:tcPr>
            <w:tcW w:w="1260" w:type="dxa"/>
            <w:tcBorders>
              <w:top w:val="nil"/>
              <w:left w:val="nil"/>
              <w:bottom w:val="nil"/>
              <w:right w:val="nil"/>
            </w:tcBorders>
            <w:shd w:val="clear" w:color="auto" w:fill="auto"/>
            <w:noWrap/>
            <w:vAlign w:val="bottom"/>
          </w:tcPr>
          <w:p w14:paraId="235E142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.36</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6B38673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.365***</w:t>
            </w:r>
          </w:p>
        </w:tc>
        <w:tc>
          <w:tcPr>
            <w:tcW w:w="1260" w:type="dxa"/>
            <w:gridSpan w:val="2"/>
            <w:tcBorders>
              <w:top w:val="nil"/>
              <w:left w:val="nil"/>
              <w:bottom w:val="nil"/>
              <w:right w:val="nil"/>
            </w:tcBorders>
            <w:shd w:val="clear" w:color="auto" w:fill="auto"/>
            <w:noWrap/>
            <w:vAlign w:val="bottom"/>
          </w:tcPr>
          <w:p w14:paraId="6DDCD8F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.368***</w:t>
            </w:r>
          </w:p>
        </w:tc>
      </w:tr>
      <w:tr w:rsidR="00DA64BC" w:rsidRPr="006E6122" w14:paraId="3490F313"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798CDBF6"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BDF6CA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3557CE9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(.0136)</w:t>
            </w:r>
          </w:p>
        </w:tc>
        <w:tc>
          <w:tcPr>
            <w:tcW w:w="1260" w:type="dxa"/>
            <w:tcBorders>
              <w:top w:val="nil"/>
              <w:left w:val="nil"/>
              <w:bottom w:val="nil"/>
              <w:right w:val="nil"/>
            </w:tcBorders>
            <w:shd w:val="clear" w:color="auto" w:fill="auto"/>
            <w:noWrap/>
            <w:vAlign w:val="bottom"/>
          </w:tcPr>
          <w:p w14:paraId="049CFF67"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(.0148)</w:t>
            </w:r>
          </w:p>
        </w:tc>
        <w:tc>
          <w:tcPr>
            <w:tcW w:w="1260" w:type="dxa"/>
            <w:tcBorders>
              <w:top w:val="nil"/>
              <w:left w:val="nil"/>
              <w:bottom w:val="nil"/>
              <w:right w:val="nil"/>
            </w:tcBorders>
            <w:shd w:val="clear" w:color="auto" w:fill="auto"/>
            <w:noWrap/>
            <w:vAlign w:val="bottom"/>
          </w:tcPr>
          <w:p w14:paraId="15FEBAA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(.0151)</w:t>
            </w:r>
          </w:p>
        </w:tc>
        <w:tc>
          <w:tcPr>
            <w:tcW w:w="1260" w:type="dxa"/>
            <w:gridSpan w:val="2"/>
            <w:tcBorders>
              <w:top w:val="nil"/>
              <w:left w:val="nil"/>
              <w:bottom w:val="nil"/>
              <w:right w:val="nil"/>
            </w:tcBorders>
            <w:shd w:val="clear" w:color="auto" w:fill="auto"/>
            <w:noWrap/>
            <w:vAlign w:val="bottom"/>
          </w:tcPr>
          <w:p w14:paraId="684B874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(.0155)</w:t>
            </w:r>
          </w:p>
        </w:tc>
      </w:tr>
      <w:tr w:rsidR="00DA64BC" w:rsidRPr="006E6122" w14:paraId="17D22CA5"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37CA02A9"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280" w:type="dxa"/>
            <w:tcBorders>
              <w:top w:val="nil"/>
              <w:left w:val="nil"/>
              <w:bottom w:val="nil"/>
              <w:right w:val="nil"/>
            </w:tcBorders>
            <w:shd w:val="clear" w:color="auto" w:fill="auto"/>
            <w:noWrap/>
            <w:vAlign w:val="bottom"/>
          </w:tcPr>
          <w:p w14:paraId="5BD4D04E"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.381***</w:t>
            </w:r>
          </w:p>
        </w:tc>
        <w:tc>
          <w:tcPr>
            <w:tcW w:w="1260" w:type="dxa"/>
            <w:tcBorders>
              <w:top w:val="nil"/>
              <w:left w:val="nil"/>
              <w:bottom w:val="nil"/>
              <w:right w:val="nil"/>
            </w:tcBorders>
            <w:shd w:val="clear" w:color="auto" w:fill="auto"/>
            <w:noWrap/>
            <w:vAlign w:val="bottom"/>
          </w:tcPr>
          <w:p w14:paraId="0E48220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.378***</w:t>
            </w:r>
          </w:p>
        </w:tc>
        <w:tc>
          <w:tcPr>
            <w:tcW w:w="1260" w:type="dxa"/>
            <w:tcBorders>
              <w:top w:val="nil"/>
              <w:left w:val="nil"/>
              <w:bottom w:val="nil"/>
              <w:right w:val="nil"/>
            </w:tcBorders>
            <w:shd w:val="clear" w:color="auto" w:fill="auto"/>
            <w:noWrap/>
            <w:vAlign w:val="bottom"/>
          </w:tcPr>
          <w:p w14:paraId="004ED47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.374***</w:t>
            </w:r>
          </w:p>
        </w:tc>
        <w:tc>
          <w:tcPr>
            <w:tcW w:w="1260" w:type="dxa"/>
            <w:tcBorders>
              <w:top w:val="nil"/>
              <w:left w:val="nil"/>
              <w:bottom w:val="nil"/>
              <w:right w:val="nil"/>
            </w:tcBorders>
            <w:shd w:val="clear" w:color="auto" w:fill="auto"/>
            <w:noWrap/>
            <w:vAlign w:val="bottom"/>
          </w:tcPr>
          <w:p w14:paraId="6B38C1B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.371***</w:t>
            </w:r>
          </w:p>
        </w:tc>
        <w:tc>
          <w:tcPr>
            <w:tcW w:w="1260" w:type="dxa"/>
            <w:gridSpan w:val="2"/>
            <w:tcBorders>
              <w:top w:val="nil"/>
              <w:left w:val="nil"/>
              <w:bottom w:val="nil"/>
              <w:right w:val="nil"/>
            </w:tcBorders>
            <w:shd w:val="clear" w:color="auto" w:fill="auto"/>
            <w:noWrap/>
            <w:vAlign w:val="bottom"/>
          </w:tcPr>
          <w:p w14:paraId="7B6CCBC5"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.37</w:t>
            </w:r>
            <w:r w:rsidR="00C364B1">
              <w:rPr>
                <w:rFonts w:ascii="Calibri" w:hAnsi="Calibri" w:cs="Calibri"/>
                <w:sz w:val="20"/>
                <w:szCs w:val="20"/>
              </w:rPr>
              <w:t>0</w:t>
            </w:r>
            <w:r>
              <w:rPr>
                <w:rFonts w:ascii="Calibri" w:hAnsi="Calibri" w:cs="Calibri"/>
                <w:sz w:val="20"/>
                <w:szCs w:val="20"/>
              </w:rPr>
              <w:t>***</w:t>
            </w:r>
          </w:p>
        </w:tc>
      </w:tr>
      <w:tr w:rsidR="00DA64BC" w:rsidRPr="006E6122" w14:paraId="3245DB7B"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750774F4"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A1EABA1"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(.0121)</w:t>
            </w:r>
          </w:p>
        </w:tc>
        <w:tc>
          <w:tcPr>
            <w:tcW w:w="1260" w:type="dxa"/>
            <w:tcBorders>
              <w:top w:val="nil"/>
              <w:left w:val="nil"/>
              <w:bottom w:val="nil"/>
              <w:right w:val="nil"/>
            </w:tcBorders>
            <w:shd w:val="clear" w:color="auto" w:fill="auto"/>
            <w:noWrap/>
            <w:vAlign w:val="bottom"/>
          </w:tcPr>
          <w:p w14:paraId="45AB040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(.0129)</w:t>
            </w:r>
          </w:p>
        </w:tc>
        <w:tc>
          <w:tcPr>
            <w:tcW w:w="1260" w:type="dxa"/>
            <w:tcBorders>
              <w:top w:val="nil"/>
              <w:left w:val="nil"/>
              <w:bottom w:val="nil"/>
              <w:right w:val="nil"/>
            </w:tcBorders>
            <w:shd w:val="clear" w:color="auto" w:fill="auto"/>
            <w:noWrap/>
            <w:vAlign w:val="bottom"/>
          </w:tcPr>
          <w:p w14:paraId="4CC721E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(.0137)</w:t>
            </w:r>
          </w:p>
        </w:tc>
        <w:tc>
          <w:tcPr>
            <w:tcW w:w="1260" w:type="dxa"/>
            <w:tcBorders>
              <w:top w:val="nil"/>
              <w:left w:val="nil"/>
              <w:bottom w:val="nil"/>
              <w:right w:val="nil"/>
            </w:tcBorders>
            <w:shd w:val="clear" w:color="auto" w:fill="auto"/>
            <w:noWrap/>
            <w:vAlign w:val="bottom"/>
          </w:tcPr>
          <w:p w14:paraId="0E6CFAE2"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(.0139)</w:t>
            </w:r>
          </w:p>
        </w:tc>
        <w:tc>
          <w:tcPr>
            <w:tcW w:w="1260" w:type="dxa"/>
            <w:gridSpan w:val="2"/>
            <w:tcBorders>
              <w:top w:val="nil"/>
              <w:left w:val="nil"/>
              <w:bottom w:val="nil"/>
              <w:right w:val="nil"/>
            </w:tcBorders>
            <w:shd w:val="clear" w:color="auto" w:fill="auto"/>
            <w:noWrap/>
            <w:vAlign w:val="bottom"/>
          </w:tcPr>
          <w:p w14:paraId="05E160A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(.0142)</w:t>
            </w:r>
          </w:p>
        </w:tc>
      </w:tr>
      <w:tr w:rsidR="00DA64BC" w:rsidRPr="006E6122" w14:paraId="211C4264"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3D01DE57"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1280" w:type="dxa"/>
            <w:tcBorders>
              <w:top w:val="nil"/>
              <w:left w:val="nil"/>
              <w:bottom w:val="nil"/>
              <w:right w:val="nil"/>
            </w:tcBorders>
            <w:shd w:val="clear" w:color="auto" w:fill="auto"/>
            <w:noWrap/>
            <w:vAlign w:val="bottom"/>
          </w:tcPr>
          <w:p w14:paraId="0BBB959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-.0192***</w:t>
            </w:r>
          </w:p>
        </w:tc>
        <w:tc>
          <w:tcPr>
            <w:tcW w:w="1260" w:type="dxa"/>
            <w:tcBorders>
              <w:top w:val="nil"/>
              <w:left w:val="nil"/>
              <w:bottom w:val="nil"/>
              <w:right w:val="nil"/>
            </w:tcBorders>
            <w:shd w:val="clear" w:color="auto" w:fill="auto"/>
            <w:noWrap/>
            <w:vAlign w:val="bottom"/>
          </w:tcPr>
          <w:p w14:paraId="3666572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-.0214***</w:t>
            </w:r>
          </w:p>
        </w:tc>
        <w:tc>
          <w:tcPr>
            <w:tcW w:w="1260" w:type="dxa"/>
            <w:tcBorders>
              <w:top w:val="nil"/>
              <w:left w:val="nil"/>
              <w:bottom w:val="nil"/>
              <w:right w:val="nil"/>
            </w:tcBorders>
            <w:shd w:val="clear" w:color="auto" w:fill="auto"/>
            <w:noWrap/>
            <w:vAlign w:val="bottom"/>
          </w:tcPr>
          <w:p w14:paraId="0F29A3A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-.0225***</w:t>
            </w:r>
          </w:p>
        </w:tc>
        <w:tc>
          <w:tcPr>
            <w:tcW w:w="1260" w:type="dxa"/>
            <w:tcBorders>
              <w:top w:val="nil"/>
              <w:left w:val="nil"/>
              <w:bottom w:val="nil"/>
              <w:right w:val="nil"/>
            </w:tcBorders>
            <w:shd w:val="clear" w:color="auto" w:fill="auto"/>
            <w:noWrap/>
            <w:vAlign w:val="bottom"/>
          </w:tcPr>
          <w:p w14:paraId="4B78BBA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-.0229***</w:t>
            </w:r>
          </w:p>
        </w:tc>
        <w:tc>
          <w:tcPr>
            <w:tcW w:w="1260" w:type="dxa"/>
            <w:gridSpan w:val="2"/>
            <w:tcBorders>
              <w:top w:val="nil"/>
              <w:left w:val="nil"/>
              <w:bottom w:val="nil"/>
              <w:right w:val="nil"/>
            </w:tcBorders>
            <w:shd w:val="clear" w:color="auto" w:fill="auto"/>
            <w:noWrap/>
            <w:vAlign w:val="bottom"/>
          </w:tcPr>
          <w:p w14:paraId="71C4AC8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-.0269***</w:t>
            </w:r>
          </w:p>
        </w:tc>
      </w:tr>
      <w:tr w:rsidR="00DA64BC" w:rsidRPr="006E6122" w14:paraId="51F804C7"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42BAD66"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AA80F4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(.00269)</w:t>
            </w:r>
          </w:p>
        </w:tc>
        <w:tc>
          <w:tcPr>
            <w:tcW w:w="1260" w:type="dxa"/>
            <w:tcBorders>
              <w:top w:val="nil"/>
              <w:left w:val="nil"/>
              <w:bottom w:val="nil"/>
              <w:right w:val="nil"/>
            </w:tcBorders>
            <w:shd w:val="clear" w:color="auto" w:fill="auto"/>
            <w:noWrap/>
            <w:vAlign w:val="bottom"/>
          </w:tcPr>
          <w:p w14:paraId="0C5FD05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(.0028</w:t>
            </w:r>
            <w:r w:rsidR="00C364B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52C9865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(.00305)</w:t>
            </w:r>
          </w:p>
        </w:tc>
        <w:tc>
          <w:tcPr>
            <w:tcW w:w="1260" w:type="dxa"/>
            <w:tcBorders>
              <w:top w:val="nil"/>
              <w:left w:val="nil"/>
              <w:bottom w:val="nil"/>
              <w:right w:val="nil"/>
            </w:tcBorders>
            <w:shd w:val="clear" w:color="auto" w:fill="auto"/>
            <w:noWrap/>
            <w:vAlign w:val="bottom"/>
          </w:tcPr>
          <w:p w14:paraId="1834339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(.0031</w:t>
            </w:r>
            <w:r w:rsidR="00C364B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25ABFC3A"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(.00318)</w:t>
            </w:r>
          </w:p>
        </w:tc>
      </w:tr>
      <w:tr w:rsidR="00DA64BC" w:rsidRPr="006E6122" w14:paraId="6150E804"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32DC199D"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1280" w:type="dxa"/>
            <w:tcBorders>
              <w:top w:val="nil"/>
              <w:left w:val="nil"/>
              <w:bottom w:val="nil"/>
              <w:right w:val="nil"/>
            </w:tcBorders>
            <w:shd w:val="clear" w:color="auto" w:fill="auto"/>
            <w:noWrap/>
            <w:vAlign w:val="bottom"/>
          </w:tcPr>
          <w:p w14:paraId="40CF7546"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-.0129***</w:t>
            </w:r>
          </w:p>
        </w:tc>
        <w:tc>
          <w:tcPr>
            <w:tcW w:w="1260" w:type="dxa"/>
            <w:tcBorders>
              <w:top w:val="nil"/>
              <w:left w:val="nil"/>
              <w:bottom w:val="nil"/>
              <w:right w:val="nil"/>
            </w:tcBorders>
            <w:shd w:val="clear" w:color="auto" w:fill="auto"/>
            <w:noWrap/>
            <w:vAlign w:val="bottom"/>
          </w:tcPr>
          <w:p w14:paraId="71D2E51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-.0131***</w:t>
            </w:r>
          </w:p>
        </w:tc>
        <w:tc>
          <w:tcPr>
            <w:tcW w:w="1260" w:type="dxa"/>
            <w:tcBorders>
              <w:top w:val="nil"/>
              <w:left w:val="nil"/>
              <w:bottom w:val="nil"/>
              <w:right w:val="nil"/>
            </w:tcBorders>
            <w:shd w:val="clear" w:color="auto" w:fill="auto"/>
            <w:noWrap/>
            <w:vAlign w:val="bottom"/>
          </w:tcPr>
          <w:p w14:paraId="42AB2AA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-.0147***</w:t>
            </w:r>
          </w:p>
        </w:tc>
        <w:tc>
          <w:tcPr>
            <w:tcW w:w="1260" w:type="dxa"/>
            <w:tcBorders>
              <w:top w:val="nil"/>
              <w:left w:val="nil"/>
              <w:bottom w:val="nil"/>
              <w:right w:val="nil"/>
            </w:tcBorders>
            <w:shd w:val="clear" w:color="auto" w:fill="auto"/>
            <w:noWrap/>
            <w:vAlign w:val="bottom"/>
          </w:tcPr>
          <w:p w14:paraId="3B8F076E"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-.0149***</w:t>
            </w:r>
          </w:p>
        </w:tc>
        <w:tc>
          <w:tcPr>
            <w:tcW w:w="1260" w:type="dxa"/>
            <w:gridSpan w:val="2"/>
            <w:tcBorders>
              <w:top w:val="nil"/>
              <w:left w:val="nil"/>
              <w:bottom w:val="nil"/>
              <w:right w:val="nil"/>
            </w:tcBorders>
            <w:shd w:val="clear" w:color="auto" w:fill="auto"/>
            <w:noWrap/>
            <w:vAlign w:val="bottom"/>
          </w:tcPr>
          <w:p w14:paraId="791CCF7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-.0151***</w:t>
            </w:r>
          </w:p>
        </w:tc>
      </w:tr>
      <w:tr w:rsidR="00DA64BC" w:rsidRPr="006E6122" w14:paraId="7DA930F1"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77E1DA29"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E7B48A3"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(.000589)</w:t>
            </w:r>
          </w:p>
        </w:tc>
        <w:tc>
          <w:tcPr>
            <w:tcW w:w="1260" w:type="dxa"/>
            <w:tcBorders>
              <w:top w:val="nil"/>
              <w:left w:val="nil"/>
              <w:bottom w:val="nil"/>
              <w:right w:val="nil"/>
            </w:tcBorders>
            <w:shd w:val="clear" w:color="auto" w:fill="auto"/>
            <w:noWrap/>
            <w:vAlign w:val="bottom"/>
          </w:tcPr>
          <w:p w14:paraId="4A9E64D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(.000609)</w:t>
            </w:r>
          </w:p>
        </w:tc>
        <w:tc>
          <w:tcPr>
            <w:tcW w:w="1260" w:type="dxa"/>
            <w:tcBorders>
              <w:top w:val="nil"/>
              <w:left w:val="nil"/>
              <w:bottom w:val="nil"/>
              <w:right w:val="nil"/>
            </w:tcBorders>
            <w:shd w:val="clear" w:color="auto" w:fill="auto"/>
            <w:noWrap/>
            <w:vAlign w:val="bottom"/>
          </w:tcPr>
          <w:p w14:paraId="39904F5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(.000643)</w:t>
            </w:r>
          </w:p>
        </w:tc>
        <w:tc>
          <w:tcPr>
            <w:tcW w:w="1260" w:type="dxa"/>
            <w:tcBorders>
              <w:top w:val="nil"/>
              <w:left w:val="nil"/>
              <w:bottom w:val="nil"/>
              <w:right w:val="nil"/>
            </w:tcBorders>
            <w:shd w:val="clear" w:color="auto" w:fill="auto"/>
            <w:noWrap/>
            <w:vAlign w:val="bottom"/>
          </w:tcPr>
          <w:p w14:paraId="7040D3B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(.000651)</w:t>
            </w:r>
          </w:p>
        </w:tc>
        <w:tc>
          <w:tcPr>
            <w:tcW w:w="1260" w:type="dxa"/>
            <w:gridSpan w:val="2"/>
            <w:tcBorders>
              <w:top w:val="nil"/>
              <w:left w:val="nil"/>
              <w:bottom w:val="nil"/>
              <w:right w:val="nil"/>
            </w:tcBorders>
            <w:shd w:val="clear" w:color="auto" w:fill="auto"/>
            <w:noWrap/>
            <w:vAlign w:val="bottom"/>
          </w:tcPr>
          <w:p w14:paraId="0207BB4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(.000656)</w:t>
            </w:r>
          </w:p>
        </w:tc>
      </w:tr>
      <w:tr w:rsidR="00DA64BC" w:rsidRPr="006E6122" w14:paraId="34BD5669"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EC781B1" w14:textId="77777777" w:rsidR="00DA64BC" w:rsidRPr="004961A2" w:rsidRDefault="00DA64BC" w:rsidP="00A02DF8">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1280" w:type="dxa"/>
            <w:tcBorders>
              <w:top w:val="nil"/>
              <w:left w:val="nil"/>
              <w:bottom w:val="nil"/>
              <w:right w:val="nil"/>
            </w:tcBorders>
            <w:shd w:val="clear" w:color="auto" w:fill="auto"/>
            <w:noWrap/>
            <w:vAlign w:val="bottom"/>
          </w:tcPr>
          <w:p w14:paraId="26C742B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-.111***</w:t>
            </w:r>
          </w:p>
        </w:tc>
        <w:tc>
          <w:tcPr>
            <w:tcW w:w="1260" w:type="dxa"/>
            <w:tcBorders>
              <w:top w:val="nil"/>
              <w:left w:val="nil"/>
              <w:bottom w:val="nil"/>
              <w:right w:val="nil"/>
            </w:tcBorders>
            <w:shd w:val="clear" w:color="auto" w:fill="auto"/>
            <w:noWrap/>
            <w:vAlign w:val="bottom"/>
          </w:tcPr>
          <w:p w14:paraId="4556162E"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-.0988***</w:t>
            </w:r>
          </w:p>
        </w:tc>
        <w:tc>
          <w:tcPr>
            <w:tcW w:w="1260" w:type="dxa"/>
            <w:tcBorders>
              <w:top w:val="nil"/>
              <w:left w:val="nil"/>
              <w:bottom w:val="nil"/>
              <w:right w:val="nil"/>
            </w:tcBorders>
            <w:shd w:val="clear" w:color="auto" w:fill="auto"/>
            <w:noWrap/>
            <w:vAlign w:val="bottom"/>
          </w:tcPr>
          <w:p w14:paraId="129DBE0D"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-.103***</w:t>
            </w:r>
          </w:p>
        </w:tc>
        <w:tc>
          <w:tcPr>
            <w:tcW w:w="1260" w:type="dxa"/>
            <w:tcBorders>
              <w:top w:val="nil"/>
              <w:left w:val="nil"/>
              <w:bottom w:val="nil"/>
              <w:right w:val="nil"/>
            </w:tcBorders>
            <w:shd w:val="clear" w:color="auto" w:fill="auto"/>
            <w:noWrap/>
            <w:vAlign w:val="bottom"/>
          </w:tcPr>
          <w:p w14:paraId="4890BC4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-.104***</w:t>
            </w:r>
          </w:p>
        </w:tc>
        <w:tc>
          <w:tcPr>
            <w:tcW w:w="1260" w:type="dxa"/>
            <w:gridSpan w:val="2"/>
            <w:tcBorders>
              <w:top w:val="nil"/>
              <w:left w:val="nil"/>
              <w:bottom w:val="nil"/>
              <w:right w:val="nil"/>
            </w:tcBorders>
            <w:shd w:val="clear" w:color="auto" w:fill="auto"/>
            <w:noWrap/>
            <w:vAlign w:val="bottom"/>
          </w:tcPr>
          <w:p w14:paraId="7394F664"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-.105***</w:t>
            </w:r>
          </w:p>
        </w:tc>
      </w:tr>
      <w:tr w:rsidR="00DA64BC" w:rsidRPr="006E6122" w14:paraId="080A6BCC"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EA8CC31" w14:textId="77777777" w:rsidR="00DA64BC" w:rsidRPr="006E6122" w:rsidRDefault="00DA64BC"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0CAE49A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w:t>
            </w:r>
            <w:r w:rsidR="00C364B1">
              <w:rPr>
                <w:rFonts w:ascii="Calibri" w:hAnsi="Calibri" w:cs="Calibri"/>
                <w:sz w:val="20"/>
                <w:szCs w:val="20"/>
              </w:rPr>
              <w:t>00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154D051B"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(.0107)</w:t>
            </w:r>
          </w:p>
        </w:tc>
        <w:tc>
          <w:tcPr>
            <w:tcW w:w="1260" w:type="dxa"/>
            <w:tcBorders>
              <w:top w:val="nil"/>
              <w:left w:val="nil"/>
              <w:bottom w:val="nil"/>
              <w:right w:val="nil"/>
            </w:tcBorders>
            <w:shd w:val="clear" w:color="auto" w:fill="auto"/>
            <w:noWrap/>
            <w:vAlign w:val="bottom"/>
          </w:tcPr>
          <w:p w14:paraId="46C9AA6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(.0114)</w:t>
            </w:r>
          </w:p>
        </w:tc>
        <w:tc>
          <w:tcPr>
            <w:tcW w:w="1260" w:type="dxa"/>
            <w:tcBorders>
              <w:top w:val="nil"/>
              <w:left w:val="nil"/>
              <w:bottom w:val="nil"/>
              <w:right w:val="nil"/>
            </w:tcBorders>
            <w:shd w:val="clear" w:color="auto" w:fill="auto"/>
            <w:noWrap/>
            <w:vAlign w:val="bottom"/>
          </w:tcPr>
          <w:p w14:paraId="419C450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(.0116)</w:t>
            </w:r>
          </w:p>
        </w:tc>
        <w:tc>
          <w:tcPr>
            <w:tcW w:w="1260" w:type="dxa"/>
            <w:gridSpan w:val="2"/>
            <w:tcBorders>
              <w:top w:val="nil"/>
              <w:left w:val="nil"/>
              <w:bottom w:val="nil"/>
              <w:right w:val="nil"/>
            </w:tcBorders>
            <w:shd w:val="clear" w:color="auto" w:fill="auto"/>
            <w:noWrap/>
            <w:vAlign w:val="bottom"/>
          </w:tcPr>
          <w:p w14:paraId="23121709" w14:textId="77777777" w:rsidR="00DA64BC" w:rsidRPr="00533AA5" w:rsidRDefault="00DA64BC" w:rsidP="00A02DF8">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w:t>
            </w:r>
            <w:r w:rsidR="00C364B1">
              <w:rPr>
                <w:rFonts w:ascii="Calibri" w:hAnsi="Calibri" w:cs="Calibri"/>
                <w:sz w:val="20"/>
                <w:szCs w:val="20"/>
              </w:rPr>
              <w:t>0</w:t>
            </w:r>
            <w:r>
              <w:rPr>
                <w:rFonts w:ascii="Calibri" w:hAnsi="Calibri" w:cs="Calibri"/>
                <w:sz w:val="20"/>
                <w:szCs w:val="20"/>
              </w:rPr>
              <w:t>)</w:t>
            </w:r>
          </w:p>
        </w:tc>
      </w:tr>
      <w:tr w:rsidR="00DA64BC" w:rsidRPr="006E6122" w14:paraId="049D1AED"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12D61514" w14:textId="77777777" w:rsidR="00DA64BC" w:rsidRPr="006E6122" w:rsidRDefault="00DA64BC" w:rsidP="00A02DF8">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39F35AEF" w14:textId="77777777" w:rsidR="00DA64BC" w:rsidRPr="00533AA5" w:rsidRDefault="00DA64BC" w:rsidP="00A02DF8">
            <w:pPr>
              <w:spacing w:after="0" w:line="240" w:lineRule="auto"/>
              <w:contextualSpacing/>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47F46548" w14:textId="77777777" w:rsidR="00DA64BC" w:rsidRPr="00533AA5" w:rsidRDefault="00DA64BC" w:rsidP="00A02DF8">
            <w:pPr>
              <w:spacing w:after="0" w:line="240" w:lineRule="auto"/>
              <w:contextualSpacing/>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05DE4890" w14:textId="77777777" w:rsidR="00DA64BC" w:rsidRPr="00533AA5" w:rsidRDefault="00DA64BC" w:rsidP="00A02DF8">
            <w:pPr>
              <w:spacing w:after="0" w:line="240" w:lineRule="auto"/>
              <w:contextualSpacing/>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3B9261C7" w14:textId="77777777" w:rsidR="00DA64BC" w:rsidRPr="00533AA5" w:rsidRDefault="00DA64BC" w:rsidP="00A02DF8">
            <w:pPr>
              <w:spacing w:after="0" w:line="240" w:lineRule="auto"/>
              <w:contextualSpacing/>
              <w:jc w:val="center"/>
              <w:rPr>
                <w:rFonts w:ascii="Calibri" w:eastAsia="Times New Roman" w:hAnsi="Calibri" w:cs="Calibri"/>
                <w:sz w:val="20"/>
                <w:szCs w:val="20"/>
              </w:rPr>
            </w:pPr>
          </w:p>
        </w:tc>
        <w:tc>
          <w:tcPr>
            <w:tcW w:w="1260" w:type="dxa"/>
            <w:gridSpan w:val="2"/>
            <w:tcBorders>
              <w:top w:val="nil"/>
              <w:left w:val="nil"/>
              <w:bottom w:val="nil"/>
              <w:right w:val="nil"/>
            </w:tcBorders>
            <w:shd w:val="clear" w:color="auto" w:fill="auto"/>
            <w:noWrap/>
            <w:vAlign w:val="bottom"/>
          </w:tcPr>
          <w:p w14:paraId="79BDE23C" w14:textId="77777777" w:rsidR="00DA64BC" w:rsidRPr="00533AA5" w:rsidRDefault="00DA64BC" w:rsidP="00A02DF8">
            <w:pPr>
              <w:spacing w:after="0" w:line="240" w:lineRule="auto"/>
              <w:contextualSpacing/>
              <w:jc w:val="center"/>
              <w:rPr>
                <w:rFonts w:ascii="Calibri" w:eastAsia="Times New Roman" w:hAnsi="Calibri" w:cs="Calibri"/>
                <w:sz w:val="20"/>
                <w:szCs w:val="20"/>
              </w:rPr>
            </w:pPr>
          </w:p>
        </w:tc>
      </w:tr>
      <w:tr w:rsidR="00DA64BC" w:rsidRPr="006E6122" w14:paraId="1AC7FDB8"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1A1EA4C8" w14:textId="77777777" w:rsidR="00DA64BC" w:rsidRPr="006E6122" w:rsidRDefault="00DA64BC"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Observations</w:t>
            </w:r>
          </w:p>
        </w:tc>
        <w:tc>
          <w:tcPr>
            <w:tcW w:w="1280" w:type="dxa"/>
            <w:tcBorders>
              <w:top w:val="nil"/>
              <w:left w:val="nil"/>
              <w:bottom w:val="nil"/>
              <w:right w:val="nil"/>
            </w:tcBorders>
            <w:shd w:val="clear" w:color="auto" w:fill="auto"/>
            <w:noWrap/>
            <w:vAlign w:val="bottom"/>
          </w:tcPr>
          <w:p w14:paraId="24A4465A"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2,371,446</w:t>
            </w:r>
          </w:p>
        </w:tc>
        <w:tc>
          <w:tcPr>
            <w:tcW w:w="1260" w:type="dxa"/>
            <w:tcBorders>
              <w:top w:val="nil"/>
              <w:left w:val="nil"/>
              <w:bottom w:val="nil"/>
              <w:right w:val="nil"/>
            </w:tcBorders>
            <w:shd w:val="clear" w:color="auto" w:fill="auto"/>
            <w:noWrap/>
            <w:vAlign w:val="bottom"/>
          </w:tcPr>
          <w:p w14:paraId="4D2BBF4A"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2,108,278</w:t>
            </w:r>
          </w:p>
        </w:tc>
        <w:tc>
          <w:tcPr>
            <w:tcW w:w="1260" w:type="dxa"/>
            <w:tcBorders>
              <w:top w:val="nil"/>
              <w:left w:val="nil"/>
              <w:bottom w:val="nil"/>
              <w:right w:val="nil"/>
            </w:tcBorders>
            <w:shd w:val="clear" w:color="auto" w:fill="auto"/>
            <w:noWrap/>
            <w:vAlign w:val="bottom"/>
          </w:tcPr>
          <w:p w14:paraId="2256567F"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1,843,444</w:t>
            </w:r>
          </w:p>
        </w:tc>
        <w:tc>
          <w:tcPr>
            <w:tcW w:w="1260" w:type="dxa"/>
            <w:tcBorders>
              <w:top w:val="nil"/>
              <w:left w:val="nil"/>
              <w:bottom w:val="nil"/>
              <w:right w:val="nil"/>
            </w:tcBorders>
            <w:shd w:val="clear" w:color="auto" w:fill="auto"/>
            <w:noWrap/>
            <w:vAlign w:val="bottom"/>
          </w:tcPr>
          <w:p w14:paraId="65410D18"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1,764,947</w:t>
            </w:r>
          </w:p>
        </w:tc>
        <w:tc>
          <w:tcPr>
            <w:tcW w:w="1260" w:type="dxa"/>
            <w:gridSpan w:val="2"/>
            <w:tcBorders>
              <w:top w:val="nil"/>
              <w:left w:val="nil"/>
              <w:bottom w:val="nil"/>
              <w:right w:val="nil"/>
            </w:tcBorders>
            <w:shd w:val="clear" w:color="auto" w:fill="auto"/>
            <w:noWrap/>
            <w:vAlign w:val="bottom"/>
          </w:tcPr>
          <w:p w14:paraId="0BA02C16"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1,669,246</w:t>
            </w:r>
          </w:p>
        </w:tc>
      </w:tr>
      <w:tr w:rsidR="00DA64BC" w:rsidRPr="006E6122" w14:paraId="02C819F2"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55D3864" w14:textId="77777777" w:rsidR="00DA64BC" w:rsidRPr="006E6122" w:rsidRDefault="00DA64BC" w:rsidP="00A02DF8">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Clusters</w:t>
            </w:r>
          </w:p>
        </w:tc>
        <w:tc>
          <w:tcPr>
            <w:tcW w:w="1280" w:type="dxa"/>
            <w:tcBorders>
              <w:top w:val="nil"/>
              <w:left w:val="nil"/>
              <w:bottom w:val="nil"/>
              <w:right w:val="nil"/>
            </w:tcBorders>
            <w:shd w:val="clear" w:color="auto" w:fill="auto"/>
            <w:noWrap/>
            <w:vAlign w:val="bottom"/>
          </w:tcPr>
          <w:p w14:paraId="6448FED0"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59,950</w:t>
            </w:r>
          </w:p>
        </w:tc>
        <w:tc>
          <w:tcPr>
            <w:tcW w:w="1260" w:type="dxa"/>
            <w:tcBorders>
              <w:top w:val="nil"/>
              <w:left w:val="nil"/>
              <w:bottom w:val="nil"/>
              <w:right w:val="nil"/>
            </w:tcBorders>
            <w:shd w:val="clear" w:color="auto" w:fill="auto"/>
            <w:noWrap/>
            <w:vAlign w:val="bottom"/>
          </w:tcPr>
          <w:p w14:paraId="5F644B06"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53,646</w:t>
            </w:r>
          </w:p>
        </w:tc>
        <w:tc>
          <w:tcPr>
            <w:tcW w:w="1260" w:type="dxa"/>
            <w:tcBorders>
              <w:top w:val="nil"/>
              <w:left w:val="nil"/>
              <w:bottom w:val="nil"/>
              <w:right w:val="nil"/>
            </w:tcBorders>
            <w:shd w:val="clear" w:color="auto" w:fill="auto"/>
            <w:noWrap/>
            <w:vAlign w:val="bottom"/>
          </w:tcPr>
          <w:p w14:paraId="259F20BD"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47,205</w:t>
            </w:r>
          </w:p>
        </w:tc>
        <w:tc>
          <w:tcPr>
            <w:tcW w:w="1260" w:type="dxa"/>
            <w:tcBorders>
              <w:top w:val="nil"/>
              <w:left w:val="nil"/>
              <w:bottom w:val="nil"/>
              <w:right w:val="nil"/>
            </w:tcBorders>
            <w:shd w:val="clear" w:color="auto" w:fill="auto"/>
            <w:noWrap/>
            <w:vAlign w:val="bottom"/>
          </w:tcPr>
          <w:p w14:paraId="64B7BA4A"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45,385</w:t>
            </w:r>
          </w:p>
        </w:tc>
        <w:tc>
          <w:tcPr>
            <w:tcW w:w="1260" w:type="dxa"/>
            <w:gridSpan w:val="2"/>
            <w:tcBorders>
              <w:top w:val="nil"/>
              <w:left w:val="nil"/>
              <w:bottom w:val="nil"/>
              <w:right w:val="nil"/>
            </w:tcBorders>
            <w:shd w:val="clear" w:color="auto" w:fill="auto"/>
            <w:noWrap/>
            <w:vAlign w:val="bottom"/>
          </w:tcPr>
          <w:p w14:paraId="77729B98"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42,818</w:t>
            </w:r>
          </w:p>
        </w:tc>
      </w:tr>
      <w:tr w:rsidR="00DA64BC" w:rsidRPr="006E6122" w14:paraId="0631DE3F" w14:textId="77777777" w:rsidTr="006751BB">
        <w:trPr>
          <w:trHeight w:val="255"/>
          <w:jc w:val="center"/>
        </w:trPr>
        <w:tc>
          <w:tcPr>
            <w:tcW w:w="1639" w:type="dxa"/>
            <w:tcBorders>
              <w:top w:val="nil"/>
              <w:left w:val="nil"/>
              <w:bottom w:val="single" w:sz="4" w:space="0" w:color="auto"/>
              <w:right w:val="nil"/>
            </w:tcBorders>
            <w:shd w:val="clear" w:color="auto" w:fill="auto"/>
            <w:noWrap/>
            <w:vAlign w:val="bottom"/>
            <w:hideMark/>
          </w:tcPr>
          <w:p w14:paraId="519818FA" w14:textId="77777777" w:rsidR="00DA64BC" w:rsidRPr="006E6122" w:rsidRDefault="00DA64BC" w:rsidP="00A02DF8">
            <w:pPr>
              <w:spacing w:after="0" w:line="240" w:lineRule="auto"/>
              <w:contextualSpacing/>
              <w:rPr>
                <w:rFonts w:ascii="Calibri" w:eastAsia="Times New Roman" w:hAnsi="Calibri" w:cs="Calibri"/>
                <w:sz w:val="20"/>
                <w:szCs w:val="20"/>
                <w:vertAlign w:val="superscript"/>
              </w:rPr>
            </w:pPr>
            <w:r w:rsidRPr="006E6122">
              <w:rPr>
                <w:rFonts w:ascii="Calibri" w:eastAsia="Times New Roman" w:hAnsi="Calibri" w:cs="Calibri"/>
                <w:sz w:val="20"/>
                <w:szCs w:val="20"/>
              </w:rPr>
              <w:t>Pseudo R</w:t>
            </w:r>
            <w:r>
              <w:rPr>
                <w:rFonts w:ascii="Calibri" w:eastAsia="Times New Roman" w:hAnsi="Calibri" w:cs="Calibri"/>
                <w:sz w:val="20"/>
                <w:szCs w:val="20"/>
                <w:vertAlign w:val="superscript"/>
              </w:rPr>
              <w:t>2</w:t>
            </w:r>
          </w:p>
        </w:tc>
        <w:tc>
          <w:tcPr>
            <w:tcW w:w="1280" w:type="dxa"/>
            <w:tcBorders>
              <w:top w:val="nil"/>
              <w:left w:val="nil"/>
              <w:bottom w:val="single" w:sz="4" w:space="0" w:color="auto"/>
              <w:right w:val="nil"/>
            </w:tcBorders>
            <w:shd w:val="clear" w:color="auto" w:fill="auto"/>
            <w:noWrap/>
            <w:vAlign w:val="bottom"/>
          </w:tcPr>
          <w:p w14:paraId="53031446"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0.054</w:t>
            </w:r>
          </w:p>
        </w:tc>
        <w:tc>
          <w:tcPr>
            <w:tcW w:w="1260" w:type="dxa"/>
            <w:tcBorders>
              <w:top w:val="nil"/>
              <w:left w:val="nil"/>
              <w:bottom w:val="single" w:sz="4" w:space="0" w:color="auto"/>
              <w:right w:val="nil"/>
            </w:tcBorders>
            <w:shd w:val="clear" w:color="auto" w:fill="auto"/>
            <w:noWrap/>
            <w:vAlign w:val="bottom"/>
          </w:tcPr>
          <w:p w14:paraId="382DB006"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0.054</w:t>
            </w:r>
          </w:p>
        </w:tc>
        <w:tc>
          <w:tcPr>
            <w:tcW w:w="1260" w:type="dxa"/>
            <w:tcBorders>
              <w:top w:val="nil"/>
              <w:left w:val="nil"/>
              <w:bottom w:val="single" w:sz="4" w:space="0" w:color="auto"/>
              <w:right w:val="nil"/>
            </w:tcBorders>
            <w:shd w:val="clear" w:color="auto" w:fill="auto"/>
            <w:noWrap/>
            <w:vAlign w:val="bottom"/>
          </w:tcPr>
          <w:p w14:paraId="4BC6B3EA"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0.053</w:t>
            </w:r>
          </w:p>
        </w:tc>
        <w:tc>
          <w:tcPr>
            <w:tcW w:w="1260" w:type="dxa"/>
            <w:tcBorders>
              <w:top w:val="nil"/>
              <w:left w:val="nil"/>
              <w:bottom w:val="single" w:sz="4" w:space="0" w:color="auto"/>
              <w:right w:val="nil"/>
            </w:tcBorders>
            <w:shd w:val="clear" w:color="auto" w:fill="auto"/>
            <w:noWrap/>
            <w:vAlign w:val="bottom"/>
          </w:tcPr>
          <w:p w14:paraId="20F0FAC4"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0.053</w:t>
            </w:r>
          </w:p>
        </w:tc>
        <w:tc>
          <w:tcPr>
            <w:tcW w:w="1260" w:type="dxa"/>
            <w:gridSpan w:val="2"/>
            <w:tcBorders>
              <w:top w:val="nil"/>
              <w:left w:val="nil"/>
              <w:bottom w:val="single" w:sz="4" w:space="0" w:color="auto"/>
              <w:right w:val="nil"/>
            </w:tcBorders>
            <w:shd w:val="clear" w:color="auto" w:fill="auto"/>
            <w:noWrap/>
            <w:vAlign w:val="bottom"/>
          </w:tcPr>
          <w:p w14:paraId="57D0F41D" w14:textId="77777777" w:rsidR="00DA64BC" w:rsidRPr="00533AA5" w:rsidRDefault="00DA64BC" w:rsidP="00A02DF8">
            <w:pPr>
              <w:spacing w:after="0" w:line="240" w:lineRule="auto"/>
              <w:contextualSpacing/>
              <w:jc w:val="right"/>
              <w:rPr>
                <w:rFonts w:ascii="Calibri" w:eastAsia="Times New Roman" w:hAnsi="Calibri" w:cs="Calibri"/>
                <w:sz w:val="20"/>
                <w:szCs w:val="20"/>
              </w:rPr>
            </w:pPr>
            <w:r>
              <w:rPr>
                <w:rFonts w:ascii="Calibri" w:hAnsi="Calibri" w:cs="Calibri"/>
                <w:sz w:val="20"/>
                <w:szCs w:val="20"/>
              </w:rPr>
              <w:t>0.052</w:t>
            </w:r>
          </w:p>
        </w:tc>
      </w:tr>
    </w:tbl>
    <w:p w14:paraId="4227C4F8" w14:textId="77777777" w:rsidR="00E3728D" w:rsidRDefault="00E3728D" w:rsidP="00847A0D">
      <w:pPr>
        <w:spacing w:after="0"/>
        <w:contextualSpacing/>
      </w:pPr>
    </w:p>
    <w:p w14:paraId="0ABC2CC6" w14:textId="77777777" w:rsidR="00847A0D" w:rsidRDefault="00847A0D" w:rsidP="00847A0D">
      <w:pPr>
        <w:spacing w:after="0"/>
        <w:contextualSpacing/>
      </w:pPr>
    </w:p>
    <w:p w14:paraId="700E50C3" w14:textId="77777777" w:rsidR="00847A0D" w:rsidRDefault="00847A0D" w:rsidP="00847A0D">
      <w:pPr>
        <w:spacing w:after="0"/>
        <w:contextualSpacing/>
      </w:pPr>
      <w:r>
        <w:br w:type="page"/>
      </w:r>
    </w:p>
    <w:p w14:paraId="703D48D1" w14:textId="1CB07942" w:rsidR="00FD4CDF" w:rsidRDefault="00FD4CDF" w:rsidP="004C757C">
      <w:pPr>
        <w:spacing w:after="0"/>
        <w:contextualSpacing/>
      </w:pPr>
      <w:r>
        <w:rPr>
          <w:b/>
        </w:rPr>
        <w:lastRenderedPageBreak/>
        <w:t>Table A</w:t>
      </w:r>
      <w:r w:rsidR="00DC4756">
        <w:rPr>
          <w:b/>
        </w:rPr>
        <w:t>7</w:t>
      </w:r>
    </w:p>
    <w:p w14:paraId="7A1F5D0D" w14:textId="59A6F6B3" w:rsidR="003520CC" w:rsidRDefault="00FD4CDF" w:rsidP="003520CC">
      <w:pPr>
        <w:spacing w:after="0"/>
        <w:contextualSpacing/>
      </w:pPr>
      <w:r>
        <w:t xml:space="preserve">Multinomial logit regressions based on monthly observations of first-lien, conventional, amortizing (non-balloon, non-interest only), fixed-rate mortgages for purchases of single-family residences or condominiums in Maryland and Virginia originated by nonbank originators between 2000 and 2015.  The sample is restricted to only prime mortgages (defined as those originated to borrowers with a FICO score greater than 660).  The sample is restricted to only the first one, two, three, or four years of each mortgage’s performance (as in Table </w:t>
      </w:r>
      <w:r w:rsidR="005C7B9C">
        <w:t>A2</w:t>
      </w:r>
      <w:r>
        <w:t xml:space="preserve">).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003520CC" w:rsidRPr="00EB01F8">
        <w:rPr>
          <w:i/>
        </w:rPr>
        <w:t>FICO</w:t>
      </w:r>
      <w:r w:rsidR="003520CC">
        <w:t xml:space="preserve"> is the borrower’s FICO score at origination.  </w:t>
      </w:r>
      <w:r w:rsidR="003520CC" w:rsidRPr="00EB01F8">
        <w:rPr>
          <w:i/>
        </w:rPr>
        <w:t>CLTV</w:t>
      </w:r>
      <w:r w:rsidR="003520CC">
        <w:t xml:space="preserve"> is the current loan balance divided by the current home value, where current home value is estimated as (1 + house price appreciation since origination) multiplied by the loan amount at origination divided by LTV at origination.  House price appreciation for </w:t>
      </w:r>
      <w:r w:rsidR="003520CC">
        <w:rPr>
          <w:i/>
        </w:rPr>
        <w:t>CLTV</w:t>
      </w:r>
      <w:r w:rsidR="003520CC">
        <w:t xml:space="preserve"> is measured by the CoreLogic Solutions county-level monthly house price index.  </w:t>
      </w:r>
      <w:r w:rsidR="003520CC" w:rsidRPr="000E12EE">
        <w:rPr>
          <w:i/>
        </w:rPr>
        <w:t>LoanAge</w:t>
      </w:r>
      <w:r w:rsidR="003520CC">
        <w:t xml:space="preserve"> is the number of months since origination.  </w:t>
      </w:r>
      <w:r w:rsidR="003520CC" w:rsidRPr="005B6422">
        <w:rPr>
          <w:i/>
        </w:rPr>
        <w:t>RefiPenalty</w:t>
      </w:r>
      <w:r w:rsidR="003520CC">
        <w:t xml:space="preserve"> is the change in the PMMS rate since origination.  </w:t>
      </w:r>
      <w:r w:rsidR="003520CC" w:rsidRPr="006879D3">
        <w:rPr>
          <w:i/>
        </w:rPr>
        <w:t>InterestGap</w:t>
      </w:r>
      <w:r w:rsidR="003520CC">
        <w:t xml:space="preserve"> is the difference between the mortgage interest rate at origination and the PMMS rate for the origination month.  </w:t>
      </w:r>
      <w:r w:rsidR="003520CC" w:rsidRPr="006879D3">
        <w:rPr>
          <w:i/>
        </w:rPr>
        <w:t>RelLoanSize</w:t>
      </w:r>
      <w:r w:rsidR="003520CC">
        <w:t xml:space="preserve"> is the loan amount at origination divided by the average loan amount for originations in the same vintage year and county.  </w:t>
      </w:r>
      <w:r w:rsidR="003520CC" w:rsidRPr="00EB01F8">
        <w:rPr>
          <w:i/>
        </w:rPr>
        <w:t>Unemployment</w:t>
      </w:r>
      <w:r w:rsidR="003520CC">
        <w:t xml:space="preserve"> is the monthly percentage change in the state-level unemployment rate.  </w:t>
      </w:r>
      <w:r w:rsidR="003520CC" w:rsidRPr="00EB01F8">
        <w:rPr>
          <w:i/>
        </w:rPr>
        <w:t>HPI</w:t>
      </w:r>
      <w:r w:rsidR="003520CC">
        <w:t xml:space="preserve"> is the percent change in quarterly FHFA state-level house price index since origination.  </w:t>
      </w:r>
      <w:r w:rsidR="003520CC" w:rsidRPr="001A09E2">
        <w:rPr>
          <w:i/>
        </w:rPr>
        <w:t>Condo</w:t>
      </w:r>
      <w:r w:rsidR="003520CC">
        <w:t xml:space="preserve"> is an indicator variable equaling one if the property is a condominium or townhouse and equaling zero if the property is a single family residence.  Each coefficient estimate represents the effect on the probability of default or prepayment, relative to the probability of the mortgage remaining current, of a one-unit change in the corresponding variable.  Vintage year indicators and a constant term are included in each specification.  Standard errors, clustered by loan, appear in parentheses</w:t>
      </w:r>
      <w:r w:rsidR="003520CC" w:rsidRPr="00957138">
        <w:t xml:space="preserve">.  </w:t>
      </w:r>
      <w:r w:rsidR="003520CC">
        <w:t>Levels of significance are indicated by *, **, and *** for 10%, 5%, and 1%, respectively.</w:t>
      </w:r>
    </w:p>
    <w:p w14:paraId="2041C7EA" w14:textId="77777777" w:rsidR="00FD4CDF" w:rsidRDefault="00FD4CDF" w:rsidP="00A02DF8">
      <w:pPr>
        <w:spacing w:after="0"/>
        <w:contextualSpacing/>
      </w:pPr>
    </w:p>
    <w:tbl>
      <w:tblPr>
        <w:tblW w:w="0" w:type="auto"/>
        <w:jc w:val="center"/>
        <w:tblLook w:val="04A0" w:firstRow="1" w:lastRow="0" w:firstColumn="1" w:lastColumn="0" w:noHBand="0" w:noVBand="1"/>
      </w:tblPr>
      <w:tblGrid>
        <w:gridCol w:w="1587"/>
        <w:gridCol w:w="1073"/>
        <w:gridCol w:w="1134"/>
        <w:gridCol w:w="1174"/>
        <w:gridCol w:w="1174"/>
      </w:tblGrid>
      <w:tr w:rsidR="00626866" w:rsidRPr="00B672D5" w14:paraId="50969990"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hideMark/>
          </w:tcPr>
          <w:p w14:paraId="169F3028" w14:textId="77777777" w:rsidR="00626866" w:rsidRPr="00B672D5" w:rsidRDefault="00626866" w:rsidP="00A02DF8">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gridSpan w:val="4"/>
            <w:tcBorders>
              <w:top w:val="single" w:sz="4" w:space="0" w:color="auto"/>
              <w:left w:val="nil"/>
              <w:bottom w:val="nil"/>
              <w:right w:val="nil"/>
            </w:tcBorders>
            <w:shd w:val="clear" w:color="auto" w:fill="auto"/>
            <w:noWrap/>
            <w:vAlign w:val="bottom"/>
            <w:hideMark/>
          </w:tcPr>
          <w:p w14:paraId="74072154" w14:textId="77777777" w:rsidR="00626866" w:rsidRPr="00B672D5" w:rsidRDefault="00626866" w:rsidP="00A02DF8">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xml:space="preserve">Probability of </w:t>
            </w:r>
            <w:r>
              <w:rPr>
                <w:rFonts w:ascii="Calibri" w:eastAsia="Times New Roman" w:hAnsi="Calibri" w:cs="Calibri"/>
                <w:sz w:val="20"/>
                <w:szCs w:val="20"/>
              </w:rPr>
              <w:t>d</w:t>
            </w:r>
            <w:r w:rsidRPr="00B672D5">
              <w:rPr>
                <w:rFonts w:ascii="Calibri" w:eastAsia="Times New Roman" w:hAnsi="Calibri" w:cs="Calibri"/>
                <w:sz w:val="20"/>
                <w:szCs w:val="20"/>
              </w:rPr>
              <w:t>efault</w:t>
            </w:r>
          </w:p>
        </w:tc>
      </w:tr>
      <w:tr w:rsidR="00626866" w:rsidRPr="00B672D5" w14:paraId="09DDC42C" w14:textId="77777777" w:rsidTr="009D6779">
        <w:trPr>
          <w:trHeight w:val="255"/>
          <w:jc w:val="center"/>
        </w:trPr>
        <w:tc>
          <w:tcPr>
            <w:tcW w:w="0" w:type="auto"/>
            <w:tcBorders>
              <w:top w:val="nil"/>
              <w:left w:val="nil"/>
              <w:right w:val="nil"/>
            </w:tcBorders>
            <w:shd w:val="clear" w:color="auto" w:fill="auto"/>
            <w:noWrap/>
            <w:vAlign w:val="bottom"/>
            <w:hideMark/>
          </w:tcPr>
          <w:p w14:paraId="3C8E0181" w14:textId="77777777" w:rsidR="00626866" w:rsidRPr="00B672D5" w:rsidRDefault="00626866" w:rsidP="009D6779">
            <w:pPr>
              <w:spacing w:after="0" w:line="240" w:lineRule="auto"/>
              <w:contextualSpacing/>
              <w:jc w:val="center"/>
              <w:rPr>
                <w:rFonts w:ascii="Calibri" w:eastAsia="Times New Roman" w:hAnsi="Calibri" w:cs="Calibri"/>
                <w:sz w:val="18"/>
                <w:szCs w:val="18"/>
              </w:rPr>
            </w:pPr>
            <w:r w:rsidRPr="00B672D5">
              <w:rPr>
                <w:rFonts w:ascii="Calibri" w:eastAsia="Times New Roman" w:hAnsi="Calibri" w:cs="Calibri"/>
                <w:sz w:val="18"/>
                <w:szCs w:val="18"/>
              </w:rPr>
              <w:t> </w:t>
            </w:r>
          </w:p>
        </w:tc>
        <w:tc>
          <w:tcPr>
            <w:tcW w:w="0" w:type="auto"/>
            <w:tcBorders>
              <w:top w:val="nil"/>
              <w:left w:val="nil"/>
              <w:right w:val="nil"/>
            </w:tcBorders>
            <w:shd w:val="clear" w:color="auto" w:fill="auto"/>
            <w:noWrap/>
            <w:vAlign w:val="bottom"/>
            <w:hideMark/>
          </w:tcPr>
          <w:p w14:paraId="2EDC83B0"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One year</w:t>
            </w:r>
          </w:p>
        </w:tc>
        <w:tc>
          <w:tcPr>
            <w:tcW w:w="0" w:type="auto"/>
            <w:tcBorders>
              <w:top w:val="nil"/>
              <w:left w:val="nil"/>
              <w:right w:val="nil"/>
            </w:tcBorders>
            <w:shd w:val="clear" w:color="auto" w:fill="auto"/>
            <w:noWrap/>
            <w:vAlign w:val="bottom"/>
            <w:hideMark/>
          </w:tcPr>
          <w:p w14:paraId="5CB4B7E6"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Two years</w:t>
            </w:r>
          </w:p>
        </w:tc>
        <w:tc>
          <w:tcPr>
            <w:tcW w:w="0" w:type="auto"/>
            <w:tcBorders>
              <w:top w:val="nil"/>
              <w:left w:val="nil"/>
              <w:right w:val="nil"/>
            </w:tcBorders>
            <w:shd w:val="clear" w:color="auto" w:fill="auto"/>
            <w:noWrap/>
            <w:vAlign w:val="bottom"/>
            <w:hideMark/>
          </w:tcPr>
          <w:p w14:paraId="1BFFDEE7"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Three years</w:t>
            </w:r>
          </w:p>
        </w:tc>
        <w:tc>
          <w:tcPr>
            <w:tcW w:w="0" w:type="auto"/>
            <w:tcBorders>
              <w:top w:val="nil"/>
              <w:left w:val="nil"/>
              <w:right w:val="nil"/>
            </w:tcBorders>
            <w:shd w:val="clear" w:color="auto" w:fill="auto"/>
            <w:noWrap/>
            <w:vAlign w:val="bottom"/>
            <w:hideMark/>
          </w:tcPr>
          <w:p w14:paraId="4217106C"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Four years</w:t>
            </w:r>
          </w:p>
        </w:tc>
      </w:tr>
      <w:tr w:rsidR="00626866" w:rsidRPr="00B672D5" w14:paraId="2A1E4002"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hideMark/>
          </w:tcPr>
          <w:p w14:paraId="1BBB83A9"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hideMark/>
          </w:tcPr>
          <w:p w14:paraId="03B69C4D"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bottom"/>
            <w:hideMark/>
          </w:tcPr>
          <w:p w14:paraId="0F96E867"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bottom"/>
            <w:hideMark/>
          </w:tcPr>
          <w:p w14:paraId="2B5E7443"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(3)</w:t>
            </w:r>
          </w:p>
        </w:tc>
        <w:tc>
          <w:tcPr>
            <w:tcW w:w="0" w:type="auto"/>
            <w:tcBorders>
              <w:top w:val="nil"/>
              <w:left w:val="nil"/>
              <w:bottom w:val="single" w:sz="4" w:space="0" w:color="auto"/>
              <w:right w:val="nil"/>
            </w:tcBorders>
            <w:shd w:val="clear" w:color="auto" w:fill="auto"/>
            <w:noWrap/>
            <w:vAlign w:val="bottom"/>
            <w:hideMark/>
          </w:tcPr>
          <w:p w14:paraId="619EF4B2"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w:t>
            </w:r>
            <w:r w:rsidR="00152138">
              <w:rPr>
                <w:rFonts w:ascii="Calibri" w:eastAsia="Times New Roman" w:hAnsi="Calibri" w:cs="Calibri"/>
                <w:sz w:val="20"/>
                <w:szCs w:val="20"/>
              </w:rPr>
              <w:t>4</w:t>
            </w:r>
            <w:r w:rsidRPr="00B672D5">
              <w:rPr>
                <w:rFonts w:ascii="Calibri" w:eastAsia="Times New Roman" w:hAnsi="Calibri" w:cs="Calibri"/>
                <w:sz w:val="20"/>
                <w:szCs w:val="20"/>
              </w:rPr>
              <w:t>)</w:t>
            </w:r>
          </w:p>
        </w:tc>
      </w:tr>
      <w:tr w:rsidR="00B26691" w:rsidRPr="00B672D5" w14:paraId="289676A3"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hideMark/>
          </w:tcPr>
          <w:p w14:paraId="658A636B"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single" w:sz="4" w:space="0" w:color="auto"/>
              <w:left w:val="nil"/>
              <w:bottom w:val="nil"/>
              <w:right w:val="nil"/>
            </w:tcBorders>
            <w:shd w:val="clear" w:color="auto" w:fill="auto"/>
            <w:noWrap/>
            <w:vAlign w:val="bottom"/>
          </w:tcPr>
          <w:p w14:paraId="0914DFC8"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.172</w:t>
            </w:r>
          </w:p>
        </w:tc>
        <w:tc>
          <w:tcPr>
            <w:tcW w:w="0" w:type="auto"/>
            <w:tcBorders>
              <w:top w:val="single" w:sz="4" w:space="0" w:color="auto"/>
              <w:left w:val="nil"/>
              <w:bottom w:val="nil"/>
              <w:right w:val="nil"/>
            </w:tcBorders>
            <w:shd w:val="clear" w:color="auto" w:fill="auto"/>
            <w:noWrap/>
            <w:vAlign w:val="bottom"/>
          </w:tcPr>
          <w:p w14:paraId="00D9C251"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.0925</w:t>
            </w:r>
          </w:p>
        </w:tc>
        <w:tc>
          <w:tcPr>
            <w:tcW w:w="0" w:type="auto"/>
            <w:tcBorders>
              <w:top w:val="single" w:sz="4" w:space="0" w:color="auto"/>
              <w:left w:val="nil"/>
              <w:bottom w:val="nil"/>
              <w:right w:val="nil"/>
            </w:tcBorders>
            <w:shd w:val="clear" w:color="auto" w:fill="auto"/>
            <w:noWrap/>
            <w:vAlign w:val="bottom"/>
          </w:tcPr>
          <w:p w14:paraId="3D005BE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.0949*</w:t>
            </w:r>
          </w:p>
        </w:tc>
        <w:tc>
          <w:tcPr>
            <w:tcW w:w="0" w:type="auto"/>
            <w:tcBorders>
              <w:top w:val="single" w:sz="4" w:space="0" w:color="auto"/>
              <w:left w:val="nil"/>
              <w:bottom w:val="nil"/>
              <w:right w:val="nil"/>
            </w:tcBorders>
            <w:shd w:val="clear" w:color="auto" w:fill="auto"/>
            <w:noWrap/>
            <w:vAlign w:val="bottom"/>
          </w:tcPr>
          <w:p w14:paraId="51D30C94"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.0779</w:t>
            </w:r>
          </w:p>
        </w:tc>
      </w:tr>
      <w:tr w:rsidR="00B26691" w:rsidRPr="00B672D5" w14:paraId="121B2D66"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F522222"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CF440C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(.128)</w:t>
            </w:r>
          </w:p>
        </w:tc>
        <w:tc>
          <w:tcPr>
            <w:tcW w:w="0" w:type="auto"/>
            <w:tcBorders>
              <w:top w:val="nil"/>
              <w:left w:val="nil"/>
              <w:bottom w:val="nil"/>
              <w:right w:val="nil"/>
            </w:tcBorders>
            <w:shd w:val="clear" w:color="auto" w:fill="auto"/>
            <w:noWrap/>
            <w:vAlign w:val="bottom"/>
          </w:tcPr>
          <w:p w14:paraId="4166D921"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(.0735)</w:t>
            </w:r>
          </w:p>
        </w:tc>
        <w:tc>
          <w:tcPr>
            <w:tcW w:w="0" w:type="auto"/>
            <w:tcBorders>
              <w:top w:val="nil"/>
              <w:left w:val="nil"/>
              <w:bottom w:val="nil"/>
              <w:right w:val="nil"/>
            </w:tcBorders>
            <w:shd w:val="clear" w:color="auto" w:fill="auto"/>
            <w:noWrap/>
            <w:vAlign w:val="bottom"/>
          </w:tcPr>
          <w:p w14:paraId="21A4AD1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(.0569)</w:t>
            </w:r>
          </w:p>
        </w:tc>
        <w:tc>
          <w:tcPr>
            <w:tcW w:w="0" w:type="auto"/>
            <w:tcBorders>
              <w:top w:val="nil"/>
              <w:left w:val="nil"/>
              <w:bottom w:val="nil"/>
              <w:right w:val="nil"/>
            </w:tcBorders>
            <w:shd w:val="clear" w:color="auto" w:fill="auto"/>
            <w:noWrap/>
            <w:vAlign w:val="bottom"/>
          </w:tcPr>
          <w:p w14:paraId="4592217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(.0489)</w:t>
            </w:r>
          </w:p>
        </w:tc>
      </w:tr>
      <w:tr w:rsidR="00B26691" w:rsidRPr="00B672D5" w14:paraId="0C0DB44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7A960FF"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tcPr>
          <w:p w14:paraId="77FAE04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-.526</w:t>
            </w:r>
          </w:p>
        </w:tc>
        <w:tc>
          <w:tcPr>
            <w:tcW w:w="0" w:type="auto"/>
            <w:tcBorders>
              <w:top w:val="nil"/>
              <w:left w:val="nil"/>
              <w:bottom w:val="nil"/>
              <w:right w:val="nil"/>
            </w:tcBorders>
            <w:shd w:val="clear" w:color="auto" w:fill="auto"/>
            <w:noWrap/>
            <w:vAlign w:val="bottom"/>
          </w:tcPr>
          <w:p w14:paraId="6E7B65E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-.639</w:t>
            </w:r>
          </w:p>
        </w:tc>
        <w:tc>
          <w:tcPr>
            <w:tcW w:w="0" w:type="auto"/>
            <w:tcBorders>
              <w:top w:val="nil"/>
              <w:left w:val="nil"/>
              <w:bottom w:val="nil"/>
              <w:right w:val="nil"/>
            </w:tcBorders>
            <w:shd w:val="clear" w:color="auto" w:fill="auto"/>
            <w:noWrap/>
            <w:vAlign w:val="bottom"/>
          </w:tcPr>
          <w:p w14:paraId="0F02166F"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-.732*</w:t>
            </w:r>
          </w:p>
        </w:tc>
        <w:tc>
          <w:tcPr>
            <w:tcW w:w="0" w:type="auto"/>
            <w:tcBorders>
              <w:top w:val="nil"/>
              <w:left w:val="nil"/>
              <w:bottom w:val="nil"/>
              <w:right w:val="nil"/>
            </w:tcBorders>
            <w:shd w:val="clear" w:color="auto" w:fill="auto"/>
            <w:noWrap/>
            <w:vAlign w:val="bottom"/>
          </w:tcPr>
          <w:p w14:paraId="5E235200"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-.648**</w:t>
            </w:r>
          </w:p>
        </w:tc>
      </w:tr>
      <w:tr w:rsidR="00B26691" w:rsidRPr="00B672D5" w14:paraId="2BBA1A12"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4C8C475"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52581B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(1.102)</w:t>
            </w:r>
          </w:p>
        </w:tc>
        <w:tc>
          <w:tcPr>
            <w:tcW w:w="0" w:type="auto"/>
            <w:tcBorders>
              <w:top w:val="nil"/>
              <w:left w:val="nil"/>
              <w:bottom w:val="nil"/>
              <w:right w:val="nil"/>
            </w:tcBorders>
            <w:shd w:val="clear" w:color="auto" w:fill="auto"/>
            <w:noWrap/>
            <w:vAlign w:val="bottom"/>
          </w:tcPr>
          <w:p w14:paraId="2AEF033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(.482)</w:t>
            </w:r>
          </w:p>
        </w:tc>
        <w:tc>
          <w:tcPr>
            <w:tcW w:w="0" w:type="auto"/>
            <w:tcBorders>
              <w:top w:val="nil"/>
              <w:left w:val="nil"/>
              <w:bottom w:val="nil"/>
              <w:right w:val="nil"/>
            </w:tcBorders>
            <w:shd w:val="clear" w:color="auto" w:fill="auto"/>
            <w:noWrap/>
            <w:vAlign w:val="bottom"/>
          </w:tcPr>
          <w:p w14:paraId="2E5AD00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(.379)</w:t>
            </w:r>
          </w:p>
        </w:tc>
        <w:tc>
          <w:tcPr>
            <w:tcW w:w="0" w:type="auto"/>
            <w:tcBorders>
              <w:top w:val="nil"/>
              <w:left w:val="nil"/>
              <w:bottom w:val="nil"/>
              <w:right w:val="nil"/>
            </w:tcBorders>
            <w:shd w:val="clear" w:color="auto" w:fill="auto"/>
            <w:noWrap/>
            <w:vAlign w:val="bottom"/>
          </w:tcPr>
          <w:p w14:paraId="6CEBC38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(.324)</w:t>
            </w:r>
          </w:p>
        </w:tc>
      </w:tr>
      <w:tr w:rsidR="00B26691" w:rsidRPr="00B672D5" w14:paraId="56DAE03E"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D86E534"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tcPr>
          <w:p w14:paraId="5B13CC5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-.694**</w:t>
            </w:r>
          </w:p>
        </w:tc>
        <w:tc>
          <w:tcPr>
            <w:tcW w:w="0" w:type="auto"/>
            <w:tcBorders>
              <w:top w:val="nil"/>
              <w:left w:val="nil"/>
              <w:bottom w:val="nil"/>
              <w:right w:val="nil"/>
            </w:tcBorders>
            <w:shd w:val="clear" w:color="auto" w:fill="auto"/>
            <w:noWrap/>
            <w:vAlign w:val="bottom"/>
          </w:tcPr>
          <w:p w14:paraId="2193E8C6"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w:t>
            </w:r>
            <w:r w:rsidR="00C364B1">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4255B75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-.452***</w:t>
            </w:r>
          </w:p>
        </w:tc>
        <w:tc>
          <w:tcPr>
            <w:tcW w:w="0" w:type="auto"/>
            <w:tcBorders>
              <w:top w:val="nil"/>
              <w:left w:val="nil"/>
              <w:bottom w:val="nil"/>
              <w:right w:val="nil"/>
            </w:tcBorders>
            <w:shd w:val="clear" w:color="auto" w:fill="auto"/>
            <w:noWrap/>
            <w:vAlign w:val="bottom"/>
          </w:tcPr>
          <w:p w14:paraId="6D6856E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-.478***</w:t>
            </w:r>
          </w:p>
        </w:tc>
      </w:tr>
      <w:tr w:rsidR="00B26691" w:rsidRPr="00B672D5" w14:paraId="0C688596"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5D97BF9"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375C3F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(.305)</w:t>
            </w:r>
          </w:p>
        </w:tc>
        <w:tc>
          <w:tcPr>
            <w:tcW w:w="0" w:type="auto"/>
            <w:tcBorders>
              <w:top w:val="nil"/>
              <w:left w:val="nil"/>
              <w:bottom w:val="nil"/>
              <w:right w:val="nil"/>
            </w:tcBorders>
            <w:shd w:val="clear" w:color="auto" w:fill="auto"/>
            <w:noWrap/>
            <w:vAlign w:val="bottom"/>
          </w:tcPr>
          <w:p w14:paraId="77EACF2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61962B6"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(.129)</w:t>
            </w:r>
          </w:p>
        </w:tc>
        <w:tc>
          <w:tcPr>
            <w:tcW w:w="0" w:type="auto"/>
            <w:tcBorders>
              <w:top w:val="nil"/>
              <w:left w:val="nil"/>
              <w:bottom w:val="nil"/>
              <w:right w:val="nil"/>
            </w:tcBorders>
            <w:shd w:val="clear" w:color="auto" w:fill="auto"/>
            <w:noWrap/>
            <w:vAlign w:val="bottom"/>
          </w:tcPr>
          <w:p w14:paraId="16EC904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(.111)</w:t>
            </w:r>
          </w:p>
        </w:tc>
      </w:tr>
      <w:tr w:rsidR="00B26691" w:rsidRPr="00B672D5" w14:paraId="7A327841"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0D97408"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tcPr>
          <w:p w14:paraId="514514A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6235F18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-.0208***</w:t>
            </w:r>
          </w:p>
        </w:tc>
        <w:tc>
          <w:tcPr>
            <w:tcW w:w="0" w:type="auto"/>
            <w:tcBorders>
              <w:top w:val="nil"/>
              <w:left w:val="nil"/>
              <w:bottom w:val="nil"/>
              <w:right w:val="nil"/>
            </w:tcBorders>
            <w:shd w:val="clear" w:color="auto" w:fill="auto"/>
            <w:noWrap/>
            <w:vAlign w:val="bottom"/>
          </w:tcPr>
          <w:p w14:paraId="4A80B8D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-.0199***</w:t>
            </w:r>
          </w:p>
        </w:tc>
        <w:tc>
          <w:tcPr>
            <w:tcW w:w="0" w:type="auto"/>
            <w:tcBorders>
              <w:top w:val="nil"/>
              <w:left w:val="nil"/>
              <w:bottom w:val="nil"/>
              <w:right w:val="nil"/>
            </w:tcBorders>
            <w:shd w:val="clear" w:color="auto" w:fill="auto"/>
            <w:noWrap/>
            <w:vAlign w:val="bottom"/>
          </w:tcPr>
          <w:p w14:paraId="473FEB4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-.0194***</w:t>
            </w:r>
          </w:p>
        </w:tc>
      </w:tr>
      <w:tr w:rsidR="00B26691" w:rsidRPr="00B672D5" w14:paraId="77675C71"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D3C57E9"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0F05810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(.00151)</w:t>
            </w:r>
          </w:p>
        </w:tc>
        <w:tc>
          <w:tcPr>
            <w:tcW w:w="0" w:type="auto"/>
            <w:tcBorders>
              <w:top w:val="nil"/>
              <w:left w:val="nil"/>
              <w:bottom w:val="nil"/>
              <w:right w:val="nil"/>
            </w:tcBorders>
            <w:shd w:val="clear" w:color="auto" w:fill="auto"/>
            <w:noWrap/>
            <w:vAlign w:val="bottom"/>
          </w:tcPr>
          <w:p w14:paraId="6134AFD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(.000832)</w:t>
            </w:r>
          </w:p>
        </w:tc>
        <w:tc>
          <w:tcPr>
            <w:tcW w:w="0" w:type="auto"/>
            <w:tcBorders>
              <w:top w:val="nil"/>
              <w:left w:val="nil"/>
              <w:bottom w:val="nil"/>
              <w:right w:val="nil"/>
            </w:tcBorders>
            <w:shd w:val="clear" w:color="auto" w:fill="auto"/>
            <w:noWrap/>
            <w:vAlign w:val="bottom"/>
          </w:tcPr>
          <w:p w14:paraId="3D4B401F"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(.000618)</w:t>
            </w:r>
          </w:p>
        </w:tc>
        <w:tc>
          <w:tcPr>
            <w:tcW w:w="0" w:type="auto"/>
            <w:tcBorders>
              <w:top w:val="nil"/>
              <w:left w:val="nil"/>
              <w:bottom w:val="nil"/>
              <w:right w:val="nil"/>
            </w:tcBorders>
            <w:shd w:val="clear" w:color="auto" w:fill="auto"/>
            <w:noWrap/>
            <w:vAlign w:val="bottom"/>
          </w:tcPr>
          <w:p w14:paraId="0AE7BDC1"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(.000528)</w:t>
            </w:r>
          </w:p>
        </w:tc>
      </w:tr>
      <w:tr w:rsidR="00B26691" w:rsidRPr="00B672D5" w14:paraId="39728F4B"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3525841"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0" w:type="auto"/>
            <w:tcBorders>
              <w:top w:val="nil"/>
              <w:left w:val="nil"/>
              <w:bottom w:val="nil"/>
              <w:right w:val="nil"/>
            </w:tcBorders>
            <w:shd w:val="clear" w:color="auto" w:fill="auto"/>
            <w:noWrap/>
            <w:vAlign w:val="bottom"/>
          </w:tcPr>
          <w:p w14:paraId="1910A38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.00242***</w:t>
            </w:r>
          </w:p>
        </w:tc>
        <w:tc>
          <w:tcPr>
            <w:tcW w:w="0" w:type="auto"/>
            <w:tcBorders>
              <w:top w:val="nil"/>
              <w:left w:val="nil"/>
              <w:bottom w:val="nil"/>
              <w:right w:val="nil"/>
            </w:tcBorders>
            <w:shd w:val="clear" w:color="auto" w:fill="auto"/>
            <w:noWrap/>
            <w:vAlign w:val="bottom"/>
          </w:tcPr>
          <w:p w14:paraId="2E5E8428"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.00266***</w:t>
            </w:r>
          </w:p>
        </w:tc>
        <w:tc>
          <w:tcPr>
            <w:tcW w:w="0" w:type="auto"/>
            <w:tcBorders>
              <w:top w:val="nil"/>
              <w:left w:val="nil"/>
              <w:bottom w:val="nil"/>
              <w:right w:val="nil"/>
            </w:tcBorders>
            <w:shd w:val="clear" w:color="auto" w:fill="auto"/>
            <w:noWrap/>
            <w:vAlign w:val="bottom"/>
          </w:tcPr>
          <w:p w14:paraId="7B00ADA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.00262***</w:t>
            </w:r>
          </w:p>
        </w:tc>
        <w:tc>
          <w:tcPr>
            <w:tcW w:w="0" w:type="auto"/>
            <w:tcBorders>
              <w:top w:val="nil"/>
              <w:left w:val="nil"/>
              <w:bottom w:val="nil"/>
              <w:right w:val="nil"/>
            </w:tcBorders>
            <w:shd w:val="clear" w:color="auto" w:fill="auto"/>
            <w:noWrap/>
            <w:vAlign w:val="bottom"/>
          </w:tcPr>
          <w:p w14:paraId="64129F3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.00243***</w:t>
            </w:r>
          </w:p>
        </w:tc>
      </w:tr>
      <w:tr w:rsidR="00B26691" w:rsidRPr="00B672D5" w14:paraId="0286BB44"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AEFFE51"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63FC73F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(.000408)</w:t>
            </w:r>
          </w:p>
        </w:tc>
        <w:tc>
          <w:tcPr>
            <w:tcW w:w="0" w:type="auto"/>
            <w:tcBorders>
              <w:top w:val="nil"/>
              <w:left w:val="nil"/>
              <w:bottom w:val="nil"/>
              <w:right w:val="nil"/>
            </w:tcBorders>
            <w:shd w:val="clear" w:color="auto" w:fill="auto"/>
            <w:noWrap/>
            <w:vAlign w:val="bottom"/>
          </w:tcPr>
          <w:p w14:paraId="66F9C56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(.000433)</w:t>
            </w:r>
          </w:p>
        </w:tc>
        <w:tc>
          <w:tcPr>
            <w:tcW w:w="0" w:type="auto"/>
            <w:tcBorders>
              <w:top w:val="nil"/>
              <w:left w:val="nil"/>
              <w:bottom w:val="nil"/>
              <w:right w:val="nil"/>
            </w:tcBorders>
            <w:shd w:val="clear" w:color="auto" w:fill="auto"/>
            <w:noWrap/>
            <w:vAlign w:val="bottom"/>
          </w:tcPr>
          <w:p w14:paraId="17164E1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(.000446)</w:t>
            </w:r>
          </w:p>
        </w:tc>
        <w:tc>
          <w:tcPr>
            <w:tcW w:w="0" w:type="auto"/>
            <w:tcBorders>
              <w:top w:val="nil"/>
              <w:left w:val="nil"/>
              <w:bottom w:val="nil"/>
              <w:right w:val="nil"/>
            </w:tcBorders>
            <w:shd w:val="clear" w:color="auto" w:fill="auto"/>
            <w:noWrap/>
            <w:vAlign w:val="bottom"/>
          </w:tcPr>
          <w:p w14:paraId="4DBDB99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(.000465)</w:t>
            </w:r>
          </w:p>
        </w:tc>
      </w:tr>
      <w:tr w:rsidR="006751BB" w:rsidRPr="00B672D5" w14:paraId="065354A9"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5CAE384"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0" w:type="auto"/>
            <w:tcBorders>
              <w:top w:val="nil"/>
              <w:left w:val="nil"/>
              <w:bottom w:val="nil"/>
              <w:right w:val="nil"/>
            </w:tcBorders>
            <w:shd w:val="clear" w:color="auto" w:fill="auto"/>
            <w:noWrap/>
            <w:vAlign w:val="bottom"/>
          </w:tcPr>
          <w:p w14:paraId="5387013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.644***</w:t>
            </w:r>
          </w:p>
        </w:tc>
        <w:tc>
          <w:tcPr>
            <w:tcW w:w="0" w:type="auto"/>
            <w:tcBorders>
              <w:top w:val="nil"/>
              <w:left w:val="nil"/>
              <w:bottom w:val="nil"/>
              <w:right w:val="nil"/>
            </w:tcBorders>
            <w:shd w:val="clear" w:color="auto" w:fill="auto"/>
            <w:noWrap/>
            <w:vAlign w:val="bottom"/>
          </w:tcPr>
          <w:p w14:paraId="7D45952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.256***</w:t>
            </w:r>
          </w:p>
        </w:tc>
        <w:tc>
          <w:tcPr>
            <w:tcW w:w="0" w:type="auto"/>
            <w:tcBorders>
              <w:top w:val="nil"/>
              <w:left w:val="nil"/>
              <w:bottom w:val="nil"/>
              <w:right w:val="nil"/>
            </w:tcBorders>
            <w:shd w:val="clear" w:color="auto" w:fill="auto"/>
            <w:noWrap/>
            <w:vAlign w:val="bottom"/>
          </w:tcPr>
          <w:p w14:paraId="7177B3FC"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.176***</w:t>
            </w:r>
          </w:p>
        </w:tc>
        <w:tc>
          <w:tcPr>
            <w:tcW w:w="0" w:type="auto"/>
            <w:tcBorders>
              <w:top w:val="nil"/>
              <w:left w:val="nil"/>
              <w:bottom w:val="nil"/>
              <w:right w:val="nil"/>
            </w:tcBorders>
            <w:shd w:val="clear" w:color="auto" w:fill="auto"/>
            <w:noWrap/>
            <w:vAlign w:val="bottom"/>
          </w:tcPr>
          <w:p w14:paraId="1840BB04"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.126***</w:t>
            </w:r>
          </w:p>
        </w:tc>
      </w:tr>
      <w:tr w:rsidR="006751BB" w:rsidRPr="00B672D5" w14:paraId="5E0AF575"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5E38075"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3C3D0A9"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(.0632)</w:t>
            </w:r>
          </w:p>
        </w:tc>
        <w:tc>
          <w:tcPr>
            <w:tcW w:w="0" w:type="auto"/>
            <w:tcBorders>
              <w:top w:val="nil"/>
              <w:left w:val="nil"/>
              <w:bottom w:val="nil"/>
              <w:right w:val="nil"/>
            </w:tcBorders>
            <w:shd w:val="clear" w:color="auto" w:fill="auto"/>
            <w:noWrap/>
            <w:vAlign w:val="bottom"/>
          </w:tcPr>
          <w:p w14:paraId="4A28BA29"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(.0196)</w:t>
            </w:r>
          </w:p>
        </w:tc>
        <w:tc>
          <w:tcPr>
            <w:tcW w:w="0" w:type="auto"/>
            <w:tcBorders>
              <w:top w:val="nil"/>
              <w:left w:val="nil"/>
              <w:bottom w:val="nil"/>
              <w:right w:val="nil"/>
            </w:tcBorders>
            <w:shd w:val="clear" w:color="auto" w:fill="auto"/>
            <w:noWrap/>
            <w:vAlign w:val="bottom"/>
          </w:tcPr>
          <w:p w14:paraId="177A9DC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(.0103)</w:t>
            </w:r>
          </w:p>
        </w:tc>
        <w:tc>
          <w:tcPr>
            <w:tcW w:w="0" w:type="auto"/>
            <w:tcBorders>
              <w:top w:val="nil"/>
              <w:left w:val="nil"/>
              <w:bottom w:val="nil"/>
              <w:right w:val="nil"/>
            </w:tcBorders>
            <w:shd w:val="clear" w:color="auto" w:fill="auto"/>
            <w:noWrap/>
            <w:vAlign w:val="bottom"/>
          </w:tcPr>
          <w:p w14:paraId="56037777"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(.00637)</w:t>
            </w:r>
          </w:p>
        </w:tc>
      </w:tr>
      <w:tr w:rsidR="006751BB" w:rsidRPr="00B672D5" w14:paraId="40C17B5A"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577728D"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0" w:type="auto"/>
            <w:tcBorders>
              <w:top w:val="nil"/>
              <w:left w:val="nil"/>
              <w:bottom w:val="nil"/>
              <w:right w:val="nil"/>
            </w:tcBorders>
            <w:shd w:val="clear" w:color="auto" w:fill="auto"/>
            <w:noWrap/>
            <w:vAlign w:val="bottom"/>
          </w:tcPr>
          <w:p w14:paraId="32727E63"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-.0325***</w:t>
            </w:r>
          </w:p>
        </w:tc>
        <w:tc>
          <w:tcPr>
            <w:tcW w:w="0" w:type="auto"/>
            <w:tcBorders>
              <w:top w:val="nil"/>
              <w:left w:val="nil"/>
              <w:bottom w:val="nil"/>
              <w:right w:val="nil"/>
            </w:tcBorders>
            <w:shd w:val="clear" w:color="auto" w:fill="auto"/>
            <w:noWrap/>
            <w:vAlign w:val="bottom"/>
          </w:tcPr>
          <w:p w14:paraId="6D677CC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-.00623***</w:t>
            </w:r>
          </w:p>
        </w:tc>
        <w:tc>
          <w:tcPr>
            <w:tcW w:w="0" w:type="auto"/>
            <w:tcBorders>
              <w:top w:val="nil"/>
              <w:left w:val="nil"/>
              <w:bottom w:val="nil"/>
              <w:right w:val="nil"/>
            </w:tcBorders>
            <w:shd w:val="clear" w:color="auto" w:fill="auto"/>
            <w:noWrap/>
            <w:vAlign w:val="bottom"/>
          </w:tcPr>
          <w:p w14:paraId="362A857B"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-.00309***</w:t>
            </w:r>
          </w:p>
        </w:tc>
        <w:tc>
          <w:tcPr>
            <w:tcW w:w="0" w:type="auto"/>
            <w:tcBorders>
              <w:top w:val="nil"/>
              <w:left w:val="nil"/>
              <w:bottom w:val="nil"/>
              <w:right w:val="nil"/>
            </w:tcBorders>
            <w:shd w:val="clear" w:color="auto" w:fill="auto"/>
            <w:noWrap/>
            <w:vAlign w:val="bottom"/>
          </w:tcPr>
          <w:p w14:paraId="184F998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-.00167***</w:t>
            </w:r>
          </w:p>
        </w:tc>
      </w:tr>
      <w:tr w:rsidR="00B26691" w:rsidRPr="00B672D5" w14:paraId="21D81F66"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9A60515"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11DEB3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(.00467)</w:t>
            </w:r>
          </w:p>
        </w:tc>
        <w:tc>
          <w:tcPr>
            <w:tcW w:w="0" w:type="auto"/>
            <w:tcBorders>
              <w:top w:val="nil"/>
              <w:left w:val="nil"/>
              <w:bottom w:val="nil"/>
              <w:right w:val="nil"/>
            </w:tcBorders>
            <w:shd w:val="clear" w:color="auto" w:fill="auto"/>
            <w:noWrap/>
            <w:vAlign w:val="bottom"/>
          </w:tcPr>
          <w:p w14:paraId="03D58F1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(.000704)</w:t>
            </w:r>
          </w:p>
        </w:tc>
        <w:tc>
          <w:tcPr>
            <w:tcW w:w="0" w:type="auto"/>
            <w:tcBorders>
              <w:top w:val="nil"/>
              <w:left w:val="nil"/>
              <w:bottom w:val="nil"/>
              <w:right w:val="nil"/>
            </w:tcBorders>
            <w:shd w:val="clear" w:color="auto" w:fill="auto"/>
            <w:noWrap/>
            <w:vAlign w:val="bottom"/>
          </w:tcPr>
          <w:p w14:paraId="32DF7E0F"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(.000256)</w:t>
            </w:r>
          </w:p>
        </w:tc>
        <w:tc>
          <w:tcPr>
            <w:tcW w:w="0" w:type="auto"/>
            <w:tcBorders>
              <w:top w:val="nil"/>
              <w:left w:val="nil"/>
              <w:bottom w:val="nil"/>
              <w:right w:val="nil"/>
            </w:tcBorders>
            <w:shd w:val="clear" w:color="auto" w:fill="auto"/>
            <w:noWrap/>
            <w:vAlign w:val="bottom"/>
          </w:tcPr>
          <w:p w14:paraId="42F3E65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(.000125)</w:t>
            </w:r>
          </w:p>
        </w:tc>
      </w:tr>
      <w:tr w:rsidR="00B26691" w:rsidRPr="00B672D5" w14:paraId="2F3373A8"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B3961B2"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0" w:type="auto"/>
            <w:tcBorders>
              <w:top w:val="nil"/>
              <w:left w:val="nil"/>
              <w:bottom w:val="nil"/>
              <w:right w:val="nil"/>
            </w:tcBorders>
            <w:shd w:val="clear" w:color="auto" w:fill="auto"/>
            <w:noWrap/>
            <w:vAlign w:val="bottom"/>
          </w:tcPr>
          <w:p w14:paraId="6365DB1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-1.383*</w:t>
            </w:r>
          </w:p>
        </w:tc>
        <w:tc>
          <w:tcPr>
            <w:tcW w:w="0" w:type="auto"/>
            <w:tcBorders>
              <w:top w:val="nil"/>
              <w:left w:val="nil"/>
              <w:bottom w:val="nil"/>
              <w:right w:val="nil"/>
            </w:tcBorders>
            <w:shd w:val="clear" w:color="auto" w:fill="auto"/>
            <w:noWrap/>
            <w:vAlign w:val="bottom"/>
          </w:tcPr>
          <w:p w14:paraId="559374F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-1.735***</w:t>
            </w:r>
          </w:p>
        </w:tc>
        <w:tc>
          <w:tcPr>
            <w:tcW w:w="0" w:type="auto"/>
            <w:tcBorders>
              <w:top w:val="nil"/>
              <w:left w:val="nil"/>
              <w:bottom w:val="nil"/>
              <w:right w:val="nil"/>
            </w:tcBorders>
            <w:shd w:val="clear" w:color="auto" w:fill="auto"/>
            <w:noWrap/>
            <w:vAlign w:val="bottom"/>
          </w:tcPr>
          <w:p w14:paraId="14FA5576"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-1.189***</w:t>
            </w:r>
          </w:p>
        </w:tc>
        <w:tc>
          <w:tcPr>
            <w:tcW w:w="0" w:type="auto"/>
            <w:tcBorders>
              <w:top w:val="nil"/>
              <w:left w:val="nil"/>
              <w:bottom w:val="nil"/>
              <w:right w:val="nil"/>
            </w:tcBorders>
            <w:shd w:val="clear" w:color="auto" w:fill="auto"/>
            <w:noWrap/>
            <w:vAlign w:val="bottom"/>
          </w:tcPr>
          <w:p w14:paraId="62AD58C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-.95</w:t>
            </w:r>
            <w:r w:rsidR="00C364B1">
              <w:rPr>
                <w:rFonts w:ascii="Calibri" w:hAnsi="Calibri" w:cs="Calibri"/>
                <w:sz w:val="20"/>
                <w:szCs w:val="20"/>
              </w:rPr>
              <w:t>0</w:t>
            </w:r>
            <w:r>
              <w:rPr>
                <w:rFonts w:ascii="Calibri" w:hAnsi="Calibri" w:cs="Calibri"/>
                <w:sz w:val="20"/>
                <w:szCs w:val="20"/>
              </w:rPr>
              <w:t>***</w:t>
            </w:r>
          </w:p>
        </w:tc>
      </w:tr>
      <w:tr w:rsidR="00B26691" w:rsidRPr="00B672D5" w14:paraId="77B87585"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3E8B1B2"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0F5E64F"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(.771)</w:t>
            </w:r>
          </w:p>
        </w:tc>
        <w:tc>
          <w:tcPr>
            <w:tcW w:w="0" w:type="auto"/>
            <w:tcBorders>
              <w:top w:val="nil"/>
              <w:left w:val="nil"/>
              <w:bottom w:val="nil"/>
              <w:right w:val="nil"/>
            </w:tcBorders>
            <w:shd w:val="clear" w:color="auto" w:fill="auto"/>
            <w:noWrap/>
            <w:vAlign w:val="bottom"/>
          </w:tcPr>
          <w:p w14:paraId="24914D14"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(.405)</w:t>
            </w:r>
          </w:p>
        </w:tc>
        <w:tc>
          <w:tcPr>
            <w:tcW w:w="0" w:type="auto"/>
            <w:tcBorders>
              <w:top w:val="nil"/>
              <w:left w:val="nil"/>
              <w:bottom w:val="nil"/>
              <w:right w:val="nil"/>
            </w:tcBorders>
            <w:shd w:val="clear" w:color="auto" w:fill="auto"/>
            <w:noWrap/>
            <w:vAlign w:val="bottom"/>
          </w:tcPr>
          <w:p w14:paraId="7546ACC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(.315)</w:t>
            </w:r>
          </w:p>
        </w:tc>
        <w:tc>
          <w:tcPr>
            <w:tcW w:w="0" w:type="auto"/>
            <w:tcBorders>
              <w:top w:val="nil"/>
              <w:left w:val="nil"/>
              <w:bottom w:val="nil"/>
              <w:right w:val="nil"/>
            </w:tcBorders>
            <w:shd w:val="clear" w:color="auto" w:fill="auto"/>
            <w:noWrap/>
            <w:vAlign w:val="bottom"/>
          </w:tcPr>
          <w:p w14:paraId="335FA7E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(.273)</w:t>
            </w:r>
          </w:p>
        </w:tc>
      </w:tr>
      <w:tr w:rsidR="00B26691" w:rsidRPr="00B672D5" w14:paraId="6D15A706"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A816926"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0" w:type="auto"/>
            <w:tcBorders>
              <w:top w:val="nil"/>
              <w:left w:val="nil"/>
              <w:bottom w:val="nil"/>
              <w:right w:val="nil"/>
            </w:tcBorders>
            <w:shd w:val="clear" w:color="auto" w:fill="auto"/>
            <w:noWrap/>
            <w:vAlign w:val="bottom"/>
          </w:tcPr>
          <w:p w14:paraId="51ABBE21"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1.087***</w:t>
            </w:r>
          </w:p>
        </w:tc>
        <w:tc>
          <w:tcPr>
            <w:tcW w:w="0" w:type="auto"/>
            <w:tcBorders>
              <w:top w:val="nil"/>
              <w:left w:val="nil"/>
              <w:bottom w:val="nil"/>
              <w:right w:val="nil"/>
            </w:tcBorders>
            <w:shd w:val="clear" w:color="auto" w:fill="auto"/>
            <w:noWrap/>
            <w:vAlign w:val="bottom"/>
          </w:tcPr>
          <w:p w14:paraId="44A9E46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1.011***</w:t>
            </w:r>
          </w:p>
        </w:tc>
        <w:tc>
          <w:tcPr>
            <w:tcW w:w="0" w:type="auto"/>
            <w:tcBorders>
              <w:top w:val="nil"/>
              <w:left w:val="nil"/>
              <w:bottom w:val="nil"/>
              <w:right w:val="nil"/>
            </w:tcBorders>
            <w:shd w:val="clear" w:color="auto" w:fill="auto"/>
            <w:noWrap/>
            <w:vAlign w:val="bottom"/>
          </w:tcPr>
          <w:p w14:paraId="44AC639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.91</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476653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.869***</w:t>
            </w:r>
          </w:p>
        </w:tc>
      </w:tr>
      <w:tr w:rsidR="00B26691" w:rsidRPr="00B672D5" w14:paraId="6796E6AA"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2B58C49"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9D3B72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(.124)</w:t>
            </w:r>
          </w:p>
        </w:tc>
        <w:tc>
          <w:tcPr>
            <w:tcW w:w="0" w:type="auto"/>
            <w:tcBorders>
              <w:top w:val="nil"/>
              <w:left w:val="nil"/>
              <w:bottom w:val="nil"/>
              <w:right w:val="nil"/>
            </w:tcBorders>
            <w:shd w:val="clear" w:color="auto" w:fill="auto"/>
            <w:noWrap/>
            <w:vAlign w:val="bottom"/>
          </w:tcPr>
          <w:p w14:paraId="0A25CC34"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(.0782)</w:t>
            </w:r>
          </w:p>
        </w:tc>
        <w:tc>
          <w:tcPr>
            <w:tcW w:w="0" w:type="auto"/>
            <w:tcBorders>
              <w:top w:val="nil"/>
              <w:left w:val="nil"/>
              <w:bottom w:val="nil"/>
              <w:right w:val="nil"/>
            </w:tcBorders>
            <w:shd w:val="clear" w:color="auto" w:fill="auto"/>
            <w:noWrap/>
            <w:vAlign w:val="bottom"/>
          </w:tcPr>
          <w:p w14:paraId="67179E7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(.0537)</w:t>
            </w:r>
          </w:p>
        </w:tc>
        <w:tc>
          <w:tcPr>
            <w:tcW w:w="0" w:type="auto"/>
            <w:tcBorders>
              <w:top w:val="nil"/>
              <w:left w:val="nil"/>
              <w:bottom w:val="nil"/>
              <w:right w:val="nil"/>
            </w:tcBorders>
            <w:shd w:val="clear" w:color="auto" w:fill="auto"/>
            <w:noWrap/>
            <w:vAlign w:val="bottom"/>
          </w:tcPr>
          <w:p w14:paraId="1027F2B6"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(.0457)</w:t>
            </w:r>
          </w:p>
        </w:tc>
      </w:tr>
      <w:tr w:rsidR="00B26691" w:rsidRPr="00B672D5" w14:paraId="78803494"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31BEA97"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tcPr>
          <w:p w14:paraId="01036CB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.345**</w:t>
            </w:r>
          </w:p>
        </w:tc>
        <w:tc>
          <w:tcPr>
            <w:tcW w:w="0" w:type="auto"/>
            <w:tcBorders>
              <w:top w:val="nil"/>
              <w:left w:val="nil"/>
              <w:bottom w:val="nil"/>
              <w:right w:val="nil"/>
            </w:tcBorders>
            <w:shd w:val="clear" w:color="auto" w:fill="auto"/>
            <w:noWrap/>
            <w:vAlign w:val="bottom"/>
          </w:tcPr>
          <w:p w14:paraId="7B6F45E1"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.216**</w:t>
            </w:r>
          </w:p>
        </w:tc>
        <w:tc>
          <w:tcPr>
            <w:tcW w:w="0" w:type="auto"/>
            <w:tcBorders>
              <w:top w:val="nil"/>
              <w:left w:val="nil"/>
              <w:bottom w:val="nil"/>
              <w:right w:val="nil"/>
            </w:tcBorders>
            <w:shd w:val="clear" w:color="auto" w:fill="auto"/>
            <w:noWrap/>
            <w:vAlign w:val="bottom"/>
          </w:tcPr>
          <w:p w14:paraId="76D8C3E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.162**</w:t>
            </w:r>
          </w:p>
        </w:tc>
        <w:tc>
          <w:tcPr>
            <w:tcW w:w="0" w:type="auto"/>
            <w:tcBorders>
              <w:top w:val="nil"/>
              <w:left w:val="nil"/>
              <w:bottom w:val="nil"/>
              <w:right w:val="nil"/>
            </w:tcBorders>
            <w:shd w:val="clear" w:color="auto" w:fill="auto"/>
            <w:noWrap/>
            <w:vAlign w:val="bottom"/>
          </w:tcPr>
          <w:p w14:paraId="74E10B6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.135**</w:t>
            </w:r>
          </w:p>
        </w:tc>
      </w:tr>
      <w:tr w:rsidR="00B26691" w:rsidRPr="00B672D5" w14:paraId="31EF382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96E05D4"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lastRenderedPageBreak/>
              <w:t> </w:t>
            </w:r>
          </w:p>
        </w:tc>
        <w:tc>
          <w:tcPr>
            <w:tcW w:w="0" w:type="auto"/>
            <w:tcBorders>
              <w:top w:val="nil"/>
              <w:left w:val="nil"/>
              <w:bottom w:val="nil"/>
              <w:right w:val="nil"/>
            </w:tcBorders>
            <w:shd w:val="clear" w:color="auto" w:fill="auto"/>
            <w:noWrap/>
            <w:vAlign w:val="bottom"/>
          </w:tcPr>
          <w:p w14:paraId="3CE27DC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(.142)</w:t>
            </w:r>
          </w:p>
        </w:tc>
        <w:tc>
          <w:tcPr>
            <w:tcW w:w="0" w:type="auto"/>
            <w:tcBorders>
              <w:top w:val="nil"/>
              <w:left w:val="nil"/>
              <w:bottom w:val="nil"/>
              <w:right w:val="nil"/>
            </w:tcBorders>
            <w:shd w:val="clear" w:color="auto" w:fill="auto"/>
            <w:noWrap/>
            <w:vAlign w:val="bottom"/>
          </w:tcPr>
          <w:p w14:paraId="58009E2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(.0839)</w:t>
            </w:r>
          </w:p>
        </w:tc>
        <w:tc>
          <w:tcPr>
            <w:tcW w:w="0" w:type="auto"/>
            <w:tcBorders>
              <w:top w:val="nil"/>
              <w:left w:val="nil"/>
              <w:bottom w:val="nil"/>
              <w:right w:val="nil"/>
            </w:tcBorders>
            <w:shd w:val="clear" w:color="auto" w:fill="auto"/>
            <w:noWrap/>
            <w:vAlign w:val="bottom"/>
          </w:tcPr>
          <w:p w14:paraId="2AC0FE7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(.065</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48EFC898"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(.0575)</w:t>
            </w:r>
          </w:p>
        </w:tc>
      </w:tr>
      <w:tr w:rsidR="00B26691" w:rsidRPr="00B672D5" w14:paraId="3806B7CE"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148F359"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0" w:type="auto"/>
            <w:tcBorders>
              <w:top w:val="nil"/>
              <w:left w:val="nil"/>
              <w:bottom w:val="nil"/>
              <w:right w:val="nil"/>
            </w:tcBorders>
            <w:shd w:val="clear" w:color="auto" w:fill="auto"/>
            <w:noWrap/>
            <w:vAlign w:val="bottom"/>
          </w:tcPr>
          <w:p w14:paraId="26AC815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.0199</w:t>
            </w:r>
          </w:p>
        </w:tc>
        <w:tc>
          <w:tcPr>
            <w:tcW w:w="0" w:type="auto"/>
            <w:tcBorders>
              <w:top w:val="nil"/>
              <w:left w:val="nil"/>
              <w:bottom w:val="nil"/>
              <w:right w:val="nil"/>
            </w:tcBorders>
            <w:shd w:val="clear" w:color="auto" w:fill="auto"/>
            <w:noWrap/>
            <w:vAlign w:val="bottom"/>
          </w:tcPr>
          <w:p w14:paraId="42EB9311"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.0158</w:t>
            </w:r>
          </w:p>
        </w:tc>
        <w:tc>
          <w:tcPr>
            <w:tcW w:w="0" w:type="auto"/>
            <w:tcBorders>
              <w:top w:val="nil"/>
              <w:left w:val="nil"/>
              <w:bottom w:val="nil"/>
              <w:right w:val="nil"/>
            </w:tcBorders>
            <w:shd w:val="clear" w:color="auto" w:fill="auto"/>
            <w:noWrap/>
            <w:vAlign w:val="bottom"/>
          </w:tcPr>
          <w:p w14:paraId="6275DB8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.0372***</w:t>
            </w:r>
          </w:p>
        </w:tc>
        <w:tc>
          <w:tcPr>
            <w:tcW w:w="0" w:type="auto"/>
            <w:tcBorders>
              <w:top w:val="nil"/>
              <w:left w:val="nil"/>
              <w:bottom w:val="nil"/>
              <w:right w:val="nil"/>
            </w:tcBorders>
            <w:shd w:val="clear" w:color="auto" w:fill="auto"/>
            <w:noWrap/>
            <w:vAlign w:val="bottom"/>
          </w:tcPr>
          <w:p w14:paraId="5E748B0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.0523***</w:t>
            </w:r>
          </w:p>
        </w:tc>
      </w:tr>
      <w:tr w:rsidR="00B26691" w:rsidRPr="00B672D5" w14:paraId="6978F2C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4C62403"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060808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(.0242)</w:t>
            </w:r>
          </w:p>
        </w:tc>
        <w:tc>
          <w:tcPr>
            <w:tcW w:w="0" w:type="auto"/>
            <w:tcBorders>
              <w:top w:val="nil"/>
              <w:left w:val="nil"/>
              <w:bottom w:val="nil"/>
              <w:right w:val="nil"/>
            </w:tcBorders>
            <w:shd w:val="clear" w:color="auto" w:fill="auto"/>
            <w:noWrap/>
            <w:vAlign w:val="bottom"/>
          </w:tcPr>
          <w:p w14:paraId="413065A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(.0137)</w:t>
            </w:r>
          </w:p>
        </w:tc>
        <w:tc>
          <w:tcPr>
            <w:tcW w:w="0" w:type="auto"/>
            <w:tcBorders>
              <w:top w:val="nil"/>
              <w:left w:val="nil"/>
              <w:bottom w:val="nil"/>
              <w:right w:val="nil"/>
            </w:tcBorders>
            <w:shd w:val="clear" w:color="auto" w:fill="auto"/>
            <w:noWrap/>
            <w:vAlign w:val="bottom"/>
          </w:tcPr>
          <w:p w14:paraId="78B7CB8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(.0101)</w:t>
            </w:r>
          </w:p>
        </w:tc>
        <w:tc>
          <w:tcPr>
            <w:tcW w:w="0" w:type="auto"/>
            <w:tcBorders>
              <w:top w:val="nil"/>
              <w:left w:val="nil"/>
              <w:bottom w:val="nil"/>
              <w:right w:val="nil"/>
            </w:tcBorders>
            <w:shd w:val="clear" w:color="auto" w:fill="auto"/>
            <w:noWrap/>
            <w:vAlign w:val="bottom"/>
          </w:tcPr>
          <w:p w14:paraId="3E088F94"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(.00833)</w:t>
            </w:r>
          </w:p>
        </w:tc>
      </w:tr>
      <w:tr w:rsidR="00B26691" w:rsidRPr="00B672D5" w14:paraId="7A5A6151"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007EB6E"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0" w:type="auto"/>
            <w:tcBorders>
              <w:top w:val="nil"/>
              <w:left w:val="nil"/>
              <w:bottom w:val="nil"/>
              <w:right w:val="nil"/>
            </w:tcBorders>
            <w:shd w:val="clear" w:color="auto" w:fill="auto"/>
            <w:noWrap/>
            <w:vAlign w:val="bottom"/>
          </w:tcPr>
          <w:p w14:paraId="2ADFBAF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-.00219</w:t>
            </w:r>
          </w:p>
        </w:tc>
        <w:tc>
          <w:tcPr>
            <w:tcW w:w="0" w:type="auto"/>
            <w:tcBorders>
              <w:top w:val="nil"/>
              <w:left w:val="nil"/>
              <w:bottom w:val="nil"/>
              <w:right w:val="nil"/>
            </w:tcBorders>
            <w:shd w:val="clear" w:color="auto" w:fill="auto"/>
            <w:noWrap/>
            <w:vAlign w:val="bottom"/>
          </w:tcPr>
          <w:p w14:paraId="6413A38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-.00878</w:t>
            </w:r>
          </w:p>
        </w:tc>
        <w:tc>
          <w:tcPr>
            <w:tcW w:w="0" w:type="auto"/>
            <w:tcBorders>
              <w:top w:val="nil"/>
              <w:left w:val="nil"/>
              <w:bottom w:val="nil"/>
              <w:right w:val="nil"/>
            </w:tcBorders>
            <w:shd w:val="clear" w:color="auto" w:fill="auto"/>
            <w:noWrap/>
            <w:vAlign w:val="bottom"/>
          </w:tcPr>
          <w:p w14:paraId="6075C5D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-.0152***</w:t>
            </w:r>
          </w:p>
        </w:tc>
        <w:tc>
          <w:tcPr>
            <w:tcW w:w="0" w:type="auto"/>
            <w:tcBorders>
              <w:top w:val="nil"/>
              <w:left w:val="nil"/>
              <w:bottom w:val="nil"/>
              <w:right w:val="nil"/>
            </w:tcBorders>
            <w:shd w:val="clear" w:color="auto" w:fill="auto"/>
            <w:noWrap/>
            <w:vAlign w:val="bottom"/>
          </w:tcPr>
          <w:p w14:paraId="21349C3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w:t>
            </w:r>
            <w:r w:rsidR="00C364B1">
              <w:rPr>
                <w:rFonts w:ascii="Calibri" w:hAnsi="Calibri" w:cs="Calibri"/>
                <w:sz w:val="20"/>
                <w:szCs w:val="20"/>
              </w:rPr>
              <w:t>0</w:t>
            </w:r>
            <w:r>
              <w:rPr>
                <w:rFonts w:ascii="Calibri" w:hAnsi="Calibri" w:cs="Calibri"/>
                <w:sz w:val="20"/>
                <w:szCs w:val="20"/>
              </w:rPr>
              <w:t>***</w:t>
            </w:r>
          </w:p>
        </w:tc>
      </w:tr>
      <w:tr w:rsidR="00B26691" w:rsidRPr="00B672D5" w14:paraId="4179DCA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854511D"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5B8CCE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(.0191)</w:t>
            </w:r>
          </w:p>
        </w:tc>
        <w:tc>
          <w:tcPr>
            <w:tcW w:w="0" w:type="auto"/>
            <w:tcBorders>
              <w:top w:val="nil"/>
              <w:left w:val="nil"/>
              <w:bottom w:val="nil"/>
              <w:right w:val="nil"/>
            </w:tcBorders>
            <w:shd w:val="clear" w:color="auto" w:fill="auto"/>
            <w:noWrap/>
            <w:vAlign w:val="bottom"/>
          </w:tcPr>
          <w:p w14:paraId="2D9AA8F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(.00632)</w:t>
            </w:r>
          </w:p>
        </w:tc>
        <w:tc>
          <w:tcPr>
            <w:tcW w:w="0" w:type="auto"/>
            <w:tcBorders>
              <w:top w:val="nil"/>
              <w:left w:val="nil"/>
              <w:bottom w:val="nil"/>
              <w:right w:val="nil"/>
            </w:tcBorders>
            <w:shd w:val="clear" w:color="auto" w:fill="auto"/>
            <w:noWrap/>
            <w:vAlign w:val="bottom"/>
          </w:tcPr>
          <w:p w14:paraId="2151ECA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(.00378)</w:t>
            </w:r>
          </w:p>
        </w:tc>
        <w:tc>
          <w:tcPr>
            <w:tcW w:w="0" w:type="auto"/>
            <w:tcBorders>
              <w:top w:val="nil"/>
              <w:left w:val="nil"/>
              <w:bottom w:val="nil"/>
              <w:right w:val="nil"/>
            </w:tcBorders>
            <w:shd w:val="clear" w:color="auto" w:fill="auto"/>
            <w:noWrap/>
            <w:vAlign w:val="bottom"/>
          </w:tcPr>
          <w:p w14:paraId="5EF03DA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(.00286)</w:t>
            </w:r>
          </w:p>
        </w:tc>
      </w:tr>
      <w:tr w:rsidR="00B26691" w:rsidRPr="00B672D5" w14:paraId="385303B8"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B11BF5C"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0" w:type="auto"/>
            <w:tcBorders>
              <w:top w:val="nil"/>
              <w:left w:val="nil"/>
              <w:bottom w:val="nil"/>
              <w:right w:val="nil"/>
            </w:tcBorders>
            <w:shd w:val="clear" w:color="auto" w:fill="auto"/>
            <w:noWrap/>
            <w:vAlign w:val="bottom"/>
          </w:tcPr>
          <w:p w14:paraId="72E7396F"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.103</w:t>
            </w:r>
          </w:p>
        </w:tc>
        <w:tc>
          <w:tcPr>
            <w:tcW w:w="0" w:type="auto"/>
            <w:tcBorders>
              <w:top w:val="nil"/>
              <w:left w:val="nil"/>
              <w:bottom w:val="nil"/>
              <w:right w:val="nil"/>
            </w:tcBorders>
            <w:shd w:val="clear" w:color="auto" w:fill="auto"/>
            <w:noWrap/>
            <w:vAlign w:val="bottom"/>
          </w:tcPr>
          <w:p w14:paraId="2B9351D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-.161**</w:t>
            </w:r>
          </w:p>
        </w:tc>
        <w:tc>
          <w:tcPr>
            <w:tcW w:w="0" w:type="auto"/>
            <w:tcBorders>
              <w:top w:val="nil"/>
              <w:left w:val="nil"/>
              <w:bottom w:val="nil"/>
              <w:right w:val="nil"/>
            </w:tcBorders>
            <w:shd w:val="clear" w:color="auto" w:fill="auto"/>
            <w:noWrap/>
            <w:vAlign w:val="bottom"/>
          </w:tcPr>
          <w:p w14:paraId="4DB7319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-.166***</w:t>
            </w:r>
          </w:p>
        </w:tc>
        <w:tc>
          <w:tcPr>
            <w:tcW w:w="0" w:type="auto"/>
            <w:tcBorders>
              <w:top w:val="nil"/>
              <w:left w:val="nil"/>
              <w:bottom w:val="nil"/>
              <w:right w:val="nil"/>
            </w:tcBorders>
            <w:shd w:val="clear" w:color="auto" w:fill="auto"/>
            <w:noWrap/>
            <w:vAlign w:val="bottom"/>
          </w:tcPr>
          <w:p w14:paraId="07F7610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-.184***</w:t>
            </w:r>
          </w:p>
        </w:tc>
      </w:tr>
      <w:tr w:rsidR="00B26691" w:rsidRPr="00B672D5" w14:paraId="5B344B34"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3C27512" w14:textId="77777777" w:rsidR="00B26691" w:rsidRPr="00B672D5" w:rsidRDefault="00B26691"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6121B7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(.114)</w:t>
            </w:r>
          </w:p>
        </w:tc>
        <w:tc>
          <w:tcPr>
            <w:tcW w:w="0" w:type="auto"/>
            <w:tcBorders>
              <w:top w:val="nil"/>
              <w:left w:val="nil"/>
              <w:bottom w:val="nil"/>
              <w:right w:val="nil"/>
            </w:tcBorders>
            <w:shd w:val="clear" w:color="auto" w:fill="auto"/>
            <w:noWrap/>
            <w:vAlign w:val="bottom"/>
          </w:tcPr>
          <w:p w14:paraId="6FB47B98"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(.0668)</w:t>
            </w:r>
          </w:p>
        </w:tc>
        <w:tc>
          <w:tcPr>
            <w:tcW w:w="0" w:type="auto"/>
            <w:tcBorders>
              <w:top w:val="nil"/>
              <w:left w:val="nil"/>
              <w:bottom w:val="nil"/>
              <w:right w:val="nil"/>
            </w:tcBorders>
            <w:shd w:val="clear" w:color="auto" w:fill="auto"/>
            <w:noWrap/>
            <w:vAlign w:val="bottom"/>
          </w:tcPr>
          <w:p w14:paraId="79F66E7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(.0517)</w:t>
            </w:r>
          </w:p>
        </w:tc>
        <w:tc>
          <w:tcPr>
            <w:tcW w:w="0" w:type="auto"/>
            <w:tcBorders>
              <w:top w:val="nil"/>
              <w:left w:val="nil"/>
              <w:bottom w:val="nil"/>
              <w:right w:val="nil"/>
            </w:tcBorders>
            <w:shd w:val="clear" w:color="auto" w:fill="auto"/>
            <w:noWrap/>
            <w:vAlign w:val="bottom"/>
          </w:tcPr>
          <w:p w14:paraId="7DF92CB0"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(.0446)</w:t>
            </w:r>
          </w:p>
        </w:tc>
      </w:tr>
      <w:tr w:rsidR="00B26691" w:rsidRPr="00B672D5" w14:paraId="2CC2C45F"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hideMark/>
          </w:tcPr>
          <w:p w14:paraId="0036000F" w14:textId="77777777" w:rsidR="00B26691" w:rsidRPr="00B672D5" w:rsidRDefault="00B26691"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gridSpan w:val="4"/>
            <w:tcBorders>
              <w:top w:val="single" w:sz="4" w:space="0" w:color="auto"/>
              <w:left w:val="nil"/>
              <w:bottom w:val="nil"/>
              <w:right w:val="nil"/>
            </w:tcBorders>
            <w:shd w:val="clear" w:color="auto" w:fill="auto"/>
            <w:noWrap/>
            <w:vAlign w:val="bottom"/>
            <w:hideMark/>
          </w:tcPr>
          <w:p w14:paraId="32ACDDB9"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xml:space="preserve">Probability of </w:t>
            </w:r>
            <w:r>
              <w:rPr>
                <w:rFonts w:ascii="Calibri" w:eastAsia="Times New Roman" w:hAnsi="Calibri" w:cs="Calibri"/>
                <w:sz w:val="20"/>
                <w:szCs w:val="20"/>
              </w:rPr>
              <w:t>p</w:t>
            </w:r>
            <w:r w:rsidRPr="00B672D5">
              <w:rPr>
                <w:rFonts w:ascii="Calibri" w:eastAsia="Times New Roman" w:hAnsi="Calibri" w:cs="Calibri"/>
                <w:sz w:val="20"/>
                <w:szCs w:val="20"/>
              </w:rPr>
              <w:t>repayment</w:t>
            </w:r>
          </w:p>
        </w:tc>
      </w:tr>
      <w:tr w:rsidR="00B26691" w:rsidRPr="00B672D5" w14:paraId="1EF559A4" w14:textId="77777777" w:rsidTr="009D6779">
        <w:trPr>
          <w:trHeight w:val="255"/>
          <w:jc w:val="center"/>
        </w:trPr>
        <w:tc>
          <w:tcPr>
            <w:tcW w:w="0" w:type="auto"/>
            <w:tcBorders>
              <w:top w:val="nil"/>
              <w:left w:val="nil"/>
              <w:right w:val="nil"/>
            </w:tcBorders>
            <w:shd w:val="clear" w:color="auto" w:fill="auto"/>
            <w:noWrap/>
            <w:vAlign w:val="bottom"/>
            <w:hideMark/>
          </w:tcPr>
          <w:p w14:paraId="46F44149" w14:textId="77777777" w:rsidR="00B26691" w:rsidRPr="00B672D5" w:rsidRDefault="00B26691" w:rsidP="009D6779">
            <w:pPr>
              <w:spacing w:after="0" w:line="240" w:lineRule="auto"/>
              <w:contextualSpacing/>
              <w:jc w:val="center"/>
              <w:rPr>
                <w:rFonts w:ascii="Calibri" w:eastAsia="Times New Roman" w:hAnsi="Calibri" w:cs="Calibri"/>
                <w:sz w:val="18"/>
                <w:szCs w:val="18"/>
              </w:rPr>
            </w:pPr>
            <w:r w:rsidRPr="00B672D5">
              <w:rPr>
                <w:rFonts w:ascii="Calibri" w:eastAsia="Times New Roman" w:hAnsi="Calibri" w:cs="Calibri"/>
                <w:sz w:val="18"/>
                <w:szCs w:val="18"/>
              </w:rPr>
              <w:t> </w:t>
            </w:r>
          </w:p>
        </w:tc>
        <w:tc>
          <w:tcPr>
            <w:tcW w:w="0" w:type="auto"/>
            <w:tcBorders>
              <w:top w:val="nil"/>
              <w:left w:val="nil"/>
              <w:right w:val="nil"/>
            </w:tcBorders>
            <w:shd w:val="clear" w:color="auto" w:fill="auto"/>
            <w:noWrap/>
            <w:vAlign w:val="bottom"/>
            <w:hideMark/>
          </w:tcPr>
          <w:p w14:paraId="23796005"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One year</w:t>
            </w:r>
          </w:p>
        </w:tc>
        <w:tc>
          <w:tcPr>
            <w:tcW w:w="0" w:type="auto"/>
            <w:tcBorders>
              <w:top w:val="nil"/>
              <w:left w:val="nil"/>
              <w:right w:val="nil"/>
            </w:tcBorders>
            <w:shd w:val="clear" w:color="auto" w:fill="auto"/>
            <w:noWrap/>
            <w:vAlign w:val="bottom"/>
            <w:hideMark/>
          </w:tcPr>
          <w:p w14:paraId="026552C6"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Two years</w:t>
            </w:r>
          </w:p>
        </w:tc>
        <w:tc>
          <w:tcPr>
            <w:tcW w:w="0" w:type="auto"/>
            <w:tcBorders>
              <w:top w:val="nil"/>
              <w:left w:val="nil"/>
              <w:right w:val="nil"/>
            </w:tcBorders>
            <w:shd w:val="clear" w:color="auto" w:fill="auto"/>
            <w:noWrap/>
            <w:vAlign w:val="bottom"/>
            <w:hideMark/>
          </w:tcPr>
          <w:p w14:paraId="042516D4"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Three years</w:t>
            </w:r>
          </w:p>
        </w:tc>
        <w:tc>
          <w:tcPr>
            <w:tcW w:w="0" w:type="auto"/>
            <w:tcBorders>
              <w:top w:val="nil"/>
              <w:left w:val="nil"/>
              <w:right w:val="nil"/>
            </w:tcBorders>
            <w:shd w:val="clear" w:color="auto" w:fill="auto"/>
            <w:noWrap/>
            <w:vAlign w:val="bottom"/>
            <w:hideMark/>
          </w:tcPr>
          <w:p w14:paraId="1DE96C88"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Four years</w:t>
            </w:r>
          </w:p>
        </w:tc>
      </w:tr>
      <w:tr w:rsidR="00B26691" w:rsidRPr="00B672D5" w14:paraId="7CB5B8D4"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hideMark/>
          </w:tcPr>
          <w:p w14:paraId="457CB4AB"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hideMark/>
          </w:tcPr>
          <w:p w14:paraId="5C2BDC46"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bottom"/>
            <w:hideMark/>
          </w:tcPr>
          <w:p w14:paraId="19AE4AFD"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bottom"/>
            <w:hideMark/>
          </w:tcPr>
          <w:p w14:paraId="4E7F926B"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(3)</w:t>
            </w:r>
          </w:p>
        </w:tc>
        <w:tc>
          <w:tcPr>
            <w:tcW w:w="0" w:type="auto"/>
            <w:tcBorders>
              <w:top w:val="nil"/>
              <w:left w:val="nil"/>
              <w:bottom w:val="single" w:sz="4" w:space="0" w:color="auto"/>
              <w:right w:val="nil"/>
            </w:tcBorders>
            <w:shd w:val="clear" w:color="auto" w:fill="auto"/>
            <w:noWrap/>
            <w:vAlign w:val="bottom"/>
            <w:hideMark/>
          </w:tcPr>
          <w:p w14:paraId="0F20E9CB"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w:t>
            </w:r>
            <w:r w:rsidR="00152138">
              <w:rPr>
                <w:rFonts w:ascii="Calibri" w:eastAsia="Times New Roman" w:hAnsi="Calibri" w:cs="Calibri"/>
                <w:sz w:val="20"/>
                <w:szCs w:val="20"/>
              </w:rPr>
              <w:t>4</w:t>
            </w:r>
            <w:r w:rsidRPr="00B672D5">
              <w:rPr>
                <w:rFonts w:ascii="Calibri" w:eastAsia="Times New Roman" w:hAnsi="Calibri" w:cs="Calibri"/>
                <w:sz w:val="20"/>
                <w:szCs w:val="20"/>
              </w:rPr>
              <w:t>)</w:t>
            </w:r>
          </w:p>
        </w:tc>
      </w:tr>
      <w:tr w:rsidR="00B26691" w:rsidRPr="00B672D5" w14:paraId="3C1AED01"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hideMark/>
          </w:tcPr>
          <w:p w14:paraId="6280A409"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single" w:sz="4" w:space="0" w:color="auto"/>
              <w:left w:val="nil"/>
              <w:bottom w:val="nil"/>
              <w:right w:val="nil"/>
            </w:tcBorders>
            <w:shd w:val="clear" w:color="auto" w:fill="auto"/>
            <w:noWrap/>
            <w:vAlign w:val="bottom"/>
          </w:tcPr>
          <w:p w14:paraId="7C21D36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-.0481**</w:t>
            </w:r>
          </w:p>
        </w:tc>
        <w:tc>
          <w:tcPr>
            <w:tcW w:w="0" w:type="auto"/>
            <w:tcBorders>
              <w:top w:val="single" w:sz="4" w:space="0" w:color="auto"/>
              <w:left w:val="nil"/>
              <w:bottom w:val="nil"/>
              <w:right w:val="nil"/>
            </w:tcBorders>
            <w:shd w:val="clear" w:color="auto" w:fill="auto"/>
            <w:noWrap/>
            <w:vAlign w:val="bottom"/>
          </w:tcPr>
          <w:p w14:paraId="38B7B9A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-.0264**</w:t>
            </w:r>
          </w:p>
        </w:tc>
        <w:tc>
          <w:tcPr>
            <w:tcW w:w="0" w:type="auto"/>
            <w:tcBorders>
              <w:top w:val="single" w:sz="4" w:space="0" w:color="auto"/>
              <w:left w:val="nil"/>
              <w:bottom w:val="nil"/>
              <w:right w:val="nil"/>
            </w:tcBorders>
            <w:shd w:val="clear" w:color="auto" w:fill="auto"/>
            <w:noWrap/>
            <w:vAlign w:val="bottom"/>
          </w:tcPr>
          <w:p w14:paraId="7B59641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.0119</w:t>
            </w:r>
          </w:p>
        </w:tc>
        <w:tc>
          <w:tcPr>
            <w:tcW w:w="0" w:type="auto"/>
            <w:tcBorders>
              <w:top w:val="single" w:sz="4" w:space="0" w:color="auto"/>
              <w:left w:val="nil"/>
              <w:bottom w:val="nil"/>
              <w:right w:val="nil"/>
            </w:tcBorders>
            <w:shd w:val="clear" w:color="auto" w:fill="auto"/>
            <w:noWrap/>
            <w:vAlign w:val="bottom"/>
          </w:tcPr>
          <w:p w14:paraId="2F61202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.0164</w:t>
            </w:r>
          </w:p>
        </w:tc>
      </w:tr>
      <w:tr w:rsidR="00B26691" w:rsidRPr="00B672D5" w14:paraId="5A322A6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00316BA"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18BD5D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(.0192)</w:t>
            </w:r>
          </w:p>
        </w:tc>
        <w:tc>
          <w:tcPr>
            <w:tcW w:w="0" w:type="auto"/>
            <w:tcBorders>
              <w:top w:val="nil"/>
              <w:left w:val="nil"/>
              <w:bottom w:val="nil"/>
              <w:right w:val="nil"/>
            </w:tcBorders>
            <w:shd w:val="clear" w:color="auto" w:fill="auto"/>
            <w:noWrap/>
            <w:vAlign w:val="bottom"/>
          </w:tcPr>
          <w:p w14:paraId="2C97146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(.0122)</w:t>
            </w:r>
          </w:p>
        </w:tc>
        <w:tc>
          <w:tcPr>
            <w:tcW w:w="0" w:type="auto"/>
            <w:tcBorders>
              <w:top w:val="nil"/>
              <w:left w:val="nil"/>
              <w:bottom w:val="nil"/>
              <w:right w:val="nil"/>
            </w:tcBorders>
            <w:shd w:val="clear" w:color="auto" w:fill="auto"/>
            <w:noWrap/>
            <w:vAlign w:val="bottom"/>
          </w:tcPr>
          <w:p w14:paraId="3AF5E2C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(.0109)</w:t>
            </w:r>
          </w:p>
        </w:tc>
        <w:tc>
          <w:tcPr>
            <w:tcW w:w="0" w:type="auto"/>
            <w:tcBorders>
              <w:top w:val="nil"/>
              <w:left w:val="nil"/>
              <w:bottom w:val="nil"/>
              <w:right w:val="nil"/>
            </w:tcBorders>
            <w:shd w:val="clear" w:color="auto" w:fill="auto"/>
            <w:noWrap/>
            <w:vAlign w:val="bottom"/>
          </w:tcPr>
          <w:p w14:paraId="060A74D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(.0103)</w:t>
            </w:r>
          </w:p>
        </w:tc>
      </w:tr>
      <w:tr w:rsidR="00B26691" w:rsidRPr="00B672D5" w14:paraId="22AD24F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192D098"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tcPr>
          <w:p w14:paraId="0859431F"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-.025</w:t>
            </w:r>
            <w:r w:rsidR="00C364B1">
              <w:rPr>
                <w:rFonts w:ascii="Calibri" w:hAnsi="Calibri" w:cs="Calibri"/>
                <w:sz w:val="20"/>
                <w:szCs w:val="20"/>
              </w:rPr>
              <w:t>0</w:t>
            </w:r>
          </w:p>
        </w:tc>
        <w:tc>
          <w:tcPr>
            <w:tcW w:w="0" w:type="auto"/>
            <w:tcBorders>
              <w:top w:val="nil"/>
              <w:left w:val="nil"/>
              <w:bottom w:val="nil"/>
              <w:right w:val="nil"/>
            </w:tcBorders>
            <w:shd w:val="clear" w:color="auto" w:fill="auto"/>
            <w:noWrap/>
            <w:vAlign w:val="bottom"/>
          </w:tcPr>
          <w:p w14:paraId="63709EF4"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.0118</w:t>
            </w:r>
          </w:p>
        </w:tc>
        <w:tc>
          <w:tcPr>
            <w:tcW w:w="0" w:type="auto"/>
            <w:tcBorders>
              <w:top w:val="nil"/>
              <w:left w:val="nil"/>
              <w:bottom w:val="nil"/>
              <w:right w:val="nil"/>
            </w:tcBorders>
            <w:shd w:val="clear" w:color="auto" w:fill="auto"/>
            <w:noWrap/>
            <w:vAlign w:val="bottom"/>
          </w:tcPr>
          <w:p w14:paraId="728ED44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.172***</w:t>
            </w:r>
          </w:p>
        </w:tc>
        <w:tc>
          <w:tcPr>
            <w:tcW w:w="0" w:type="auto"/>
            <w:tcBorders>
              <w:top w:val="nil"/>
              <w:left w:val="nil"/>
              <w:bottom w:val="nil"/>
              <w:right w:val="nil"/>
            </w:tcBorders>
            <w:shd w:val="clear" w:color="auto" w:fill="auto"/>
            <w:noWrap/>
            <w:vAlign w:val="bottom"/>
          </w:tcPr>
          <w:p w14:paraId="6C7369C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.0987***</w:t>
            </w:r>
          </w:p>
        </w:tc>
      </w:tr>
      <w:tr w:rsidR="00B26691" w:rsidRPr="00B672D5" w14:paraId="77837487"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76F4049"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20231B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(.158)</w:t>
            </w:r>
          </w:p>
        </w:tc>
        <w:tc>
          <w:tcPr>
            <w:tcW w:w="0" w:type="auto"/>
            <w:tcBorders>
              <w:top w:val="nil"/>
              <w:left w:val="nil"/>
              <w:bottom w:val="nil"/>
              <w:right w:val="nil"/>
            </w:tcBorders>
            <w:shd w:val="clear" w:color="auto" w:fill="auto"/>
            <w:noWrap/>
            <w:vAlign w:val="bottom"/>
          </w:tcPr>
          <w:p w14:paraId="1939593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(.0867)</w:t>
            </w:r>
          </w:p>
        </w:tc>
        <w:tc>
          <w:tcPr>
            <w:tcW w:w="0" w:type="auto"/>
            <w:tcBorders>
              <w:top w:val="nil"/>
              <w:left w:val="nil"/>
              <w:bottom w:val="nil"/>
              <w:right w:val="nil"/>
            </w:tcBorders>
            <w:shd w:val="clear" w:color="auto" w:fill="auto"/>
            <w:noWrap/>
            <w:vAlign w:val="bottom"/>
          </w:tcPr>
          <w:p w14:paraId="481FC3B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(.0482)</w:t>
            </w:r>
          </w:p>
        </w:tc>
        <w:tc>
          <w:tcPr>
            <w:tcW w:w="0" w:type="auto"/>
            <w:tcBorders>
              <w:top w:val="nil"/>
              <w:left w:val="nil"/>
              <w:bottom w:val="nil"/>
              <w:right w:val="nil"/>
            </w:tcBorders>
            <w:shd w:val="clear" w:color="auto" w:fill="auto"/>
            <w:noWrap/>
            <w:vAlign w:val="bottom"/>
          </w:tcPr>
          <w:p w14:paraId="05A3C9D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(.0364)</w:t>
            </w:r>
          </w:p>
        </w:tc>
      </w:tr>
      <w:tr w:rsidR="00B26691" w:rsidRPr="00B672D5" w14:paraId="24E01E09"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91A5210"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tcPr>
          <w:p w14:paraId="51CADC6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.106***</w:t>
            </w:r>
          </w:p>
        </w:tc>
        <w:tc>
          <w:tcPr>
            <w:tcW w:w="0" w:type="auto"/>
            <w:tcBorders>
              <w:top w:val="nil"/>
              <w:left w:val="nil"/>
              <w:bottom w:val="nil"/>
              <w:right w:val="nil"/>
            </w:tcBorders>
            <w:shd w:val="clear" w:color="auto" w:fill="auto"/>
            <w:noWrap/>
            <w:vAlign w:val="bottom"/>
          </w:tcPr>
          <w:p w14:paraId="6E75EB7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w:t>
            </w:r>
            <w:r w:rsidR="00C364B1">
              <w:rPr>
                <w:rFonts w:ascii="Calibri" w:hAnsi="Calibri" w:cs="Calibri"/>
                <w:sz w:val="20"/>
                <w:szCs w:val="20"/>
              </w:rPr>
              <w:t>00</w:t>
            </w:r>
          </w:p>
        </w:tc>
        <w:tc>
          <w:tcPr>
            <w:tcW w:w="0" w:type="auto"/>
            <w:tcBorders>
              <w:top w:val="nil"/>
              <w:left w:val="nil"/>
              <w:bottom w:val="nil"/>
              <w:right w:val="nil"/>
            </w:tcBorders>
            <w:shd w:val="clear" w:color="auto" w:fill="auto"/>
            <w:noWrap/>
            <w:vAlign w:val="bottom"/>
          </w:tcPr>
          <w:p w14:paraId="3CD6960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-.0497***</w:t>
            </w:r>
          </w:p>
        </w:tc>
        <w:tc>
          <w:tcPr>
            <w:tcW w:w="0" w:type="auto"/>
            <w:tcBorders>
              <w:top w:val="nil"/>
              <w:left w:val="nil"/>
              <w:bottom w:val="nil"/>
              <w:right w:val="nil"/>
            </w:tcBorders>
            <w:shd w:val="clear" w:color="auto" w:fill="auto"/>
            <w:noWrap/>
            <w:vAlign w:val="bottom"/>
          </w:tcPr>
          <w:p w14:paraId="0F46A978"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-.0462***</w:t>
            </w:r>
          </w:p>
        </w:tc>
      </w:tr>
      <w:tr w:rsidR="00B26691" w:rsidRPr="00B672D5" w14:paraId="0D25728D"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4ED1703"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6989C7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(.0364)</w:t>
            </w:r>
          </w:p>
        </w:tc>
        <w:tc>
          <w:tcPr>
            <w:tcW w:w="0" w:type="auto"/>
            <w:tcBorders>
              <w:top w:val="nil"/>
              <w:left w:val="nil"/>
              <w:bottom w:val="nil"/>
              <w:right w:val="nil"/>
            </w:tcBorders>
            <w:shd w:val="clear" w:color="auto" w:fill="auto"/>
            <w:noWrap/>
            <w:vAlign w:val="bottom"/>
          </w:tcPr>
          <w:p w14:paraId="37B75AE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1027D37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(.0177)</w:t>
            </w:r>
          </w:p>
        </w:tc>
        <w:tc>
          <w:tcPr>
            <w:tcW w:w="0" w:type="auto"/>
            <w:tcBorders>
              <w:top w:val="nil"/>
              <w:left w:val="nil"/>
              <w:bottom w:val="nil"/>
              <w:right w:val="nil"/>
            </w:tcBorders>
            <w:shd w:val="clear" w:color="auto" w:fill="auto"/>
            <w:noWrap/>
            <w:vAlign w:val="bottom"/>
          </w:tcPr>
          <w:p w14:paraId="62E8843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(.0156)</w:t>
            </w:r>
          </w:p>
        </w:tc>
      </w:tr>
      <w:tr w:rsidR="00B26691" w:rsidRPr="00B672D5" w14:paraId="33FEAFBA"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0A837A7"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tcPr>
          <w:p w14:paraId="006BF6D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.00271***</w:t>
            </w:r>
          </w:p>
        </w:tc>
        <w:tc>
          <w:tcPr>
            <w:tcW w:w="0" w:type="auto"/>
            <w:tcBorders>
              <w:top w:val="nil"/>
              <w:left w:val="nil"/>
              <w:bottom w:val="nil"/>
              <w:right w:val="nil"/>
            </w:tcBorders>
            <w:shd w:val="clear" w:color="auto" w:fill="auto"/>
            <w:noWrap/>
            <w:vAlign w:val="bottom"/>
          </w:tcPr>
          <w:p w14:paraId="48EA0CB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.00113***</w:t>
            </w:r>
          </w:p>
        </w:tc>
        <w:tc>
          <w:tcPr>
            <w:tcW w:w="0" w:type="auto"/>
            <w:tcBorders>
              <w:top w:val="nil"/>
              <w:left w:val="nil"/>
              <w:bottom w:val="nil"/>
              <w:right w:val="nil"/>
            </w:tcBorders>
            <w:shd w:val="clear" w:color="auto" w:fill="auto"/>
            <w:noWrap/>
            <w:vAlign w:val="bottom"/>
          </w:tcPr>
          <w:p w14:paraId="55F5DA0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.000781***</w:t>
            </w:r>
          </w:p>
        </w:tc>
        <w:tc>
          <w:tcPr>
            <w:tcW w:w="0" w:type="auto"/>
            <w:tcBorders>
              <w:top w:val="nil"/>
              <w:left w:val="nil"/>
              <w:bottom w:val="nil"/>
              <w:right w:val="nil"/>
            </w:tcBorders>
            <w:shd w:val="clear" w:color="auto" w:fill="auto"/>
            <w:noWrap/>
            <w:vAlign w:val="bottom"/>
          </w:tcPr>
          <w:p w14:paraId="53BA7A9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.000618***</w:t>
            </w:r>
          </w:p>
        </w:tc>
      </w:tr>
      <w:tr w:rsidR="00B26691" w:rsidRPr="00B672D5" w14:paraId="4A8DCD6A"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CA8527A"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070FF5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(.000214)</w:t>
            </w:r>
          </w:p>
        </w:tc>
        <w:tc>
          <w:tcPr>
            <w:tcW w:w="0" w:type="auto"/>
            <w:tcBorders>
              <w:top w:val="nil"/>
              <w:left w:val="nil"/>
              <w:bottom w:val="nil"/>
              <w:right w:val="nil"/>
            </w:tcBorders>
            <w:shd w:val="clear" w:color="auto" w:fill="auto"/>
            <w:noWrap/>
            <w:vAlign w:val="bottom"/>
          </w:tcPr>
          <w:p w14:paraId="3A009176"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(.000132)</w:t>
            </w:r>
          </w:p>
        </w:tc>
        <w:tc>
          <w:tcPr>
            <w:tcW w:w="0" w:type="auto"/>
            <w:tcBorders>
              <w:top w:val="nil"/>
              <w:left w:val="nil"/>
              <w:bottom w:val="nil"/>
              <w:right w:val="nil"/>
            </w:tcBorders>
            <w:shd w:val="clear" w:color="auto" w:fill="auto"/>
            <w:noWrap/>
            <w:vAlign w:val="bottom"/>
          </w:tcPr>
          <w:p w14:paraId="42D9223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(.000111)</w:t>
            </w:r>
          </w:p>
        </w:tc>
        <w:tc>
          <w:tcPr>
            <w:tcW w:w="0" w:type="auto"/>
            <w:tcBorders>
              <w:top w:val="nil"/>
              <w:left w:val="nil"/>
              <w:bottom w:val="nil"/>
              <w:right w:val="nil"/>
            </w:tcBorders>
            <w:shd w:val="clear" w:color="auto" w:fill="auto"/>
            <w:noWrap/>
            <w:vAlign w:val="bottom"/>
          </w:tcPr>
          <w:p w14:paraId="1F02D40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(.000101)</w:t>
            </w:r>
          </w:p>
        </w:tc>
      </w:tr>
      <w:tr w:rsidR="00B26691" w:rsidRPr="00B672D5" w14:paraId="1689DFD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D0E3B6B"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0" w:type="auto"/>
            <w:tcBorders>
              <w:top w:val="nil"/>
              <w:left w:val="nil"/>
              <w:bottom w:val="nil"/>
              <w:right w:val="nil"/>
            </w:tcBorders>
            <w:shd w:val="clear" w:color="auto" w:fill="auto"/>
            <w:noWrap/>
            <w:vAlign w:val="bottom"/>
          </w:tcPr>
          <w:p w14:paraId="660A3E8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-.0101***</w:t>
            </w:r>
          </w:p>
        </w:tc>
        <w:tc>
          <w:tcPr>
            <w:tcW w:w="0" w:type="auto"/>
            <w:tcBorders>
              <w:top w:val="nil"/>
              <w:left w:val="nil"/>
              <w:bottom w:val="nil"/>
              <w:right w:val="nil"/>
            </w:tcBorders>
            <w:shd w:val="clear" w:color="auto" w:fill="auto"/>
            <w:noWrap/>
            <w:vAlign w:val="bottom"/>
          </w:tcPr>
          <w:p w14:paraId="320DA5E6"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-.00782***</w:t>
            </w:r>
          </w:p>
        </w:tc>
        <w:tc>
          <w:tcPr>
            <w:tcW w:w="0" w:type="auto"/>
            <w:tcBorders>
              <w:top w:val="nil"/>
              <w:left w:val="nil"/>
              <w:bottom w:val="nil"/>
              <w:right w:val="nil"/>
            </w:tcBorders>
            <w:shd w:val="clear" w:color="auto" w:fill="auto"/>
            <w:noWrap/>
            <w:vAlign w:val="bottom"/>
          </w:tcPr>
          <w:p w14:paraId="50A22EC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-.00793***</w:t>
            </w:r>
          </w:p>
        </w:tc>
        <w:tc>
          <w:tcPr>
            <w:tcW w:w="0" w:type="auto"/>
            <w:tcBorders>
              <w:top w:val="nil"/>
              <w:left w:val="nil"/>
              <w:bottom w:val="nil"/>
              <w:right w:val="nil"/>
            </w:tcBorders>
            <w:shd w:val="clear" w:color="auto" w:fill="auto"/>
            <w:noWrap/>
            <w:vAlign w:val="bottom"/>
          </w:tcPr>
          <w:p w14:paraId="78E8D03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-.00857***</w:t>
            </w:r>
          </w:p>
        </w:tc>
      </w:tr>
      <w:tr w:rsidR="00B26691" w:rsidRPr="00B672D5" w14:paraId="23D23BB6"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25C5A86"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6C099B5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(.000654)</w:t>
            </w:r>
          </w:p>
        </w:tc>
        <w:tc>
          <w:tcPr>
            <w:tcW w:w="0" w:type="auto"/>
            <w:tcBorders>
              <w:top w:val="nil"/>
              <w:left w:val="nil"/>
              <w:bottom w:val="nil"/>
              <w:right w:val="nil"/>
            </w:tcBorders>
            <w:shd w:val="clear" w:color="auto" w:fill="auto"/>
            <w:noWrap/>
            <w:vAlign w:val="bottom"/>
          </w:tcPr>
          <w:p w14:paraId="479988E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(.000415)</w:t>
            </w:r>
          </w:p>
        </w:tc>
        <w:tc>
          <w:tcPr>
            <w:tcW w:w="0" w:type="auto"/>
            <w:tcBorders>
              <w:top w:val="nil"/>
              <w:left w:val="nil"/>
              <w:bottom w:val="nil"/>
              <w:right w:val="nil"/>
            </w:tcBorders>
            <w:shd w:val="clear" w:color="auto" w:fill="auto"/>
            <w:noWrap/>
            <w:vAlign w:val="bottom"/>
          </w:tcPr>
          <w:p w14:paraId="68263BE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(.000331)</w:t>
            </w:r>
          </w:p>
        </w:tc>
        <w:tc>
          <w:tcPr>
            <w:tcW w:w="0" w:type="auto"/>
            <w:tcBorders>
              <w:top w:val="nil"/>
              <w:left w:val="nil"/>
              <w:bottom w:val="nil"/>
              <w:right w:val="nil"/>
            </w:tcBorders>
            <w:shd w:val="clear" w:color="auto" w:fill="auto"/>
            <w:noWrap/>
            <w:vAlign w:val="bottom"/>
          </w:tcPr>
          <w:p w14:paraId="1DD58814"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(.000291)</w:t>
            </w:r>
          </w:p>
        </w:tc>
      </w:tr>
      <w:tr w:rsidR="006751BB" w:rsidRPr="00B672D5" w14:paraId="397248C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34983CB"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0" w:type="auto"/>
            <w:tcBorders>
              <w:top w:val="nil"/>
              <w:left w:val="nil"/>
              <w:bottom w:val="nil"/>
              <w:right w:val="nil"/>
            </w:tcBorders>
            <w:shd w:val="clear" w:color="auto" w:fill="auto"/>
            <w:noWrap/>
            <w:vAlign w:val="bottom"/>
          </w:tcPr>
          <w:p w14:paraId="4651D1F2"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.452***</w:t>
            </w:r>
          </w:p>
        </w:tc>
        <w:tc>
          <w:tcPr>
            <w:tcW w:w="0" w:type="auto"/>
            <w:tcBorders>
              <w:top w:val="nil"/>
              <w:left w:val="nil"/>
              <w:bottom w:val="nil"/>
              <w:right w:val="nil"/>
            </w:tcBorders>
            <w:shd w:val="clear" w:color="auto" w:fill="auto"/>
            <w:noWrap/>
            <w:vAlign w:val="bottom"/>
          </w:tcPr>
          <w:p w14:paraId="4BF00A87"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.241***</w:t>
            </w:r>
          </w:p>
        </w:tc>
        <w:tc>
          <w:tcPr>
            <w:tcW w:w="0" w:type="auto"/>
            <w:tcBorders>
              <w:top w:val="nil"/>
              <w:left w:val="nil"/>
              <w:bottom w:val="nil"/>
              <w:right w:val="nil"/>
            </w:tcBorders>
            <w:shd w:val="clear" w:color="auto" w:fill="auto"/>
            <w:noWrap/>
            <w:vAlign w:val="bottom"/>
          </w:tcPr>
          <w:p w14:paraId="52D0C02C"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.158***</w:t>
            </w:r>
          </w:p>
        </w:tc>
        <w:tc>
          <w:tcPr>
            <w:tcW w:w="0" w:type="auto"/>
            <w:tcBorders>
              <w:top w:val="nil"/>
              <w:left w:val="nil"/>
              <w:bottom w:val="nil"/>
              <w:right w:val="nil"/>
            </w:tcBorders>
            <w:shd w:val="clear" w:color="auto" w:fill="auto"/>
            <w:noWrap/>
            <w:vAlign w:val="bottom"/>
          </w:tcPr>
          <w:p w14:paraId="2D693DBD"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.116***</w:t>
            </w:r>
          </w:p>
        </w:tc>
      </w:tr>
      <w:tr w:rsidR="006751BB" w:rsidRPr="00B672D5" w14:paraId="607A17B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05E3728"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6976DCF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(.0110)</w:t>
            </w:r>
          </w:p>
        </w:tc>
        <w:tc>
          <w:tcPr>
            <w:tcW w:w="0" w:type="auto"/>
            <w:tcBorders>
              <w:top w:val="nil"/>
              <w:left w:val="nil"/>
              <w:bottom w:val="nil"/>
              <w:right w:val="nil"/>
            </w:tcBorders>
            <w:shd w:val="clear" w:color="auto" w:fill="auto"/>
            <w:noWrap/>
            <w:vAlign w:val="bottom"/>
          </w:tcPr>
          <w:p w14:paraId="1007A4B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(.00347)</w:t>
            </w:r>
          </w:p>
        </w:tc>
        <w:tc>
          <w:tcPr>
            <w:tcW w:w="0" w:type="auto"/>
            <w:tcBorders>
              <w:top w:val="nil"/>
              <w:left w:val="nil"/>
              <w:bottom w:val="nil"/>
              <w:right w:val="nil"/>
            </w:tcBorders>
            <w:shd w:val="clear" w:color="auto" w:fill="auto"/>
            <w:noWrap/>
            <w:vAlign w:val="bottom"/>
          </w:tcPr>
          <w:p w14:paraId="10467758"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(.00185)</w:t>
            </w:r>
          </w:p>
        </w:tc>
        <w:tc>
          <w:tcPr>
            <w:tcW w:w="0" w:type="auto"/>
            <w:tcBorders>
              <w:top w:val="nil"/>
              <w:left w:val="nil"/>
              <w:bottom w:val="nil"/>
              <w:right w:val="nil"/>
            </w:tcBorders>
            <w:shd w:val="clear" w:color="auto" w:fill="auto"/>
            <w:noWrap/>
            <w:vAlign w:val="bottom"/>
          </w:tcPr>
          <w:p w14:paraId="7A5D184C"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(.00124)</w:t>
            </w:r>
          </w:p>
        </w:tc>
      </w:tr>
      <w:tr w:rsidR="006751BB" w:rsidRPr="00B672D5" w14:paraId="0FF37724"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6EBB359"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0" w:type="auto"/>
            <w:tcBorders>
              <w:top w:val="nil"/>
              <w:left w:val="nil"/>
              <w:bottom w:val="nil"/>
              <w:right w:val="nil"/>
            </w:tcBorders>
            <w:shd w:val="clear" w:color="auto" w:fill="auto"/>
            <w:noWrap/>
            <w:vAlign w:val="bottom"/>
          </w:tcPr>
          <w:p w14:paraId="5B4C3333"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-.0207***</w:t>
            </w:r>
          </w:p>
        </w:tc>
        <w:tc>
          <w:tcPr>
            <w:tcW w:w="0" w:type="auto"/>
            <w:tcBorders>
              <w:top w:val="nil"/>
              <w:left w:val="nil"/>
              <w:bottom w:val="nil"/>
              <w:right w:val="nil"/>
            </w:tcBorders>
            <w:shd w:val="clear" w:color="auto" w:fill="auto"/>
            <w:noWrap/>
            <w:vAlign w:val="bottom"/>
          </w:tcPr>
          <w:p w14:paraId="15550B83"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-.00676***</w:t>
            </w:r>
          </w:p>
        </w:tc>
        <w:tc>
          <w:tcPr>
            <w:tcW w:w="0" w:type="auto"/>
            <w:tcBorders>
              <w:top w:val="nil"/>
              <w:left w:val="nil"/>
              <w:bottom w:val="nil"/>
              <w:right w:val="nil"/>
            </w:tcBorders>
            <w:shd w:val="clear" w:color="auto" w:fill="auto"/>
            <w:noWrap/>
            <w:vAlign w:val="bottom"/>
          </w:tcPr>
          <w:p w14:paraId="7AA76E3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-.00320***</w:t>
            </w:r>
          </w:p>
        </w:tc>
        <w:tc>
          <w:tcPr>
            <w:tcW w:w="0" w:type="auto"/>
            <w:tcBorders>
              <w:top w:val="nil"/>
              <w:left w:val="nil"/>
              <w:bottom w:val="nil"/>
              <w:right w:val="nil"/>
            </w:tcBorders>
            <w:shd w:val="clear" w:color="auto" w:fill="auto"/>
            <w:noWrap/>
            <w:vAlign w:val="bottom"/>
          </w:tcPr>
          <w:p w14:paraId="043C14B8"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-.00184***</w:t>
            </w:r>
          </w:p>
        </w:tc>
      </w:tr>
      <w:tr w:rsidR="00B26691" w:rsidRPr="00B672D5" w14:paraId="3ADAE295"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A2E5E92"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FEECD40"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(.000753)</w:t>
            </w:r>
          </w:p>
        </w:tc>
        <w:tc>
          <w:tcPr>
            <w:tcW w:w="0" w:type="auto"/>
            <w:tcBorders>
              <w:top w:val="nil"/>
              <w:left w:val="nil"/>
              <w:bottom w:val="nil"/>
              <w:right w:val="nil"/>
            </w:tcBorders>
            <w:shd w:val="clear" w:color="auto" w:fill="auto"/>
            <w:noWrap/>
            <w:vAlign w:val="bottom"/>
          </w:tcPr>
          <w:p w14:paraId="7744CB4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(.000123)</w:t>
            </w:r>
          </w:p>
        </w:tc>
        <w:tc>
          <w:tcPr>
            <w:tcW w:w="0" w:type="auto"/>
            <w:tcBorders>
              <w:top w:val="nil"/>
              <w:left w:val="nil"/>
              <w:bottom w:val="nil"/>
              <w:right w:val="nil"/>
            </w:tcBorders>
            <w:shd w:val="clear" w:color="auto" w:fill="auto"/>
            <w:noWrap/>
            <w:vAlign w:val="bottom"/>
          </w:tcPr>
          <w:p w14:paraId="2537DB2F"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(.0000462)</w:t>
            </w:r>
          </w:p>
        </w:tc>
        <w:tc>
          <w:tcPr>
            <w:tcW w:w="0" w:type="auto"/>
            <w:tcBorders>
              <w:top w:val="nil"/>
              <w:left w:val="nil"/>
              <w:bottom w:val="nil"/>
              <w:right w:val="nil"/>
            </w:tcBorders>
            <w:shd w:val="clear" w:color="auto" w:fill="auto"/>
            <w:noWrap/>
            <w:vAlign w:val="bottom"/>
          </w:tcPr>
          <w:p w14:paraId="6AE052F1"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(.0000243)</w:t>
            </w:r>
          </w:p>
        </w:tc>
      </w:tr>
      <w:tr w:rsidR="00B26691" w:rsidRPr="00B672D5" w14:paraId="6592D5BA"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A3351DB"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0" w:type="auto"/>
            <w:tcBorders>
              <w:top w:val="nil"/>
              <w:left w:val="nil"/>
              <w:bottom w:val="nil"/>
              <w:right w:val="nil"/>
            </w:tcBorders>
            <w:shd w:val="clear" w:color="auto" w:fill="auto"/>
            <w:noWrap/>
            <w:vAlign w:val="bottom"/>
          </w:tcPr>
          <w:p w14:paraId="1DD835B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-5.359***</w:t>
            </w:r>
          </w:p>
        </w:tc>
        <w:tc>
          <w:tcPr>
            <w:tcW w:w="0" w:type="auto"/>
            <w:tcBorders>
              <w:top w:val="nil"/>
              <w:left w:val="nil"/>
              <w:bottom w:val="nil"/>
              <w:right w:val="nil"/>
            </w:tcBorders>
            <w:shd w:val="clear" w:color="auto" w:fill="auto"/>
            <w:noWrap/>
            <w:vAlign w:val="bottom"/>
          </w:tcPr>
          <w:p w14:paraId="0A90C050"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-5.678***</w:t>
            </w:r>
          </w:p>
        </w:tc>
        <w:tc>
          <w:tcPr>
            <w:tcW w:w="0" w:type="auto"/>
            <w:tcBorders>
              <w:top w:val="nil"/>
              <w:left w:val="nil"/>
              <w:bottom w:val="nil"/>
              <w:right w:val="nil"/>
            </w:tcBorders>
            <w:shd w:val="clear" w:color="auto" w:fill="auto"/>
            <w:noWrap/>
            <w:vAlign w:val="bottom"/>
          </w:tcPr>
          <w:p w14:paraId="6E2E7DF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-4.779***</w:t>
            </w:r>
          </w:p>
        </w:tc>
        <w:tc>
          <w:tcPr>
            <w:tcW w:w="0" w:type="auto"/>
            <w:tcBorders>
              <w:top w:val="nil"/>
              <w:left w:val="nil"/>
              <w:bottom w:val="nil"/>
              <w:right w:val="nil"/>
            </w:tcBorders>
            <w:shd w:val="clear" w:color="auto" w:fill="auto"/>
            <w:noWrap/>
            <w:vAlign w:val="bottom"/>
          </w:tcPr>
          <w:p w14:paraId="08A2B8A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-3.974***</w:t>
            </w:r>
          </w:p>
        </w:tc>
      </w:tr>
      <w:tr w:rsidR="00B26691" w:rsidRPr="00B672D5" w14:paraId="4237692E"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D1E3276"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1A82B64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(.152)</w:t>
            </w:r>
          </w:p>
        </w:tc>
        <w:tc>
          <w:tcPr>
            <w:tcW w:w="0" w:type="auto"/>
            <w:tcBorders>
              <w:top w:val="nil"/>
              <w:left w:val="nil"/>
              <w:bottom w:val="nil"/>
              <w:right w:val="nil"/>
            </w:tcBorders>
            <w:shd w:val="clear" w:color="auto" w:fill="auto"/>
            <w:noWrap/>
            <w:vAlign w:val="bottom"/>
          </w:tcPr>
          <w:p w14:paraId="23989538"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(.0768)</w:t>
            </w:r>
          </w:p>
        </w:tc>
        <w:tc>
          <w:tcPr>
            <w:tcW w:w="0" w:type="auto"/>
            <w:tcBorders>
              <w:top w:val="nil"/>
              <w:left w:val="nil"/>
              <w:bottom w:val="nil"/>
              <w:right w:val="nil"/>
            </w:tcBorders>
            <w:shd w:val="clear" w:color="auto" w:fill="auto"/>
            <w:noWrap/>
            <w:vAlign w:val="bottom"/>
          </w:tcPr>
          <w:p w14:paraId="2FA158B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(.0567)</w:t>
            </w:r>
          </w:p>
        </w:tc>
        <w:tc>
          <w:tcPr>
            <w:tcW w:w="0" w:type="auto"/>
            <w:tcBorders>
              <w:top w:val="nil"/>
              <w:left w:val="nil"/>
              <w:bottom w:val="nil"/>
              <w:right w:val="nil"/>
            </w:tcBorders>
            <w:shd w:val="clear" w:color="auto" w:fill="auto"/>
            <w:noWrap/>
            <w:vAlign w:val="bottom"/>
          </w:tcPr>
          <w:p w14:paraId="5BD62AD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(.0475)</w:t>
            </w:r>
          </w:p>
        </w:tc>
      </w:tr>
      <w:tr w:rsidR="00B26691" w:rsidRPr="00B672D5" w14:paraId="23F91686"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2CADE14"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0" w:type="auto"/>
            <w:tcBorders>
              <w:top w:val="nil"/>
              <w:left w:val="nil"/>
              <w:bottom w:val="nil"/>
              <w:right w:val="nil"/>
            </w:tcBorders>
            <w:shd w:val="clear" w:color="auto" w:fill="auto"/>
            <w:noWrap/>
            <w:vAlign w:val="bottom"/>
          </w:tcPr>
          <w:p w14:paraId="1BB69356"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1.001***</w:t>
            </w:r>
          </w:p>
        </w:tc>
        <w:tc>
          <w:tcPr>
            <w:tcW w:w="0" w:type="auto"/>
            <w:tcBorders>
              <w:top w:val="nil"/>
              <w:left w:val="nil"/>
              <w:bottom w:val="nil"/>
              <w:right w:val="nil"/>
            </w:tcBorders>
            <w:shd w:val="clear" w:color="auto" w:fill="auto"/>
            <w:noWrap/>
            <w:vAlign w:val="bottom"/>
          </w:tcPr>
          <w:p w14:paraId="463F1D90"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.79</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E5DF68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.671***</w:t>
            </w:r>
          </w:p>
        </w:tc>
        <w:tc>
          <w:tcPr>
            <w:tcW w:w="0" w:type="auto"/>
            <w:tcBorders>
              <w:top w:val="nil"/>
              <w:left w:val="nil"/>
              <w:bottom w:val="nil"/>
              <w:right w:val="nil"/>
            </w:tcBorders>
            <w:shd w:val="clear" w:color="auto" w:fill="auto"/>
            <w:noWrap/>
            <w:vAlign w:val="bottom"/>
          </w:tcPr>
          <w:p w14:paraId="75C865DF"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.609***</w:t>
            </w:r>
          </w:p>
        </w:tc>
      </w:tr>
      <w:tr w:rsidR="00B26691" w:rsidRPr="00B672D5" w14:paraId="50E3B0C9"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5E1C58F"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6164BF3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(.0201)</w:t>
            </w:r>
          </w:p>
        </w:tc>
        <w:tc>
          <w:tcPr>
            <w:tcW w:w="0" w:type="auto"/>
            <w:tcBorders>
              <w:top w:val="nil"/>
              <w:left w:val="nil"/>
              <w:bottom w:val="nil"/>
              <w:right w:val="nil"/>
            </w:tcBorders>
            <w:shd w:val="clear" w:color="auto" w:fill="auto"/>
            <w:noWrap/>
            <w:vAlign w:val="bottom"/>
          </w:tcPr>
          <w:p w14:paraId="71095B2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(.0122)</w:t>
            </w:r>
          </w:p>
        </w:tc>
        <w:tc>
          <w:tcPr>
            <w:tcW w:w="0" w:type="auto"/>
            <w:tcBorders>
              <w:top w:val="nil"/>
              <w:left w:val="nil"/>
              <w:bottom w:val="nil"/>
              <w:right w:val="nil"/>
            </w:tcBorders>
            <w:shd w:val="clear" w:color="auto" w:fill="auto"/>
            <w:noWrap/>
            <w:vAlign w:val="bottom"/>
          </w:tcPr>
          <w:p w14:paraId="0EFAD8C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(.0105)</w:t>
            </w:r>
          </w:p>
        </w:tc>
        <w:tc>
          <w:tcPr>
            <w:tcW w:w="0" w:type="auto"/>
            <w:tcBorders>
              <w:top w:val="nil"/>
              <w:left w:val="nil"/>
              <w:bottom w:val="nil"/>
              <w:right w:val="nil"/>
            </w:tcBorders>
            <w:shd w:val="clear" w:color="auto" w:fill="auto"/>
            <w:noWrap/>
            <w:vAlign w:val="bottom"/>
          </w:tcPr>
          <w:p w14:paraId="485A726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(.00974)</w:t>
            </w:r>
          </w:p>
        </w:tc>
      </w:tr>
      <w:tr w:rsidR="00B26691" w:rsidRPr="00B672D5" w14:paraId="6F526497"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A01E0EA"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tcPr>
          <w:p w14:paraId="451E5F4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.629***</w:t>
            </w:r>
          </w:p>
        </w:tc>
        <w:tc>
          <w:tcPr>
            <w:tcW w:w="0" w:type="auto"/>
            <w:tcBorders>
              <w:top w:val="nil"/>
              <w:left w:val="nil"/>
              <w:bottom w:val="nil"/>
              <w:right w:val="nil"/>
            </w:tcBorders>
            <w:shd w:val="clear" w:color="auto" w:fill="auto"/>
            <w:noWrap/>
            <w:vAlign w:val="bottom"/>
          </w:tcPr>
          <w:p w14:paraId="393AF53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.552***</w:t>
            </w:r>
          </w:p>
        </w:tc>
        <w:tc>
          <w:tcPr>
            <w:tcW w:w="0" w:type="auto"/>
            <w:tcBorders>
              <w:top w:val="nil"/>
              <w:left w:val="nil"/>
              <w:bottom w:val="nil"/>
              <w:right w:val="nil"/>
            </w:tcBorders>
            <w:shd w:val="clear" w:color="auto" w:fill="auto"/>
            <w:noWrap/>
            <w:vAlign w:val="bottom"/>
          </w:tcPr>
          <w:p w14:paraId="25DD7268"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.495***</w:t>
            </w:r>
          </w:p>
        </w:tc>
        <w:tc>
          <w:tcPr>
            <w:tcW w:w="0" w:type="auto"/>
            <w:tcBorders>
              <w:top w:val="nil"/>
              <w:left w:val="nil"/>
              <w:bottom w:val="nil"/>
              <w:right w:val="nil"/>
            </w:tcBorders>
            <w:shd w:val="clear" w:color="auto" w:fill="auto"/>
            <w:noWrap/>
            <w:vAlign w:val="bottom"/>
          </w:tcPr>
          <w:p w14:paraId="3B7AC13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.465***</w:t>
            </w:r>
          </w:p>
        </w:tc>
      </w:tr>
      <w:tr w:rsidR="00B26691" w:rsidRPr="00B672D5" w14:paraId="5B56BAE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6E9F55B"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187691A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(.0196)</w:t>
            </w:r>
          </w:p>
        </w:tc>
        <w:tc>
          <w:tcPr>
            <w:tcW w:w="0" w:type="auto"/>
            <w:tcBorders>
              <w:top w:val="nil"/>
              <w:left w:val="nil"/>
              <w:bottom w:val="nil"/>
              <w:right w:val="nil"/>
            </w:tcBorders>
            <w:shd w:val="clear" w:color="auto" w:fill="auto"/>
            <w:noWrap/>
            <w:vAlign w:val="bottom"/>
          </w:tcPr>
          <w:p w14:paraId="17BF9016"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(.0128)</w:t>
            </w:r>
          </w:p>
        </w:tc>
        <w:tc>
          <w:tcPr>
            <w:tcW w:w="0" w:type="auto"/>
            <w:tcBorders>
              <w:top w:val="nil"/>
              <w:left w:val="nil"/>
              <w:bottom w:val="nil"/>
              <w:right w:val="nil"/>
            </w:tcBorders>
            <w:shd w:val="clear" w:color="auto" w:fill="auto"/>
            <w:noWrap/>
            <w:vAlign w:val="bottom"/>
          </w:tcPr>
          <w:p w14:paraId="2B07679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(.0109)</w:t>
            </w:r>
          </w:p>
        </w:tc>
        <w:tc>
          <w:tcPr>
            <w:tcW w:w="0" w:type="auto"/>
            <w:tcBorders>
              <w:top w:val="nil"/>
              <w:left w:val="nil"/>
              <w:bottom w:val="nil"/>
              <w:right w:val="nil"/>
            </w:tcBorders>
            <w:shd w:val="clear" w:color="auto" w:fill="auto"/>
            <w:noWrap/>
            <w:vAlign w:val="bottom"/>
          </w:tcPr>
          <w:p w14:paraId="561E169F"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w:t>
            </w:r>
            <w:r w:rsidR="00C364B1">
              <w:rPr>
                <w:rFonts w:ascii="Calibri" w:hAnsi="Calibri" w:cs="Calibri"/>
                <w:sz w:val="20"/>
                <w:szCs w:val="20"/>
              </w:rPr>
              <w:t>00</w:t>
            </w:r>
            <w:r>
              <w:rPr>
                <w:rFonts w:ascii="Calibri" w:hAnsi="Calibri" w:cs="Calibri"/>
                <w:sz w:val="20"/>
                <w:szCs w:val="20"/>
              </w:rPr>
              <w:t>)</w:t>
            </w:r>
          </w:p>
        </w:tc>
      </w:tr>
      <w:tr w:rsidR="00B26691" w:rsidRPr="00B672D5" w14:paraId="764209CA"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94C6A3D"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0" w:type="auto"/>
            <w:tcBorders>
              <w:top w:val="nil"/>
              <w:left w:val="nil"/>
              <w:bottom w:val="nil"/>
              <w:right w:val="nil"/>
            </w:tcBorders>
            <w:shd w:val="clear" w:color="auto" w:fill="auto"/>
            <w:noWrap/>
            <w:vAlign w:val="bottom"/>
          </w:tcPr>
          <w:p w14:paraId="73945C7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.00287</w:t>
            </w:r>
          </w:p>
        </w:tc>
        <w:tc>
          <w:tcPr>
            <w:tcW w:w="0" w:type="auto"/>
            <w:tcBorders>
              <w:top w:val="nil"/>
              <w:left w:val="nil"/>
              <w:bottom w:val="nil"/>
              <w:right w:val="nil"/>
            </w:tcBorders>
            <w:shd w:val="clear" w:color="auto" w:fill="auto"/>
            <w:noWrap/>
            <w:vAlign w:val="bottom"/>
          </w:tcPr>
          <w:p w14:paraId="1DACCEF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.00638*</w:t>
            </w:r>
          </w:p>
        </w:tc>
        <w:tc>
          <w:tcPr>
            <w:tcW w:w="0" w:type="auto"/>
            <w:tcBorders>
              <w:top w:val="nil"/>
              <w:left w:val="nil"/>
              <w:bottom w:val="nil"/>
              <w:right w:val="nil"/>
            </w:tcBorders>
            <w:shd w:val="clear" w:color="auto" w:fill="auto"/>
            <w:noWrap/>
            <w:vAlign w:val="bottom"/>
          </w:tcPr>
          <w:p w14:paraId="098CFCB4"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.00281</w:t>
            </w:r>
          </w:p>
        </w:tc>
        <w:tc>
          <w:tcPr>
            <w:tcW w:w="0" w:type="auto"/>
            <w:tcBorders>
              <w:top w:val="nil"/>
              <w:left w:val="nil"/>
              <w:bottom w:val="nil"/>
              <w:right w:val="nil"/>
            </w:tcBorders>
            <w:shd w:val="clear" w:color="auto" w:fill="auto"/>
            <w:noWrap/>
            <w:vAlign w:val="bottom"/>
          </w:tcPr>
          <w:p w14:paraId="00C73B7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-.00302</w:t>
            </w:r>
          </w:p>
        </w:tc>
      </w:tr>
      <w:tr w:rsidR="00B26691" w:rsidRPr="00B672D5" w14:paraId="21BA8CC1"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E7E935A"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8E7CA9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(.00534)</w:t>
            </w:r>
          </w:p>
        </w:tc>
        <w:tc>
          <w:tcPr>
            <w:tcW w:w="0" w:type="auto"/>
            <w:tcBorders>
              <w:top w:val="nil"/>
              <w:left w:val="nil"/>
              <w:bottom w:val="nil"/>
              <w:right w:val="nil"/>
            </w:tcBorders>
            <w:shd w:val="clear" w:color="auto" w:fill="auto"/>
            <w:noWrap/>
            <w:vAlign w:val="bottom"/>
          </w:tcPr>
          <w:p w14:paraId="2F532BF1"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(.00327)</w:t>
            </w:r>
          </w:p>
        </w:tc>
        <w:tc>
          <w:tcPr>
            <w:tcW w:w="0" w:type="auto"/>
            <w:tcBorders>
              <w:top w:val="nil"/>
              <w:left w:val="nil"/>
              <w:bottom w:val="nil"/>
              <w:right w:val="nil"/>
            </w:tcBorders>
            <w:shd w:val="clear" w:color="auto" w:fill="auto"/>
            <w:noWrap/>
            <w:vAlign w:val="bottom"/>
          </w:tcPr>
          <w:p w14:paraId="24C97B6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(.00261)</w:t>
            </w:r>
          </w:p>
        </w:tc>
        <w:tc>
          <w:tcPr>
            <w:tcW w:w="0" w:type="auto"/>
            <w:tcBorders>
              <w:top w:val="nil"/>
              <w:left w:val="nil"/>
              <w:bottom w:val="nil"/>
              <w:right w:val="nil"/>
            </w:tcBorders>
            <w:shd w:val="clear" w:color="auto" w:fill="auto"/>
            <w:noWrap/>
            <w:vAlign w:val="bottom"/>
          </w:tcPr>
          <w:p w14:paraId="60907A8E"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(.00226)</w:t>
            </w:r>
          </w:p>
        </w:tc>
      </w:tr>
      <w:tr w:rsidR="00B26691" w:rsidRPr="00B672D5" w14:paraId="49D79219"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CB68290"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0" w:type="auto"/>
            <w:tcBorders>
              <w:top w:val="nil"/>
              <w:left w:val="nil"/>
              <w:bottom w:val="nil"/>
              <w:right w:val="nil"/>
            </w:tcBorders>
            <w:shd w:val="clear" w:color="auto" w:fill="auto"/>
            <w:noWrap/>
            <w:vAlign w:val="bottom"/>
          </w:tcPr>
          <w:p w14:paraId="50BB7580"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.0226***</w:t>
            </w:r>
          </w:p>
        </w:tc>
        <w:tc>
          <w:tcPr>
            <w:tcW w:w="0" w:type="auto"/>
            <w:tcBorders>
              <w:top w:val="nil"/>
              <w:left w:val="nil"/>
              <w:bottom w:val="nil"/>
              <w:right w:val="nil"/>
            </w:tcBorders>
            <w:shd w:val="clear" w:color="auto" w:fill="auto"/>
            <w:noWrap/>
            <w:vAlign w:val="bottom"/>
          </w:tcPr>
          <w:p w14:paraId="42978944"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.00471***</w:t>
            </w:r>
          </w:p>
        </w:tc>
        <w:tc>
          <w:tcPr>
            <w:tcW w:w="0" w:type="auto"/>
            <w:tcBorders>
              <w:top w:val="nil"/>
              <w:left w:val="nil"/>
              <w:bottom w:val="nil"/>
              <w:right w:val="nil"/>
            </w:tcBorders>
            <w:shd w:val="clear" w:color="auto" w:fill="auto"/>
            <w:noWrap/>
            <w:vAlign w:val="bottom"/>
          </w:tcPr>
          <w:p w14:paraId="4A79C068"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-.00602***</w:t>
            </w:r>
          </w:p>
        </w:tc>
        <w:tc>
          <w:tcPr>
            <w:tcW w:w="0" w:type="auto"/>
            <w:tcBorders>
              <w:top w:val="nil"/>
              <w:left w:val="nil"/>
              <w:bottom w:val="nil"/>
              <w:right w:val="nil"/>
            </w:tcBorders>
            <w:shd w:val="clear" w:color="auto" w:fill="auto"/>
            <w:noWrap/>
            <w:vAlign w:val="bottom"/>
          </w:tcPr>
          <w:p w14:paraId="3BD7334B"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-.0108***</w:t>
            </w:r>
          </w:p>
        </w:tc>
      </w:tr>
      <w:tr w:rsidR="00B26691" w:rsidRPr="00B672D5" w14:paraId="405ED9A5"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E0C985B"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43DBBA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(.0029</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F5461A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(.00106)</w:t>
            </w:r>
          </w:p>
        </w:tc>
        <w:tc>
          <w:tcPr>
            <w:tcW w:w="0" w:type="auto"/>
            <w:tcBorders>
              <w:top w:val="nil"/>
              <w:left w:val="nil"/>
              <w:bottom w:val="nil"/>
              <w:right w:val="nil"/>
            </w:tcBorders>
            <w:shd w:val="clear" w:color="auto" w:fill="auto"/>
            <w:noWrap/>
            <w:vAlign w:val="bottom"/>
          </w:tcPr>
          <w:p w14:paraId="63337D90"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(.000599)</w:t>
            </w:r>
          </w:p>
        </w:tc>
        <w:tc>
          <w:tcPr>
            <w:tcW w:w="0" w:type="auto"/>
            <w:tcBorders>
              <w:top w:val="nil"/>
              <w:left w:val="nil"/>
              <w:bottom w:val="nil"/>
              <w:right w:val="nil"/>
            </w:tcBorders>
            <w:shd w:val="clear" w:color="auto" w:fill="auto"/>
            <w:noWrap/>
            <w:vAlign w:val="bottom"/>
          </w:tcPr>
          <w:p w14:paraId="4964F02D"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(.000437)</w:t>
            </w:r>
          </w:p>
        </w:tc>
      </w:tr>
      <w:tr w:rsidR="00B26691" w:rsidRPr="00B672D5" w14:paraId="3E8E78F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1D06CFB"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0" w:type="auto"/>
            <w:tcBorders>
              <w:top w:val="nil"/>
              <w:left w:val="nil"/>
              <w:bottom w:val="nil"/>
              <w:right w:val="nil"/>
            </w:tcBorders>
            <w:shd w:val="clear" w:color="auto" w:fill="auto"/>
            <w:noWrap/>
            <w:vAlign w:val="bottom"/>
          </w:tcPr>
          <w:p w14:paraId="03F18B1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-.0462***</w:t>
            </w:r>
          </w:p>
        </w:tc>
        <w:tc>
          <w:tcPr>
            <w:tcW w:w="0" w:type="auto"/>
            <w:tcBorders>
              <w:top w:val="nil"/>
              <w:left w:val="nil"/>
              <w:bottom w:val="nil"/>
              <w:right w:val="nil"/>
            </w:tcBorders>
            <w:shd w:val="clear" w:color="auto" w:fill="auto"/>
            <w:noWrap/>
            <w:vAlign w:val="bottom"/>
          </w:tcPr>
          <w:p w14:paraId="6471A3C8"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-.066</w:t>
            </w:r>
            <w:r w:rsidR="00C364B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6A512DC"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-.0741***</w:t>
            </w:r>
          </w:p>
        </w:tc>
        <w:tc>
          <w:tcPr>
            <w:tcW w:w="0" w:type="auto"/>
            <w:tcBorders>
              <w:top w:val="nil"/>
              <w:left w:val="nil"/>
              <w:bottom w:val="nil"/>
              <w:right w:val="nil"/>
            </w:tcBorders>
            <w:shd w:val="clear" w:color="auto" w:fill="auto"/>
            <w:noWrap/>
            <w:vAlign w:val="bottom"/>
          </w:tcPr>
          <w:p w14:paraId="35D16EA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-.0755***</w:t>
            </w:r>
          </w:p>
        </w:tc>
      </w:tr>
      <w:tr w:rsidR="00B26691" w:rsidRPr="00B672D5" w14:paraId="5DBD2A61"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AC4AC4B" w14:textId="77777777" w:rsidR="00B26691" w:rsidRPr="00B672D5" w:rsidRDefault="00B26691"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612BB65"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(.0179)</w:t>
            </w:r>
          </w:p>
        </w:tc>
        <w:tc>
          <w:tcPr>
            <w:tcW w:w="0" w:type="auto"/>
            <w:tcBorders>
              <w:top w:val="nil"/>
              <w:left w:val="nil"/>
              <w:bottom w:val="nil"/>
              <w:right w:val="nil"/>
            </w:tcBorders>
            <w:shd w:val="clear" w:color="auto" w:fill="auto"/>
            <w:noWrap/>
            <w:vAlign w:val="bottom"/>
          </w:tcPr>
          <w:p w14:paraId="77ABFF29"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(.0111)</w:t>
            </w:r>
          </w:p>
        </w:tc>
        <w:tc>
          <w:tcPr>
            <w:tcW w:w="0" w:type="auto"/>
            <w:tcBorders>
              <w:top w:val="nil"/>
              <w:left w:val="nil"/>
              <w:bottom w:val="nil"/>
              <w:right w:val="nil"/>
            </w:tcBorders>
            <w:shd w:val="clear" w:color="auto" w:fill="auto"/>
            <w:noWrap/>
            <w:vAlign w:val="bottom"/>
          </w:tcPr>
          <w:p w14:paraId="1C68B032"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(.00937)</w:t>
            </w:r>
          </w:p>
        </w:tc>
        <w:tc>
          <w:tcPr>
            <w:tcW w:w="0" w:type="auto"/>
            <w:tcBorders>
              <w:top w:val="nil"/>
              <w:left w:val="nil"/>
              <w:bottom w:val="nil"/>
              <w:right w:val="nil"/>
            </w:tcBorders>
            <w:shd w:val="clear" w:color="auto" w:fill="auto"/>
            <w:noWrap/>
            <w:vAlign w:val="bottom"/>
          </w:tcPr>
          <w:p w14:paraId="773C4201" w14:textId="77777777" w:rsidR="00B26691" w:rsidRPr="00533AA5"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(.00849)</w:t>
            </w:r>
          </w:p>
        </w:tc>
      </w:tr>
      <w:tr w:rsidR="00B26691" w:rsidRPr="00B672D5" w14:paraId="0180E075"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D0FBB8E" w14:textId="77777777" w:rsidR="00B26691" w:rsidRPr="00B672D5" w:rsidRDefault="00B26691"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F9B1B24" w14:textId="77777777" w:rsidR="00B26691" w:rsidRPr="00533AA5"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C6D04C7" w14:textId="77777777" w:rsidR="00B26691" w:rsidRPr="00533AA5"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D5D11D3" w14:textId="77777777" w:rsidR="00B26691" w:rsidRPr="00533AA5"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68182BA" w14:textId="77777777" w:rsidR="00B26691" w:rsidRPr="00533AA5" w:rsidRDefault="00B26691" w:rsidP="009D6779">
            <w:pPr>
              <w:spacing w:after="0" w:line="240" w:lineRule="auto"/>
              <w:contextualSpacing/>
              <w:jc w:val="center"/>
              <w:rPr>
                <w:rFonts w:ascii="Calibri" w:eastAsia="Times New Roman" w:hAnsi="Calibri" w:cs="Calibri"/>
                <w:sz w:val="20"/>
                <w:szCs w:val="20"/>
              </w:rPr>
            </w:pPr>
          </w:p>
        </w:tc>
      </w:tr>
      <w:tr w:rsidR="00B26691" w:rsidRPr="00B672D5" w14:paraId="0DD7257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82F9589" w14:textId="77777777" w:rsidR="00B26691" w:rsidRPr="00B672D5" w:rsidRDefault="00B26691"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Observations</w:t>
            </w:r>
          </w:p>
        </w:tc>
        <w:tc>
          <w:tcPr>
            <w:tcW w:w="0" w:type="auto"/>
            <w:tcBorders>
              <w:top w:val="nil"/>
              <w:left w:val="nil"/>
              <w:bottom w:val="nil"/>
              <w:right w:val="nil"/>
            </w:tcBorders>
            <w:shd w:val="clear" w:color="auto" w:fill="auto"/>
            <w:noWrap/>
            <w:vAlign w:val="bottom"/>
          </w:tcPr>
          <w:p w14:paraId="648888FA"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1,504,889</w:t>
            </w:r>
          </w:p>
        </w:tc>
        <w:tc>
          <w:tcPr>
            <w:tcW w:w="0" w:type="auto"/>
            <w:tcBorders>
              <w:top w:val="nil"/>
              <w:left w:val="nil"/>
              <w:bottom w:val="nil"/>
              <w:right w:val="nil"/>
            </w:tcBorders>
            <w:shd w:val="clear" w:color="auto" w:fill="auto"/>
            <w:noWrap/>
            <w:vAlign w:val="bottom"/>
          </w:tcPr>
          <w:p w14:paraId="64FBCCD0"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2,561,652</w:t>
            </w:r>
          </w:p>
        </w:tc>
        <w:tc>
          <w:tcPr>
            <w:tcW w:w="0" w:type="auto"/>
            <w:tcBorders>
              <w:top w:val="nil"/>
              <w:left w:val="nil"/>
              <w:bottom w:val="nil"/>
              <w:right w:val="nil"/>
            </w:tcBorders>
            <w:shd w:val="clear" w:color="auto" w:fill="auto"/>
            <w:noWrap/>
            <w:vAlign w:val="bottom"/>
          </w:tcPr>
          <w:p w14:paraId="2AED3A48"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3,312,983</w:t>
            </w:r>
          </w:p>
        </w:tc>
        <w:tc>
          <w:tcPr>
            <w:tcW w:w="0" w:type="auto"/>
            <w:tcBorders>
              <w:top w:val="nil"/>
              <w:left w:val="nil"/>
              <w:bottom w:val="nil"/>
              <w:right w:val="nil"/>
            </w:tcBorders>
            <w:shd w:val="clear" w:color="auto" w:fill="auto"/>
            <w:noWrap/>
            <w:vAlign w:val="bottom"/>
          </w:tcPr>
          <w:p w14:paraId="69E19327"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3,853,779</w:t>
            </w:r>
          </w:p>
        </w:tc>
      </w:tr>
      <w:tr w:rsidR="00B26691" w:rsidRPr="00B672D5" w14:paraId="2FA792F4"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1C45DEF" w14:textId="77777777" w:rsidR="00B26691" w:rsidRPr="00B672D5" w:rsidRDefault="00B26691"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Clusters</w:t>
            </w:r>
          </w:p>
        </w:tc>
        <w:tc>
          <w:tcPr>
            <w:tcW w:w="0" w:type="auto"/>
            <w:tcBorders>
              <w:top w:val="nil"/>
              <w:left w:val="nil"/>
              <w:bottom w:val="nil"/>
              <w:right w:val="nil"/>
            </w:tcBorders>
            <w:shd w:val="clear" w:color="auto" w:fill="auto"/>
            <w:noWrap/>
            <w:vAlign w:val="bottom"/>
          </w:tcPr>
          <w:p w14:paraId="3554534C"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122,681</w:t>
            </w:r>
          </w:p>
        </w:tc>
        <w:tc>
          <w:tcPr>
            <w:tcW w:w="0" w:type="auto"/>
            <w:tcBorders>
              <w:top w:val="nil"/>
              <w:left w:val="nil"/>
              <w:bottom w:val="nil"/>
              <w:right w:val="nil"/>
            </w:tcBorders>
            <w:shd w:val="clear" w:color="auto" w:fill="auto"/>
            <w:noWrap/>
            <w:vAlign w:val="bottom"/>
          </w:tcPr>
          <w:p w14:paraId="7F0C4A4B"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122,681</w:t>
            </w:r>
          </w:p>
        </w:tc>
        <w:tc>
          <w:tcPr>
            <w:tcW w:w="0" w:type="auto"/>
            <w:tcBorders>
              <w:top w:val="nil"/>
              <w:left w:val="nil"/>
              <w:bottom w:val="nil"/>
              <w:right w:val="nil"/>
            </w:tcBorders>
            <w:shd w:val="clear" w:color="auto" w:fill="auto"/>
            <w:noWrap/>
            <w:vAlign w:val="bottom"/>
          </w:tcPr>
          <w:p w14:paraId="158B2E96"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122,681</w:t>
            </w:r>
          </w:p>
        </w:tc>
        <w:tc>
          <w:tcPr>
            <w:tcW w:w="0" w:type="auto"/>
            <w:tcBorders>
              <w:top w:val="nil"/>
              <w:left w:val="nil"/>
              <w:bottom w:val="nil"/>
              <w:right w:val="nil"/>
            </w:tcBorders>
            <w:shd w:val="clear" w:color="auto" w:fill="auto"/>
            <w:noWrap/>
            <w:vAlign w:val="bottom"/>
          </w:tcPr>
          <w:p w14:paraId="1786F667"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122,681</w:t>
            </w:r>
          </w:p>
        </w:tc>
      </w:tr>
      <w:tr w:rsidR="00B26691" w:rsidRPr="00B672D5" w14:paraId="3D6A93D5"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hideMark/>
          </w:tcPr>
          <w:p w14:paraId="4ABD63B2" w14:textId="77777777" w:rsidR="00B26691" w:rsidRPr="00B672D5" w:rsidRDefault="00B26691" w:rsidP="009D6779">
            <w:pPr>
              <w:spacing w:after="0" w:line="240" w:lineRule="auto"/>
              <w:contextualSpacing/>
              <w:rPr>
                <w:rFonts w:ascii="Calibri" w:eastAsia="Times New Roman" w:hAnsi="Calibri" w:cs="Calibri"/>
                <w:sz w:val="20"/>
                <w:szCs w:val="20"/>
                <w:vertAlign w:val="superscript"/>
              </w:rPr>
            </w:pPr>
            <w:r w:rsidRPr="00B672D5">
              <w:rPr>
                <w:rFonts w:ascii="Calibri" w:eastAsia="Times New Roman" w:hAnsi="Calibri" w:cs="Calibri"/>
                <w:sz w:val="20"/>
                <w:szCs w:val="20"/>
              </w:rPr>
              <w:t>Pseudo R</w:t>
            </w:r>
            <w:r>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tcPr>
          <w:p w14:paraId="5EA68153"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0.105</w:t>
            </w:r>
          </w:p>
        </w:tc>
        <w:tc>
          <w:tcPr>
            <w:tcW w:w="0" w:type="auto"/>
            <w:tcBorders>
              <w:top w:val="nil"/>
              <w:left w:val="nil"/>
              <w:bottom w:val="single" w:sz="4" w:space="0" w:color="auto"/>
              <w:right w:val="nil"/>
            </w:tcBorders>
            <w:shd w:val="clear" w:color="auto" w:fill="auto"/>
            <w:noWrap/>
            <w:vAlign w:val="bottom"/>
          </w:tcPr>
          <w:p w14:paraId="34BC28F1"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0.095</w:t>
            </w:r>
          </w:p>
        </w:tc>
        <w:tc>
          <w:tcPr>
            <w:tcW w:w="0" w:type="auto"/>
            <w:tcBorders>
              <w:top w:val="nil"/>
              <w:left w:val="nil"/>
              <w:bottom w:val="single" w:sz="4" w:space="0" w:color="auto"/>
              <w:right w:val="nil"/>
            </w:tcBorders>
            <w:shd w:val="clear" w:color="auto" w:fill="auto"/>
            <w:noWrap/>
            <w:vAlign w:val="bottom"/>
          </w:tcPr>
          <w:p w14:paraId="317B6C96"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0.079</w:t>
            </w:r>
          </w:p>
        </w:tc>
        <w:tc>
          <w:tcPr>
            <w:tcW w:w="0" w:type="auto"/>
            <w:tcBorders>
              <w:top w:val="nil"/>
              <w:left w:val="nil"/>
              <w:bottom w:val="single" w:sz="4" w:space="0" w:color="auto"/>
              <w:right w:val="nil"/>
            </w:tcBorders>
            <w:shd w:val="clear" w:color="auto" w:fill="auto"/>
            <w:noWrap/>
            <w:vAlign w:val="bottom"/>
          </w:tcPr>
          <w:p w14:paraId="67017175" w14:textId="77777777" w:rsidR="00B26691" w:rsidRPr="00533AA5"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0.069</w:t>
            </w:r>
          </w:p>
        </w:tc>
      </w:tr>
    </w:tbl>
    <w:p w14:paraId="3CB635A9" w14:textId="77777777" w:rsidR="00FD4CDF" w:rsidRDefault="00FD4CDF" w:rsidP="009D6779">
      <w:pPr>
        <w:spacing w:after="0"/>
        <w:contextualSpacing/>
      </w:pPr>
      <w:r>
        <w:br w:type="page"/>
      </w:r>
    </w:p>
    <w:p w14:paraId="353561B9" w14:textId="74BBC98A" w:rsidR="00FD4CDF" w:rsidRDefault="00B43B68" w:rsidP="004C757C">
      <w:pPr>
        <w:spacing w:after="0"/>
        <w:contextualSpacing/>
      </w:pPr>
      <w:r>
        <w:rPr>
          <w:b/>
        </w:rPr>
        <w:lastRenderedPageBreak/>
        <w:t>Table A</w:t>
      </w:r>
      <w:r w:rsidR="00DC4756">
        <w:rPr>
          <w:b/>
        </w:rPr>
        <w:t>8</w:t>
      </w:r>
    </w:p>
    <w:p w14:paraId="5BF2BB11" w14:textId="7F1AE646" w:rsidR="003520CC" w:rsidRDefault="00FD4CDF" w:rsidP="003520CC">
      <w:pPr>
        <w:spacing w:after="0"/>
        <w:contextualSpacing/>
      </w:pPr>
      <w:r>
        <w:t xml:space="preserve">Multinomial logit regressions based on monthly observations of first-lien, conventional, amortizing (non-balloon, non-interest only), fixed-rate mortgages for purchases of single-family residences or condominiums in Maryland and Virginia originated by nonbank originators between 2000 and 2015.  The sample is restricted to only subprime mortgages (defined as those originated to borrowers with a FICO score of 660 or less).  </w:t>
      </w:r>
      <w:r w:rsidR="00847A0D">
        <w:t>T</w:t>
      </w:r>
      <w:r>
        <w:t xml:space="preserve">he sample is restricted to only mortgages originated by lenders that originated at least one mortgage before the policy change and at least one mortgage after the policy change (as in Table </w:t>
      </w:r>
      <w:r w:rsidR="005C7B9C">
        <w:t>5</w:t>
      </w:r>
      <w:r>
        <w:t xml:space="preserve">).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003520CC" w:rsidRPr="00EB01F8">
        <w:rPr>
          <w:i/>
        </w:rPr>
        <w:t>FICO</w:t>
      </w:r>
      <w:r w:rsidR="003520CC">
        <w:t xml:space="preserve"> is the borrower’s FICO score at origination.  </w:t>
      </w:r>
      <w:r w:rsidR="003520CC" w:rsidRPr="00EB01F8">
        <w:rPr>
          <w:i/>
        </w:rPr>
        <w:t>CLTV</w:t>
      </w:r>
      <w:r w:rsidR="003520CC">
        <w:t xml:space="preserve"> is the current loan balance divided by the current home value, where current home value is estimated as (1 + house price appreciation since origination) multiplied by the loan amount at origination divided by LTV at origination.  House price appreciation for </w:t>
      </w:r>
      <w:r w:rsidR="003520CC">
        <w:rPr>
          <w:i/>
        </w:rPr>
        <w:t>CLTV</w:t>
      </w:r>
      <w:r w:rsidR="003520CC">
        <w:t xml:space="preserve"> is measured by the CoreLogic Solutions county-level monthly house price index.  </w:t>
      </w:r>
      <w:r w:rsidR="003520CC" w:rsidRPr="000E12EE">
        <w:rPr>
          <w:i/>
        </w:rPr>
        <w:t>LoanAge</w:t>
      </w:r>
      <w:r w:rsidR="003520CC">
        <w:t xml:space="preserve"> is the number of months since origination.  </w:t>
      </w:r>
      <w:r w:rsidR="003520CC" w:rsidRPr="005B6422">
        <w:rPr>
          <w:i/>
        </w:rPr>
        <w:t>RefiPenalty</w:t>
      </w:r>
      <w:r w:rsidR="003520CC">
        <w:t xml:space="preserve"> is the change in the PMMS rate since origination.  </w:t>
      </w:r>
      <w:r w:rsidR="003520CC" w:rsidRPr="006879D3">
        <w:rPr>
          <w:i/>
        </w:rPr>
        <w:t>InterestGap</w:t>
      </w:r>
      <w:r w:rsidR="003520CC">
        <w:t xml:space="preserve"> is the difference between the mortgage interest rate at origination and the PMMS rate for the origination month.  </w:t>
      </w:r>
      <w:r w:rsidR="003520CC" w:rsidRPr="006879D3">
        <w:rPr>
          <w:i/>
        </w:rPr>
        <w:t>RelLoanSize</w:t>
      </w:r>
      <w:r w:rsidR="003520CC">
        <w:t xml:space="preserve"> is the loan amount at origination divided by the average loan amount for originations in the same vintage year and county.  </w:t>
      </w:r>
      <w:r w:rsidR="003520CC" w:rsidRPr="00EB01F8">
        <w:rPr>
          <w:i/>
        </w:rPr>
        <w:t>Unemployment</w:t>
      </w:r>
      <w:r w:rsidR="003520CC">
        <w:t xml:space="preserve"> is the monthly percentage change in the state-level unemployment rate.  </w:t>
      </w:r>
      <w:r w:rsidR="003520CC" w:rsidRPr="00EB01F8">
        <w:rPr>
          <w:i/>
        </w:rPr>
        <w:t>HPI</w:t>
      </w:r>
      <w:r w:rsidR="003520CC">
        <w:t xml:space="preserve"> is the percent change in quarterly FHFA state-level house price index since origination.  </w:t>
      </w:r>
      <w:r w:rsidR="003520CC" w:rsidRPr="001A09E2">
        <w:rPr>
          <w:i/>
        </w:rPr>
        <w:t>Condo</w:t>
      </w:r>
      <w:r w:rsidR="003520CC">
        <w:t xml:space="preserve"> is an indicator variable equaling one if the property is a condominium or townhouse and equaling zero if the property is a single family residence.  Each coefficient estimate represents the effect on the probability of default or prepayment, relative to the probability of the mortgage remaining current, of a one-unit change in the corresponding variable.  Vintage year indicators and a constant term are included in each specification.  Standard errors, clustered by loan, appear in parentheses</w:t>
      </w:r>
      <w:r w:rsidR="003520CC" w:rsidRPr="00957138">
        <w:t xml:space="preserve">.  </w:t>
      </w:r>
      <w:r w:rsidR="003520CC">
        <w:t>Levels of significance are indicated by *, **, and *** for 10%, 5%, and 1%, respectively.</w:t>
      </w:r>
    </w:p>
    <w:p w14:paraId="09FF523F" w14:textId="77777777" w:rsidR="00FD4CDF" w:rsidRDefault="00FD4CDF" w:rsidP="009D6779">
      <w:pPr>
        <w:spacing w:after="0"/>
        <w:contextualSpacing/>
      </w:pPr>
    </w:p>
    <w:tbl>
      <w:tblPr>
        <w:tblW w:w="9874" w:type="dxa"/>
        <w:tblLook w:val="04A0" w:firstRow="1" w:lastRow="0" w:firstColumn="1" w:lastColumn="0" w:noHBand="0" w:noVBand="1"/>
      </w:tblPr>
      <w:tblGrid>
        <w:gridCol w:w="1587"/>
        <w:gridCol w:w="262"/>
        <w:gridCol w:w="1235"/>
        <w:gridCol w:w="1235"/>
        <w:gridCol w:w="1235"/>
        <w:gridCol w:w="262"/>
        <w:gridCol w:w="1337"/>
        <w:gridCol w:w="1337"/>
        <w:gridCol w:w="1384"/>
      </w:tblGrid>
      <w:tr w:rsidR="006454E1" w:rsidRPr="006E6122" w14:paraId="2BE9CFEC" w14:textId="77777777" w:rsidTr="006751BB">
        <w:trPr>
          <w:trHeight w:val="255"/>
        </w:trPr>
        <w:tc>
          <w:tcPr>
            <w:tcW w:w="0" w:type="auto"/>
            <w:tcBorders>
              <w:top w:val="single" w:sz="4" w:space="0" w:color="auto"/>
              <w:left w:val="nil"/>
              <w:bottom w:val="nil"/>
              <w:right w:val="nil"/>
            </w:tcBorders>
            <w:shd w:val="clear" w:color="auto" w:fill="auto"/>
            <w:noWrap/>
            <w:vAlign w:val="bottom"/>
            <w:hideMark/>
          </w:tcPr>
          <w:p w14:paraId="2302F0EA"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single" w:sz="4" w:space="0" w:color="auto"/>
              <w:left w:val="nil"/>
              <w:bottom w:val="nil"/>
              <w:right w:val="nil"/>
            </w:tcBorders>
            <w:shd w:val="clear" w:color="auto" w:fill="auto"/>
            <w:noWrap/>
            <w:vAlign w:val="bottom"/>
            <w:hideMark/>
          </w:tcPr>
          <w:p w14:paraId="42E0F30F"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gridSpan w:val="3"/>
            <w:tcBorders>
              <w:top w:val="single" w:sz="4" w:space="0" w:color="auto"/>
              <w:left w:val="nil"/>
              <w:right w:val="nil"/>
            </w:tcBorders>
            <w:shd w:val="clear" w:color="auto" w:fill="auto"/>
            <w:noWrap/>
            <w:vAlign w:val="bottom"/>
            <w:hideMark/>
          </w:tcPr>
          <w:p w14:paraId="4AD96D2D" w14:textId="77777777" w:rsidR="006454E1" w:rsidRPr="006E6122" w:rsidRDefault="006454E1" w:rsidP="009D6779">
            <w:pPr>
              <w:spacing w:after="0" w:line="240" w:lineRule="auto"/>
              <w:contextualSpacing/>
              <w:jc w:val="center"/>
              <w:rPr>
                <w:rFonts w:ascii="Calibri" w:eastAsia="Times New Roman" w:hAnsi="Calibri" w:cs="Calibri"/>
              </w:rPr>
            </w:pPr>
            <w:r w:rsidRPr="006E6122">
              <w:rPr>
                <w:rFonts w:ascii="Calibri" w:eastAsia="Times New Roman" w:hAnsi="Calibri" w:cs="Calibri"/>
              </w:rPr>
              <w:t>Probability of default</w:t>
            </w:r>
          </w:p>
        </w:tc>
        <w:tc>
          <w:tcPr>
            <w:tcW w:w="0" w:type="auto"/>
            <w:tcBorders>
              <w:top w:val="single" w:sz="4" w:space="0" w:color="auto"/>
              <w:left w:val="nil"/>
              <w:right w:val="nil"/>
            </w:tcBorders>
            <w:shd w:val="clear" w:color="auto" w:fill="auto"/>
            <w:noWrap/>
            <w:vAlign w:val="bottom"/>
            <w:hideMark/>
          </w:tcPr>
          <w:p w14:paraId="123E3250"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4058" w:type="dxa"/>
            <w:gridSpan w:val="3"/>
            <w:tcBorders>
              <w:top w:val="single" w:sz="4" w:space="0" w:color="auto"/>
              <w:left w:val="nil"/>
              <w:right w:val="nil"/>
            </w:tcBorders>
            <w:shd w:val="clear" w:color="auto" w:fill="auto"/>
            <w:noWrap/>
            <w:vAlign w:val="bottom"/>
            <w:hideMark/>
          </w:tcPr>
          <w:p w14:paraId="771CEE2B" w14:textId="77777777" w:rsidR="006454E1" w:rsidRPr="006E6122" w:rsidRDefault="006454E1" w:rsidP="009D6779">
            <w:pPr>
              <w:spacing w:after="0" w:line="240" w:lineRule="auto"/>
              <w:contextualSpacing/>
              <w:jc w:val="center"/>
              <w:rPr>
                <w:rFonts w:ascii="Calibri" w:eastAsia="Times New Roman" w:hAnsi="Calibri" w:cs="Calibri"/>
              </w:rPr>
            </w:pPr>
            <w:r w:rsidRPr="006E6122">
              <w:rPr>
                <w:rFonts w:ascii="Calibri" w:eastAsia="Times New Roman" w:hAnsi="Calibri" w:cs="Calibri"/>
              </w:rPr>
              <w:t>Probability of prepayment</w:t>
            </w:r>
          </w:p>
        </w:tc>
      </w:tr>
      <w:tr w:rsidR="006454E1" w:rsidRPr="006E6122" w14:paraId="6A12B5EE" w14:textId="77777777" w:rsidTr="006751BB">
        <w:trPr>
          <w:trHeight w:val="255"/>
        </w:trPr>
        <w:tc>
          <w:tcPr>
            <w:tcW w:w="0" w:type="auto"/>
            <w:tcBorders>
              <w:top w:val="nil"/>
              <w:left w:val="nil"/>
              <w:bottom w:val="nil"/>
              <w:right w:val="nil"/>
            </w:tcBorders>
            <w:shd w:val="clear" w:color="auto" w:fill="auto"/>
            <w:noWrap/>
            <w:vAlign w:val="bottom"/>
            <w:hideMark/>
          </w:tcPr>
          <w:p w14:paraId="43DA6494"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2C51656C"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left w:val="nil"/>
              <w:bottom w:val="single" w:sz="4" w:space="0" w:color="auto"/>
              <w:right w:val="nil"/>
            </w:tcBorders>
            <w:shd w:val="clear" w:color="auto" w:fill="auto"/>
            <w:noWrap/>
            <w:vAlign w:val="bottom"/>
            <w:hideMark/>
          </w:tcPr>
          <w:p w14:paraId="49ACAA0A"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(1)</w:t>
            </w:r>
          </w:p>
        </w:tc>
        <w:tc>
          <w:tcPr>
            <w:tcW w:w="0" w:type="auto"/>
            <w:tcBorders>
              <w:left w:val="nil"/>
              <w:bottom w:val="single" w:sz="4" w:space="0" w:color="auto"/>
              <w:right w:val="nil"/>
            </w:tcBorders>
            <w:shd w:val="clear" w:color="auto" w:fill="auto"/>
            <w:noWrap/>
            <w:vAlign w:val="center"/>
            <w:hideMark/>
          </w:tcPr>
          <w:p w14:paraId="00041841"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w:t>
            </w:r>
          </w:p>
        </w:tc>
        <w:tc>
          <w:tcPr>
            <w:tcW w:w="0" w:type="auto"/>
            <w:tcBorders>
              <w:left w:val="nil"/>
              <w:bottom w:val="single" w:sz="4" w:space="0" w:color="auto"/>
              <w:right w:val="nil"/>
            </w:tcBorders>
            <w:shd w:val="clear" w:color="auto" w:fill="auto"/>
            <w:noWrap/>
            <w:vAlign w:val="center"/>
            <w:hideMark/>
          </w:tcPr>
          <w:p w14:paraId="38232831"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(3)</w:t>
            </w:r>
          </w:p>
        </w:tc>
        <w:tc>
          <w:tcPr>
            <w:tcW w:w="0" w:type="auto"/>
            <w:tcBorders>
              <w:left w:val="nil"/>
              <w:bottom w:val="nil"/>
              <w:right w:val="nil"/>
            </w:tcBorders>
            <w:shd w:val="clear" w:color="auto" w:fill="auto"/>
            <w:noWrap/>
            <w:vAlign w:val="center"/>
            <w:hideMark/>
          </w:tcPr>
          <w:p w14:paraId="37C9AA95"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left w:val="nil"/>
              <w:bottom w:val="single" w:sz="4" w:space="0" w:color="auto"/>
              <w:right w:val="nil"/>
            </w:tcBorders>
            <w:shd w:val="clear" w:color="auto" w:fill="auto"/>
            <w:noWrap/>
            <w:vAlign w:val="center"/>
            <w:hideMark/>
          </w:tcPr>
          <w:p w14:paraId="4EA1E21B"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(4)</w:t>
            </w:r>
          </w:p>
        </w:tc>
        <w:tc>
          <w:tcPr>
            <w:tcW w:w="0" w:type="auto"/>
            <w:tcBorders>
              <w:left w:val="nil"/>
              <w:bottom w:val="single" w:sz="4" w:space="0" w:color="auto"/>
              <w:right w:val="nil"/>
            </w:tcBorders>
            <w:shd w:val="clear" w:color="auto" w:fill="auto"/>
            <w:noWrap/>
            <w:vAlign w:val="center"/>
            <w:hideMark/>
          </w:tcPr>
          <w:p w14:paraId="336C06B1"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(5)</w:t>
            </w:r>
          </w:p>
        </w:tc>
        <w:tc>
          <w:tcPr>
            <w:tcW w:w="1384" w:type="dxa"/>
            <w:tcBorders>
              <w:left w:val="nil"/>
              <w:bottom w:val="single" w:sz="4" w:space="0" w:color="auto"/>
              <w:right w:val="nil"/>
            </w:tcBorders>
            <w:shd w:val="clear" w:color="auto" w:fill="auto"/>
            <w:noWrap/>
            <w:vAlign w:val="center"/>
            <w:hideMark/>
          </w:tcPr>
          <w:p w14:paraId="524988D2" w14:textId="77777777" w:rsidR="006454E1" w:rsidRPr="006E6122" w:rsidRDefault="006454E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(6)</w:t>
            </w:r>
          </w:p>
        </w:tc>
      </w:tr>
      <w:tr w:rsidR="00B26691" w:rsidRPr="006E6122" w14:paraId="776B29F3" w14:textId="77777777" w:rsidTr="006751BB">
        <w:trPr>
          <w:trHeight w:val="255"/>
        </w:trPr>
        <w:tc>
          <w:tcPr>
            <w:tcW w:w="0" w:type="auto"/>
            <w:tcBorders>
              <w:top w:val="nil"/>
              <w:left w:val="nil"/>
              <w:bottom w:val="nil"/>
              <w:right w:val="nil"/>
            </w:tcBorders>
            <w:shd w:val="clear" w:color="auto" w:fill="auto"/>
            <w:noWrap/>
            <w:vAlign w:val="bottom"/>
            <w:hideMark/>
          </w:tcPr>
          <w:p w14:paraId="6ADA5CE6"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nil"/>
              <w:left w:val="nil"/>
              <w:bottom w:val="nil"/>
              <w:right w:val="nil"/>
            </w:tcBorders>
            <w:shd w:val="clear" w:color="auto" w:fill="auto"/>
            <w:noWrap/>
            <w:vAlign w:val="bottom"/>
            <w:hideMark/>
          </w:tcPr>
          <w:p w14:paraId="562AE3E8"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single" w:sz="4" w:space="0" w:color="auto"/>
              <w:left w:val="nil"/>
              <w:bottom w:val="nil"/>
              <w:right w:val="nil"/>
            </w:tcBorders>
            <w:shd w:val="clear" w:color="auto" w:fill="auto"/>
            <w:noWrap/>
            <w:vAlign w:val="bottom"/>
          </w:tcPr>
          <w:p w14:paraId="46761AF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3BF54DD9"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-.0556</w:t>
            </w:r>
          </w:p>
        </w:tc>
        <w:tc>
          <w:tcPr>
            <w:tcW w:w="0" w:type="auto"/>
            <w:tcBorders>
              <w:top w:val="nil"/>
              <w:left w:val="nil"/>
              <w:bottom w:val="nil"/>
              <w:right w:val="nil"/>
            </w:tcBorders>
            <w:shd w:val="clear" w:color="auto" w:fill="auto"/>
            <w:noWrap/>
            <w:vAlign w:val="bottom"/>
          </w:tcPr>
          <w:p w14:paraId="4CB848A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-.0356</w:t>
            </w:r>
          </w:p>
        </w:tc>
        <w:tc>
          <w:tcPr>
            <w:tcW w:w="0" w:type="auto"/>
            <w:tcBorders>
              <w:top w:val="nil"/>
              <w:left w:val="nil"/>
              <w:bottom w:val="nil"/>
              <w:right w:val="nil"/>
            </w:tcBorders>
            <w:shd w:val="clear" w:color="auto" w:fill="auto"/>
            <w:noWrap/>
            <w:vAlign w:val="bottom"/>
          </w:tcPr>
          <w:p w14:paraId="54C94D0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99CA4C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196AA969"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.0603*</w:t>
            </w:r>
          </w:p>
        </w:tc>
        <w:tc>
          <w:tcPr>
            <w:tcW w:w="1384" w:type="dxa"/>
            <w:tcBorders>
              <w:top w:val="nil"/>
              <w:left w:val="nil"/>
              <w:bottom w:val="nil"/>
              <w:right w:val="nil"/>
            </w:tcBorders>
            <w:shd w:val="clear" w:color="auto" w:fill="auto"/>
            <w:noWrap/>
            <w:vAlign w:val="bottom"/>
          </w:tcPr>
          <w:p w14:paraId="2BF1D452"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.0337</w:t>
            </w:r>
          </w:p>
        </w:tc>
      </w:tr>
      <w:tr w:rsidR="00B26691" w:rsidRPr="006E6122" w14:paraId="4CC74EC4" w14:textId="77777777" w:rsidTr="006751BB">
        <w:trPr>
          <w:trHeight w:val="255"/>
        </w:trPr>
        <w:tc>
          <w:tcPr>
            <w:tcW w:w="0" w:type="auto"/>
            <w:tcBorders>
              <w:top w:val="nil"/>
              <w:left w:val="nil"/>
              <w:bottom w:val="nil"/>
              <w:right w:val="nil"/>
            </w:tcBorders>
            <w:shd w:val="clear" w:color="auto" w:fill="auto"/>
            <w:noWrap/>
            <w:vAlign w:val="bottom"/>
            <w:hideMark/>
          </w:tcPr>
          <w:p w14:paraId="65353926"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45DE59F8"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E2E5FE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5421EE7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4C64B6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(.0533)</w:t>
            </w:r>
          </w:p>
        </w:tc>
        <w:tc>
          <w:tcPr>
            <w:tcW w:w="0" w:type="auto"/>
            <w:tcBorders>
              <w:top w:val="nil"/>
              <w:left w:val="nil"/>
              <w:bottom w:val="nil"/>
              <w:right w:val="nil"/>
            </w:tcBorders>
            <w:shd w:val="clear" w:color="auto" w:fill="auto"/>
            <w:noWrap/>
            <w:vAlign w:val="bottom"/>
          </w:tcPr>
          <w:p w14:paraId="3648B2F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E07BA0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29786CC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(.0319)</w:t>
            </w:r>
          </w:p>
        </w:tc>
        <w:tc>
          <w:tcPr>
            <w:tcW w:w="1384" w:type="dxa"/>
            <w:tcBorders>
              <w:top w:val="nil"/>
              <w:left w:val="nil"/>
              <w:bottom w:val="nil"/>
              <w:right w:val="nil"/>
            </w:tcBorders>
            <w:shd w:val="clear" w:color="auto" w:fill="auto"/>
            <w:noWrap/>
            <w:vAlign w:val="bottom"/>
          </w:tcPr>
          <w:p w14:paraId="0BF18D53"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(.0349)</w:t>
            </w:r>
          </w:p>
        </w:tc>
      </w:tr>
      <w:tr w:rsidR="00B26691" w:rsidRPr="006E6122" w14:paraId="59D1C9BC" w14:textId="77777777" w:rsidTr="006751BB">
        <w:trPr>
          <w:trHeight w:val="255"/>
        </w:trPr>
        <w:tc>
          <w:tcPr>
            <w:tcW w:w="0" w:type="auto"/>
            <w:tcBorders>
              <w:top w:val="nil"/>
              <w:left w:val="nil"/>
              <w:bottom w:val="nil"/>
              <w:right w:val="nil"/>
            </w:tcBorders>
            <w:shd w:val="clear" w:color="auto" w:fill="auto"/>
            <w:noWrap/>
            <w:vAlign w:val="bottom"/>
            <w:hideMark/>
          </w:tcPr>
          <w:p w14:paraId="15259617"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hideMark/>
          </w:tcPr>
          <w:p w14:paraId="5DFB9E83"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8FCDD3C"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37C011E0"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-.465</w:t>
            </w:r>
          </w:p>
        </w:tc>
        <w:tc>
          <w:tcPr>
            <w:tcW w:w="0" w:type="auto"/>
            <w:tcBorders>
              <w:top w:val="nil"/>
              <w:left w:val="nil"/>
              <w:bottom w:val="nil"/>
              <w:right w:val="nil"/>
            </w:tcBorders>
            <w:shd w:val="clear" w:color="auto" w:fill="auto"/>
            <w:noWrap/>
            <w:vAlign w:val="bottom"/>
          </w:tcPr>
          <w:p w14:paraId="5E7A985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-.433</w:t>
            </w:r>
          </w:p>
        </w:tc>
        <w:tc>
          <w:tcPr>
            <w:tcW w:w="0" w:type="auto"/>
            <w:tcBorders>
              <w:top w:val="nil"/>
              <w:left w:val="nil"/>
              <w:bottom w:val="nil"/>
              <w:right w:val="nil"/>
            </w:tcBorders>
            <w:shd w:val="clear" w:color="auto" w:fill="auto"/>
            <w:noWrap/>
            <w:vAlign w:val="bottom"/>
          </w:tcPr>
          <w:p w14:paraId="2034076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70C7ED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056ACD1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.215</w:t>
            </w:r>
          </w:p>
        </w:tc>
        <w:tc>
          <w:tcPr>
            <w:tcW w:w="1384" w:type="dxa"/>
            <w:tcBorders>
              <w:top w:val="nil"/>
              <w:left w:val="nil"/>
              <w:bottom w:val="nil"/>
              <w:right w:val="nil"/>
            </w:tcBorders>
            <w:shd w:val="clear" w:color="auto" w:fill="auto"/>
            <w:noWrap/>
            <w:vAlign w:val="bottom"/>
          </w:tcPr>
          <w:p w14:paraId="6D4A635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.165</w:t>
            </w:r>
          </w:p>
        </w:tc>
      </w:tr>
      <w:tr w:rsidR="00B26691" w:rsidRPr="006E6122" w14:paraId="5EAD0B79" w14:textId="77777777" w:rsidTr="006751BB">
        <w:trPr>
          <w:trHeight w:val="255"/>
        </w:trPr>
        <w:tc>
          <w:tcPr>
            <w:tcW w:w="0" w:type="auto"/>
            <w:tcBorders>
              <w:top w:val="nil"/>
              <w:left w:val="nil"/>
              <w:bottom w:val="nil"/>
              <w:right w:val="nil"/>
            </w:tcBorders>
            <w:shd w:val="clear" w:color="auto" w:fill="auto"/>
            <w:noWrap/>
            <w:vAlign w:val="bottom"/>
            <w:hideMark/>
          </w:tcPr>
          <w:p w14:paraId="603515ED"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6F96FCC3"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E6BB29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54AFE88E"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(.297)</w:t>
            </w:r>
          </w:p>
        </w:tc>
        <w:tc>
          <w:tcPr>
            <w:tcW w:w="0" w:type="auto"/>
            <w:tcBorders>
              <w:top w:val="nil"/>
              <w:left w:val="nil"/>
              <w:bottom w:val="nil"/>
              <w:right w:val="nil"/>
            </w:tcBorders>
            <w:shd w:val="clear" w:color="auto" w:fill="auto"/>
            <w:noWrap/>
            <w:vAlign w:val="bottom"/>
          </w:tcPr>
          <w:p w14:paraId="7B79804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(.298)</w:t>
            </w:r>
          </w:p>
        </w:tc>
        <w:tc>
          <w:tcPr>
            <w:tcW w:w="0" w:type="auto"/>
            <w:tcBorders>
              <w:top w:val="nil"/>
              <w:left w:val="nil"/>
              <w:bottom w:val="nil"/>
              <w:right w:val="nil"/>
            </w:tcBorders>
            <w:shd w:val="clear" w:color="auto" w:fill="auto"/>
            <w:noWrap/>
            <w:vAlign w:val="bottom"/>
          </w:tcPr>
          <w:p w14:paraId="7F3B04D2"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634F530"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08AEE08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(.161)</w:t>
            </w:r>
          </w:p>
        </w:tc>
        <w:tc>
          <w:tcPr>
            <w:tcW w:w="1384" w:type="dxa"/>
            <w:tcBorders>
              <w:top w:val="nil"/>
              <w:left w:val="nil"/>
              <w:bottom w:val="nil"/>
              <w:right w:val="nil"/>
            </w:tcBorders>
            <w:shd w:val="clear" w:color="auto" w:fill="auto"/>
            <w:noWrap/>
            <w:vAlign w:val="bottom"/>
          </w:tcPr>
          <w:p w14:paraId="37E81CFE"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(.158)</w:t>
            </w:r>
          </w:p>
        </w:tc>
      </w:tr>
      <w:tr w:rsidR="00B26691" w:rsidRPr="006E6122" w14:paraId="1B5B84DD" w14:textId="77777777" w:rsidTr="006751BB">
        <w:trPr>
          <w:trHeight w:val="255"/>
        </w:trPr>
        <w:tc>
          <w:tcPr>
            <w:tcW w:w="0" w:type="auto"/>
            <w:tcBorders>
              <w:top w:val="nil"/>
              <w:left w:val="nil"/>
              <w:bottom w:val="nil"/>
              <w:right w:val="nil"/>
            </w:tcBorders>
            <w:shd w:val="clear" w:color="auto" w:fill="auto"/>
            <w:noWrap/>
            <w:vAlign w:val="bottom"/>
            <w:hideMark/>
          </w:tcPr>
          <w:p w14:paraId="2F9DFA93"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xml:space="preserve">Subsidiary * </w:t>
            </w:r>
            <w:r w:rsidR="0006500F">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hideMark/>
          </w:tcPr>
          <w:p w14:paraId="5AA2962B"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A67D560"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6C7190F9"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5BD39D23"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-.133</w:t>
            </w:r>
          </w:p>
        </w:tc>
        <w:tc>
          <w:tcPr>
            <w:tcW w:w="0" w:type="auto"/>
            <w:tcBorders>
              <w:top w:val="nil"/>
              <w:left w:val="nil"/>
              <w:bottom w:val="nil"/>
              <w:right w:val="nil"/>
            </w:tcBorders>
            <w:shd w:val="clear" w:color="auto" w:fill="auto"/>
            <w:noWrap/>
            <w:vAlign w:val="bottom"/>
          </w:tcPr>
          <w:p w14:paraId="60402B2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8C405B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331BAD5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1384" w:type="dxa"/>
            <w:tcBorders>
              <w:top w:val="nil"/>
              <w:left w:val="nil"/>
              <w:bottom w:val="nil"/>
              <w:right w:val="nil"/>
            </w:tcBorders>
            <w:shd w:val="clear" w:color="auto" w:fill="auto"/>
            <w:noWrap/>
            <w:vAlign w:val="bottom"/>
          </w:tcPr>
          <w:p w14:paraId="47D6ED54"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.235***</w:t>
            </w:r>
          </w:p>
        </w:tc>
      </w:tr>
      <w:tr w:rsidR="00B26691" w:rsidRPr="006E6122" w14:paraId="638F3154" w14:textId="77777777" w:rsidTr="006751BB">
        <w:trPr>
          <w:trHeight w:val="255"/>
        </w:trPr>
        <w:tc>
          <w:tcPr>
            <w:tcW w:w="0" w:type="auto"/>
            <w:tcBorders>
              <w:top w:val="nil"/>
              <w:left w:val="nil"/>
              <w:bottom w:val="nil"/>
              <w:right w:val="nil"/>
            </w:tcBorders>
            <w:shd w:val="clear" w:color="auto" w:fill="auto"/>
            <w:noWrap/>
            <w:vAlign w:val="bottom"/>
            <w:hideMark/>
          </w:tcPr>
          <w:p w14:paraId="2104C17E"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4E7FC2E2"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664363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1D8094D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68DB43D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(.134)</w:t>
            </w:r>
          </w:p>
        </w:tc>
        <w:tc>
          <w:tcPr>
            <w:tcW w:w="0" w:type="auto"/>
            <w:tcBorders>
              <w:top w:val="nil"/>
              <w:left w:val="nil"/>
              <w:bottom w:val="nil"/>
              <w:right w:val="nil"/>
            </w:tcBorders>
            <w:shd w:val="clear" w:color="auto" w:fill="auto"/>
            <w:noWrap/>
            <w:vAlign w:val="bottom"/>
          </w:tcPr>
          <w:p w14:paraId="3EC758DE"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0A8FF7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0" w:type="auto"/>
            <w:tcBorders>
              <w:top w:val="nil"/>
              <w:left w:val="nil"/>
              <w:bottom w:val="nil"/>
              <w:right w:val="nil"/>
            </w:tcBorders>
            <w:shd w:val="clear" w:color="auto" w:fill="auto"/>
            <w:noWrap/>
            <w:vAlign w:val="bottom"/>
          </w:tcPr>
          <w:p w14:paraId="6E5E12C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 </w:t>
            </w:r>
          </w:p>
        </w:tc>
        <w:tc>
          <w:tcPr>
            <w:tcW w:w="1384" w:type="dxa"/>
            <w:tcBorders>
              <w:top w:val="nil"/>
              <w:left w:val="nil"/>
              <w:bottom w:val="nil"/>
              <w:right w:val="nil"/>
            </w:tcBorders>
            <w:shd w:val="clear" w:color="auto" w:fill="auto"/>
            <w:noWrap/>
            <w:vAlign w:val="bottom"/>
          </w:tcPr>
          <w:p w14:paraId="2A03819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(.0712)</w:t>
            </w:r>
          </w:p>
        </w:tc>
      </w:tr>
      <w:tr w:rsidR="00B26691" w:rsidRPr="006E6122" w14:paraId="2BAD1592" w14:textId="77777777" w:rsidTr="006751BB">
        <w:trPr>
          <w:trHeight w:val="255"/>
        </w:trPr>
        <w:tc>
          <w:tcPr>
            <w:tcW w:w="0" w:type="auto"/>
            <w:tcBorders>
              <w:top w:val="nil"/>
              <w:left w:val="nil"/>
              <w:bottom w:val="nil"/>
              <w:right w:val="nil"/>
            </w:tcBorders>
            <w:shd w:val="clear" w:color="auto" w:fill="auto"/>
            <w:noWrap/>
            <w:vAlign w:val="bottom"/>
            <w:hideMark/>
          </w:tcPr>
          <w:p w14:paraId="07645B8E"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hideMark/>
          </w:tcPr>
          <w:p w14:paraId="3019099D"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B929A43"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-.00947***</w:t>
            </w:r>
          </w:p>
        </w:tc>
        <w:tc>
          <w:tcPr>
            <w:tcW w:w="0" w:type="auto"/>
            <w:tcBorders>
              <w:top w:val="nil"/>
              <w:left w:val="nil"/>
              <w:bottom w:val="nil"/>
              <w:right w:val="nil"/>
            </w:tcBorders>
            <w:shd w:val="clear" w:color="auto" w:fill="auto"/>
            <w:noWrap/>
            <w:vAlign w:val="bottom"/>
          </w:tcPr>
          <w:p w14:paraId="5234C81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-.00943***</w:t>
            </w:r>
          </w:p>
        </w:tc>
        <w:tc>
          <w:tcPr>
            <w:tcW w:w="0" w:type="auto"/>
            <w:tcBorders>
              <w:top w:val="nil"/>
              <w:left w:val="nil"/>
              <w:bottom w:val="nil"/>
              <w:right w:val="nil"/>
            </w:tcBorders>
            <w:shd w:val="clear" w:color="auto" w:fill="auto"/>
            <w:noWrap/>
            <w:vAlign w:val="bottom"/>
          </w:tcPr>
          <w:p w14:paraId="4DED0CB2"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-.00942***</w:t>
            </w:r>
          </w:p>
        </w:tc>
        <w:tc>
          <w:tcPr>
            <w:tcW w:w="0" w:type="auto"/>
            <w:tcBorders>
              <w:top w:val="nil"/>
              <w:left w:val="nil"/>
              <w:bottom w:val="nil"/>
              <w:right w:val="nil"/>
            </w:tcBorders>
            <w:shd w:val="clear" w:color="auto" w:fill="auto"/>
            <w:noWrap/>
            <w:vAlign w:val="bottom"/>
          </w:tcPr>
          <w:p w14:paraId="1A0CE98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C687460"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.000664</w:t>
            </w:r>
          </w:p>
        </w:tc>
        <w:tc>
          <w:tcPr>
            <w:tcW w:w="0" w:type="auto"/>
            <w:tcBorders>
              <w:top w:val="nil"/>
              <w:left w:val="nil"/>
              <w:bottom w:val="nil"/>
              <w:right w:val="nil"/>
            </w:tcBorders>
            <w:shd w:val="clear" w:color="auto" w:fill="auto"/>
            <w:noWrap/>
            <w:vAlign w:val="bottom"/>
          </w:tcPr>
          <w:p w14:paraId="4E4582E1"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.000587</w:t>
            </w:r>
          </w:p>
        </w:tc>
        <w:tc>
          <w:tcPr>
            <w:tcW w:w="1384" w:type="dxa"/>
            <w:tcBorders>
              <w:top w:val="nil"/>
              <w:left w:val="nil"/>
              <w:bottom w:val="nil"/>
              <w:right w:val="nil"/>
            </w:tcBorders>
            <w:shd w:val="clear" w:color="auto" w:fill="auto"/>
            <w:noWrap/>
            <w:vAlign w:val="bottom"/>
          </w:tcPr>
          <w:p w14:paraId="5BBAE341"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.000602</w:t>
            </w:r>
          </w:p>
        </w:tc>
      </w:tr>
      <w:tr w:rsidR="00B26691" w:rsidRPr="006E6122" w14:paraId="2910E1D0" w14:textId="77777777" w:rsidTr="006751BB">
        <w:trPr>
          <w:trHeight w:val="255"/>
        </w:trPr>
        <w:tc>
          <w:tcPr>
            <w:tcW w:w="0" w:type="auto"/>
            <w:tcBorders>
              <w:top w:val="nil"/>
              <w:left w:val="nil"/>
              <w:bottom w:val="nil"/>
              <w:right w:val="nil"/>
            </w:tcBorders>
            <w:shd w:val="clear" w:color="auto" w:fill="auto"/>
            <w:noWrap/>
            <w:vAlign w:val="bottom"/>
            <w:hideMark/>
          </w:tcPr>
          <w:p w14:paraId="2A215D87"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5D0DD590"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6C6E720"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(.000882)</w:t>
            </w:r>
          </w:p>
        </w:tc>
        <w:tc>
          <w:tcPr>
            <w:tcW w:w="0" w:type="auto"/>
            <w:tcBorders>
              <w:top w:val="nil"/>
              <w:left w:val="nil"/>
              <w:bottom w:val="nil"/>
              <w:right w:val="nil"/>
            </w:tcBorders>
            <w:shd w:val="clear" w:color="auto" w:fill="auto"/>
            <w:noWrap/>
            <w:vAlign w:val="bottom"/>
          </w:tcPr>
          <w:p w14:paraId="479DB37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(.000885)</w:t>
            </w:r>
          </w:p>
        </w:tc>
        <w:tc>
          <w:tcPr>
            <w:tcW w:w="0" w:type="auto"/>
            <w:tcBorders>
              <w:top w:val="nil"/>
              <w:left w:val="nil"/>
              <w:bottom w:val="nil"/>
              <w:right w:val="nil"/>
            </w:tcBorders>
            <w:shd w:val="clear" w:color="auto" w:fill="auto"/>
            <w:noWrap/>
            <w:vAlign w:val="bottom"/>
          </w:tcPr>
          <w:p w14:paraId="07FA5AA9"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(.000884)</w:t>
            </w:r>
          </w:p>
        </w:tc>
        <w:tc>
          <w:tcPr>
            <w:tcW w:w="0" w:type="auto"/>
            <w:tcBorders>
              <w:top w:val="nil"/>
              <w:left w:val="nil"/>
              <w:bottom w:val="nil"/>
              <w:right w:val="nil"/>
            </w:tcBorders>
            <w:shd w:val="clear" w:color="auto" w:fill="auto"/>
            <w:noWrap/>
            <w:vAlign w:val="bottom"/>
          </w:tcPr>
          <w:p w14:paraId="2A74BFF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BF6286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(.000592)</w:t>
            </w:r>
          </w:p>
        </w:tc>
        <w:tc>
          <w:tcPr>
            <w:tcW w:w="0" w:type="auto"/>
            <w:tcBorders>
              <w:top w:val="nil"/>
              <w:left w:val="nil"/>
              <w:bottom w:val="nil"/>
              <w:right w:val="nil"/>
            </w:tcBorders>
            <w:shd w:val="clear" w:color="auto" w:fill="auto"/>
            <w:noWrap/>
            <w:vAlign w:val="bottom"/>
          </w:tcPr>
          <w:p w14:paraId="0D78A29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(.000591)</w:t>
            </w:r>
          </w:p>
        </w:tc>
        <w:tc>
          <w:tcPr>
            <w:tcW w:w="1384" w:type="dxa"/>
            <w:tcBorders>
              <w:top w:val="nil"/>
              <w:left w:val="nil"/>
              <w:bottom w:val="nil"/>
              <w:right w:val="nil"/>
            </w:tcBorders>
            <w:shd w:val="clear" w:color="auto" w:fill="auto"/>
            <w:noWrap/>
            <w:vAlign w:val="bottom"/>
          </w:tcPr>
          <w:p w14:paraId="6801D33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(.000591)</w:t>
            </w:r>
          </w:p>
        </w:tc>
      </w:tr>
      <w:tr w:rsidR="00B26691" w:rsidRPr="006E6122" w14:paraId="0D9F1A36" w14:textId="77777777" w:rsidTr="006751BB">
        <w:trPr>
          <w:trHeight w:val="255"/>
        </w:trPr>
        <w:tc>
          <w:tcPr>
            <w:tcW w:w="0" w:type="auto"/>
            <w:tcBorders>
              <w:top w:val="nil"/>
              <w:left w:val="nil"/>
              <w:bottom w:val="nil"/>
              <w:right w:val="nil"/>
            </w:tcBorders>
            <w:shd w:val="clear" w:color="auto" w:fill="auto"/>
            <w:noWrap/>
            <w:vAlign w:val="bottom"/>
            <w:hideMark/>
          </w:tcPr>
          <w:p w14:paraId="07B3B392"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0" w:type="auto"/>
            <w:tcBorders>
              <w:top w:val="nil"/>
              <w:left w:val="nil"/>
              <w:bottom w:val="nil"/>
              <w:right w:val="nil"/>
            </w:tcBorders>
            <w:shd w:val="clear" w:color="auto" w:fill="auto"/>
            <w:noWrap/>
            <w:vAlign w:val="bottom"/>
            <w:hideMark/>
          </w:tcPr>
          <w:p w14:paraId="13FC94B3"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BE15464"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.0133***</w:t>
            </w:r>
          </w:p>
        </w:tc>
        <w:tc>
          <w:tcPr>
            <w:tcW w:w="0" w:type="auto"/>
            <w:tcBorders>
              <w:top w:val="nil"/>
              <w:left w:val="nil"/>
              <w:bottom w:val="nil"/>
              <w:right w:val="nil"/>
            </w:tcBorders>
            <w:shd w:val="clear" w:color="auto" w:fill="auto"/>
            <w:noWrap/>
            <w:vAlign w:val="bottom"/>
          </w:tcPr>
          <w:p w14:paraId="6E6F777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.0132***</w:t>
            </w:r>
          </w:p>
        </w:tc>
        <w:tc>
          <w:tcPr>
            <w:tcW w:w="0" w:type="auto"/>
            <w:tcBorders>
              <w:top w:val="nil"/>
              <w:left w:val="nil"/>
              <w:bottom w:val="nil"/>
              <w:right w:val="nil"/>
            </w:tcBorders>
            <w:shd w:val="clear" w:color="auto" w:fill="auto"/>
            <w:noWrap/>
            <w:vAlign w:val="bottom"/>
          </w:tcPr>
          <w:p w14:paraId="4546E2B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.0132***</w:t>
            </w:r>
          </w:p>
        </w:tc>
        <w:tc>
          <w:tcPr>
            <w:tcW w:w="0" w:type="auto"/>
            <w:tcBorders>
              <w:top w:val="nil"/>
              <w:left w:val="nil"/>
              <w:bottom w:val="nil"/>
              <w:right w:val="nil"/>
            </w:tcBorders>
            <w:shd w:val="clear" w:color="auto" w:fill="auto"/>
            <w:noWrap/>
            <w:vAlign w:val="bottom"/>
          </w:tcPr>
          <w:p w14:paraId="4B74D2F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BCDF59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-.0156***</w:t>
            </w:r>
          </w:p>
        </w:tc>
        <w:tc>
          <w:tcPr>
            <w:tcW w:w="0" w:type="auto"/>
            <w:tcBorders>
              <w:top w:val="nil"/>
              <w:left w:val="nil"/>
              <w:bottom w:val="nil"/>
              <w:right w:val="nil"/>
            </w:tcBorders>
            <w:shd w:val="clear" w:color="auto" w:fill="auto"/>
            <w:noWrap/>
            <w:vAlign w:val="bottom"/>
          </w:tcPr>
          <w:p w14:paraId="075393F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-.0155***</w:t>
            </w:r>
          </w:p>
        </w:tc>
        <w:tc>
          <w:tcPr>
            <w:tcW w:w="1384" w:type="dxa"/>
            <w:tcBorders>
              <w:top w:val="nil"/>
              <w:left w:val="nil"/>
              <w:bottom w:val="nil"/>
              <w:right w:val="nil"/>
            </w:tcBorders>
            <w:shd w:val="clear" w:color="auto" w:fill="auto"/>
            <w:noWrap/>
            <w:vAlign w:val="bottom"/>
          </w:tcPr>
          <w:p w14:paraId="2C608370"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-.0153***</w:t>
            </w:r>
          </w:p>
        </w:tc>
      </w:tr>
      <w:tr w:rsidR="00B26691" w:rsidRPr="006E6122" w14:paraId="3DE09383" w14:textId="77777777" w:rsidTr="006751BB">
        <w:trPr>
          <w:trHeight w:val="255"/>
        </w:trPr>
        <w:tc>
          <w:tcPr>
            <w:tcW w:w="0" w:type="auto"/>
            <w:tcBorders>
              <w:top w:val="nil"/>
              <w:left w:val="nil"/>
              <w:bottom w:val="nil"/>
              <w:right w:val="nil"/>
            </w:tcBorders>
            <w:shd w:val="clear" w:color="auto" w:fill="auto"/>
            <w:noWrap/>
            <w:vAlign w:val="bottom"/>
            <w:hideMark/>
          </w:tcPr>
          <w:p w14:paraId="2BBD37C6"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15117C93"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AE4DE7B"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(.00416)</w:t>
            </w:r>
          </w:p>
        </w:tc>
        <w:tc>
          <w:tcPr>
            <w:tcW w:w="0" w:type="auto"/>
            <w:tcBorders>
              <w:top w:val="nil"/>
              <w:left w:val="nil"/>
              <w:bottom w:val="nil"/>
              <w:right w:val="nil"/>
            </w:tcBorders>
            <w:shd w:val="clear" w:color="auto" w:fill="auto"/>
            <w:noWrap/>
            <w:vAlign w:val="bottom"/>
          </w:tcPr>
          <w:p w14:paraId="1937EEA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(.00412)</w:t>
            </w:r>
          </w:p>
        </w:tc>
        <w:tc>
          <w:tcPr>
            <w:tcW w:w="0" w:type="auto"/>
            <w:tcBorders>
              <w:top w:val="nil"/>
              <w:left w:val="nil"/>
              <w:bottom w:val="nil"/>
              <w:right w:val="nil"/>
            </w:tcBorders>
            <w:shd w:val="clear" w:color="auto" w:fill="auto"/>
            <w:noWrap/>
            <w:vAlign w:val="bottom"/>
          </w:tcPr>
          <w:p w14:paraId="11CC1C19"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(.0041</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E5E95D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DA8349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(.00109)</w:t>
            </w:r>
          </w:p>
        </w:tc>
        <w:tc>
          <w:tcPr>
            <w:tcW w:w="0" w:type="auto"/>
            <w:tcBorders>
              <w:top w:val="nil"/>
              <w:left w:val="nil"/>
              <w:bottom w:val="nil"/>
              <w:right w:val="nil"/>
            </w:tcBorders>
            <w:shd w:val="clear" w:color="auto" w:fill="auto"/>
            <w:noWrap/>
            <w:vAlign w:val="bottom"/>
          </w:tcPr>
          <w:p w14:paraId="68F7A2D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(.00109)</w:t>
            </w:r>
          </w:p>
        </w:tc>
        <w:tc>
          <w:tcPr>
            <w:tcW w:w="1384" w:type="dxa"/>
            <w:tcBorders>
              <w:top w:val="nil"/>
              <w:left w:val="nil"/>
              <w:bottom w:val="nil"/>
              <w:right w:val="nil"/>
            </w:tcBorders>
            <w:shd w:val="clear" w:color="auto" w:fill="auto"/>
            <w:noWrap/>
            <w:vAlign w:val="bottom"/>
          </w:tcPr>
          <w:p w14:paraId="7F2EB4F2"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(.00109)</w:t>
            </w:r>
          </w:p>
        </w:tc>
      </w:tr>
      <w:tr w:rsidR="006751BB" w:rsidRPr="006E6122" w14:paraId="4BEFFC1C" w14:textId="77777777" w:rsidTr="006751BB">
        <w:trPr>
          <w:trHeight w:val="255"/>
        </w:trPr>
        <w:tc>
          <w:tcPr>
            <w:tcW w:w="0" w:type="auto"/>
            <w:tcBorders>
              <w:top w:val="nil"/>
              <w:left w:val="nil"/>
              <w:bottom w:val="nil"/>
              <w:right w:val="nil"/>
            </w:tcBorders>
            <w:shd w:val="clear" w:color="auto" w:fill="auto"/>
            <w:noWrap/>
            <w:vAlign w:val="bottom"/>
            <w:hideMark/>
          </w:tcPr>
          <w:p w14:paraId="6B87DC22"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0" w:type="auto"/>
            <w:tcBorders>
              <w:top w:val="nil"/>
              <w:left w:val="nil"/>
              <w:bottom w:val="nil"/>
              <w:right w:val="nil"/>
            </w:tcBorders>
            <w:shd w:val="clear" w:color="auto" w:fill="auto"/>
            <w:noWrap/>
            <w:vAlign w:val="bottom"/>
            <w:hideMark/>
          </w:tcPr>
          <w:p w14:paraId="5614F27F" w14:textId="77777777" w:rsidR="006751BB" w:rsidRPr="006E6122" w:rsidRDefault="006751BB" w:rsidP="006751BB">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CA7CC92"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.0323***</w:t>
            </w:r>
          </w:p>
        </w:tc>
        <w:tc>
          <w:tcPr>
            <w:tcW w:w="0" w:type="auto"/>
            <w:tcBorders>
              <w:top w:val="nil"/>
              <w:left w:val="nil"/>
              <w:bottom w:val="nil"/>
              <w:right w:val="nil"/>
            </w:tcBorders>
            <w:shd w:val="clear" w:color="auto" w:fill="auto"/>
            <w:noWrap/>
            <w:vAlign w:val="bottom"/>
          </w:tcPr>
          <w:p w14:paraId="4C600675"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.0324***</w:t>
            </w:r>
          </w:p>
        </w:tc>
        <w:tc>
          <w:tcPr>
            <w:tcW w:w="0" w:type="auto"/>
            <w:tcBorders>
              <w:top w:val="nil"/>
              <w:left w:val="nil"/>
              <w:bottom w:val="nil"/>
              <w:right w:val="nil"/>
            </w:tcBorders>
            <w:shd w:val="clear" w:color="auto" w:fill="auto"/>
            <w:noWrap/>
            <w:vAlign w:val="bottom"/>
          </w:tcPr>
          <w:p w14:paraId="1AE49571"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.0323***</w:t>
            </w:r>
          </w:p>
        </w:tc>
        <w:tc>
          <w:tcPr>
            <w:tcW w:w="0" w:type="auto"/>
            <w:tcBorders>
              <w:top w:val="nil"/>
              <w:left w:val="nil"/>
              <w:bottom w:val="nil"/>
              <w:right w:val="nil"/>
            </w:tcBorders>
            <w:shd w:val="clear" w:color="auto" w:fill="auto"/>
            <w:noWrap/>
            <w:vAlign w:val="bottom"/>
          </w:tcPr>
          <w:p w14:paraId="4E45C8D9" w14:textId="77777777" w:rsidR="006751BB" w:rsidRPr="00356B3D"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636FA88"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.0116***</w:t>
            </w:r>
          </w:p>
        </w:tc>
        <w:tc>
          <w:tcPr>
            <w:tcW w:w="0" w:type="auto"/>
            <w:tcBorders>
              <w:top w:val="nil"/>
              <w:left w:val="nil"/>
              <w:bottom w:val="nil"/>
              <w:right w:val="nil"/>
            </w:tcBorders>
            <w:shd w:val="clear" w:color="auto" w:fill="auto"/>
            <w:noWrap/>
            <w:vAlign w:val="bottom"/>
          </w:tcPr>
          <w:p w14:paraId="66361B1B"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.0116***</w:t>
            </w:r>
          </w:p>
        </w:tc>
        <w:tc>
          <w:tcPr>
            <w:tcW w:w="1384" w:type="dxa"/>
            <w:tcBorders>
              <w:top w:val="nil"/>
              <w:left w:val="nil"/>
              <w:bottom w:val="nil"/>
              <w:right w:val="nil"/>
            </w:tcBorders>
            <w:shd w:val="clear" w:color="auto" w:fill="auto"/>
            <w:noWrap/>
            <w:vAlign w:val="bottom"/>
          </w:tcPr>
          <w:p w14:paraId="44BAC3A2"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.0116***</w:t>
            </w:r>
          </w:p>
        </w:tc>
      </w:tr>
      <w:tr w:rsidR="006751BB" w:rsidRPr="006E6122" w14:paraId="22E563D7" w14:textId="77777777" w:rsidTr="006751BB">
        <w:trPr>
          <w:trHeight w:val="255"/>
        </w:trPr>
        <w:tc>
          <w:tcPr>
            <w:tcW w:w="0" w:type="auto"/>
            <w:tcBorders>
              <w:top w:val="nil"/>
              <w:left w:val="nil"/>
              <w:bottom w:val="nil"/>
              <w:right w:val="nil"/>
            </w:tcBorders>
            <w:shd w:val="clear" w:color="auto" w:fill="auto"/>
            <w:noWrap/>
            <w:vAlign w:val="bottom"/>
            <w:hideMark/>
          </w:tcPr>
          <w:p w14:paraId="50A7AB57"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4B651B65" w14:textId="77777777" w:rsidR="006751BB" w:rsidRPr="006E6122" w:rsidRDefault="006751BB" w:rsidP="006751BB">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0D8D606"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(.00354)</w:t>
            </w:r>
          </w:p>
        </w:tc>
        <w:tc>
          <w:tcPr>
            <w:tcW w:w="0" w:type="auto"/>
            <w:tcBorders>
              <w:top w:val="nil"/>
              <w:left w:val="nil"/>
              <w:bottom w:val="nil"/>
              <w:right w:val="nil"/>
            </w:tcBorders>
            <w:shd w:val="clear" w:color="auto" w:fill="auto"/>
            <w:noWrap/>
            <w:vAlign w:val="bottom"/>
          </w:tcPr>
          <w:p w14:paraId="19975FFA"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(.00354)</w:t>
            </w:r>
          </w:p>
        </w:tc>
        <w:tc>
          <w:tcPr>
            <w:tcW w:w="0" w:type="auto"/>
            <w:tcBorders>
              <w:top w:val="nil"/>
              <w:left w:val="nil"/>
              <w:bottom w:val="nil"/>
              <w:right w:val="nil"/>
            </w:tcBorders>
            <w:shd w:val="clear" w:color="auto" w:fill="auto"/>
            <w:noWrap/>
            <w:vAlign w:val="bottom"/>
          </w:tcPr>
          <w:p w14:paraId="5F49AB59"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(.00354)</w:t>
            </w:r>
          </w:p>
        </w:tc>
        <w:tc>
          <w:tcPr>
            <w:tcW w:w="0" w:type="auto"/>
            <w:tcBorders>
              <w:top w:val="nil"/>
              <w:left w:val="nil"/>
              <w:bottom w:val="nil"/>
              <w:right w:val="nil"/>
            </w:tcBorders>
            <w:shd w:val="clear" w:color="auto" w:fill="auto"/>
            <w:noWrap/>
            <w:vAlign w:val="bottom"/>
          </w:tcPr>
          <w:p w14:paraId="283F5D26" w14:textId="77777777" w:rsidR="006751BB" w:rsidRPr="00356B3D"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1E53480"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(.00155)</w:t>
            </w:r>
          </w:p>
        </w:tc>
        <w:tc>
          <w:tcPr>
            <w:tcW w:w="0" w:type="auto"/>
            <w:tcBorders>
              <w:top w:val="nil"/>
              <w:left w:val="nil"/>
              <w:bottom w:val="nil"/>
              <w:right w:val="nil"/>
            </w:tcBorders>
            <w:shd w:val="clear" w:color="auto" w:fill="auto"/>
            <w:noWrap/>
            <w:vAlign w:val="bottom"/>
          </w:tcPr>
          <w:p w14:paraId="711BE717"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(.00154)</w:t>
            </w:r>
          </w:p>
        </w:tc>
        <w:tc>
          <w:tcPr>
            <w:tcW w:w="1384" w:type="dxa"/>
            <w:tcBorders>
              <w:top w:val="nil"/>
              <w:left w:val="nil"/>
              <w:bottom w:val="nil"/>
              <w:right w:val="nil"/>
            </w:tcBorders>
            <w:shd w:val="clear" w:color="auto" w:fill="auto"/>
            <w:noWrap/>
            <w:vAlign w:val="bottom"/>
          </w:tcPr>
          <w:p w14:paraId="567D6054"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(.00154)</w:t>
            </w:r>
          </w:p>
        </w:tc>
      </w:tr>
      <w:tr w:rsidR="006751BB" w:rsidRPr="006E6122" w14:paraId="6B28E6A0" w14:textId="77777777" w:rsidTr="006751BB">
        <w:trPr>
          <w:trHeight w:val="255"/>
        </w:trPr>
        <w:tc>
          <w:tcPr>
            <w:tcW w:w="0" w:type="auto"/>
            <w:tcBorders>
              <w:top w:val="nil"/>
              <w:left w:val="nil"/>
              <w:bottom w:val="nil"/>
              <w:right w:val="nil"/>
            </w:tcBorders>
            <w:shd w:val="clear" w:color="auto" w:fill="auto"/>
            <w:noWrap/>
            <w:vAlign w:val="bottom"/>
            <w:hideMark/>
          </w:tcPr>
          <w:p w14:paraId="5533E31B"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0" w:type="auto"/>
            <w:tcBorders>
              <w:top w:val="nil"/>
              <w:left w:val="nil"/>
              <w:bottom w:val="nil"/>
              <w:right w:val="nil"/>
            </w:tcBorders>
            <w:shd w:val="clear" w:color="auto" w:fill="auto"/>
            <w:noWrap/>
            <w:vAlign w:val="bottom"/>
            <w:hideMark/>
          </w:tcPr>
          <w:p w14:paraId="429C5EE5" w14:textId="77777777" w:rsidR="006751BB" w:rsidRPr="006E6122" w:rsidRDefault="006751BB" w:rsidP="006751BB">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3F15A1A"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-.000195***</w:t>
            </w:r>
          </w:p>
        </w:tc>
        <w:tc>
          <w:tcPr>
            <w:tcW w:w="0" w:type="auto"/>
            <w:tcBorders>
              <w:top w:val="nil"/>
              <w:left w:val="nil"/>
              <w:bottom w:val="nil"/>
              <w:right w:val="nil"/>
            </w:tcBorders>
            <w:shd w:val="clear" w:color="auto" w:fill="auto"/>
            <w:noWrap/>
            <w:vAlign w:val="bottom"/>
          </w:tcPr>
          <w:p w14:paraId="5D1A41EE"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-.000196***</w:t>
            </w:r>
          </w:p>
        </w:tc>
        <w:tc>
          <w:tcPr>
            <w:tcW w:w="0" w:type="auto"/>
            <w:tcBorders>
              <w:top w:val="nil"/>
              <w:left w:val="nil"/>
              <w:bottom w:val="nil"/>
              <w:right w:val="nil"/>
            </w:tcBorders>
            <w:shd w:val="clear" w:color="auto" w:fill="auto"/>
            <w:noWrap/>
            <w:vAlign w:val="bottom"/>
          </w:tcPr>
          <w:p w14:paraId="536020ED"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-.000196***</w:t>
            </w:r>
          </w:p>
        </w:tc>
        <w:tc>
          <w:tcPr>
            <w:tcW w:w="0" w:type="auto"/>
            <w:tcBorders>
              <w:top w:val="nil"/>
              <w:left w:val="nil"/>
              <w:bottom w:val="nil"/>
              <w:right w:val="nil"/>
            </w:tcBorders>
            <w:shd w:val="clear" w:color="auto" w:fill="auto"/>
            <w:noWrap/>
            <w:vAlign w:val="bottom"/>
          </w:tcPr>
          <w:p w14:paraId="29DBF94B" w14:textId="77777777" w:rsidR="006751BB" w:rsidRPr="00356B3D"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6F779E0"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-.0000921***</w:t>
            </w:r>
          </w:p>
        </w:tc>
        <w:tc>
          <w:tcPr>
            <w:tcW w:w="0" w:type="auto"/>
            <w:tcBorders>
              <w:top w:val="nil"/>
              <w:left w:val="nil"/>
              <w:bottom w:val="nil"/>
              <w:right w:val="nil"/>
            </w:tcBorders>
            <w:shd w:val="clear" w:color="auto" w:fill="auto"/>
            <w:noWrap/>
            <w:vAlign w:val="bottom"/>
          </w:tcPr>
          <w:p w14:paraId="0F0B7918"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-.0000918***</w:t>
            </w:r>
          </w:p>
        </w:tc>
        <w:tc>
          <w:tcPr>
            <w:tcW w:w="1384" w:type="dxa"/>
            <w:tcBorders>
              <w:top w:val="nil"/>
              <w:left w:val="nil"/>
              <w:bottom w:val="nil"/>
              <w:right w:val="nil"/>
            </w:tcBorders>
            <w:shd w:val="clear" w:color="auto" w:fill="auto"/>
            <w:noWrap/>
            <w:vAlign w:val="bottom"/>
          </w:tcPr>
          <w:p w14:paraId="463144CA" w14:textId="77777777" w:rsidR="006751BB" w:rsidRPr="00356B3D"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-.0000917***</w:t>
            </w:r>
          </w:p>
        </w:tc>
      </w:tr>
      <w:tr w:rsidR="00B26691" w:rsidRPr="006E6122" w14:paraId="436F3D83" w14:textId="77777777" w:rsidTr="006751BB">
        <w:trPr>
          <w:trHeight w:val="255"/>
        </w:trPr>
        <w:tc>
          <w:tcPr>
            <w:tcW w:w="0" w:type="auto"/>
            <w:tcBorders>
              <w:top w:val="nil"/>
              <w:left w:val="nil"/>
              <w:bottom w:val="nil"/>
              <w:right w:val="nil"/>
            </w:tcBorders>
            <w:shd w:val="clear" w:color="auto" w:fill="auto"/>
            <w:noWrap/>
            <w:vAlign w:val="bottom"/>
            <w:hideMark/>
          </w:tcPr>
          <w:p w14:paraId="1B2481E3"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62979B62"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D30E819"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(.0000374)</w:t>
            </w:r>
          </w:p>
        </w:tc>
        <w:tc>
          <w:tcPr>
            <w:tcW w:w="0" w:type="auto"/>
            <w:tcBorders>
              <w:top w:val="nil"/>
              <w:left w:val="nil"/>
              <w:bottom w:val="nil"/>
              <w:right w:val="nil"/>
            </w:tcBorders>
            <w:shd w:val="clear" w:color="auto" w:fill="auto"/>
            <w:noWrap/>
            <w:vAlign w:val="bottom"/>
          </w:tcPr>
          <w:p w14:paraId="0844FDB2"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(.0000375)</w:t>
            </w:r>
          </w:p>
        </w:tc>
        <w:tc>
          <w:tcPr>
            <w:tcW w:w="0" w:type="auto"/>
            <w:tcBorders>
              <w:top w:val="nil"/>
              <w:left w:val="nil"/>
              <w:bottom w:val="nil"/>
              <w:right w:val="nil"/>
            </w:tcBorders>
            <w:shd w:val="clear" w:color="auto" w:fill="auto"/>
            <w:noWrap/>
            <w:vAlign w:val="bottom"/>
          </w:tcPr>
          <w:p w14:paraId="59C55DD2"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(.0000374)</w:t>
            </w:r>
          </w:p>
        </w:tc>
        <w:tc>
          <w:tcPr>
            <w:tcW w:w="0" w:type="auto"/>
            <w:tcBorders>
              <w:top w:val="nil"/>
              <w:left w:val="nil"/>
              <w:bottom w:val="nil"/>
              <w:right w:val="nil"/>
            </w:tcBorders>
            <w:shd w:val="clear" w:color="auto" w:fill="auto"/>
            <w:noWrap/>
            <w:vAlign w:val="bottom"/>
          </w:tcPr>
          <w:p w14:paraId="03AD180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280B7F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(.0000106)</w:t>
            </w:r>
          </w:p>
        </w:tc>
        <w:tc>
          <w:tcPr>
            <w:tcW w:w="0" w:type="auto"/>
            <w:tcBorders>
              <w:top w:val="nil"/>
              <w:left w:val="nil"/>
              <w:bottom w:val="nil"/>
              <w:right w:val="nil"/>
            </w:tcBorders>
            <w:shd w:val="clear" w:color="auto" w:fill="auto"/>
            <w:noWrap/>
            <w:vAlign w:val="bottom"/>
          </w:tcPr>
          <w:p w14:paraId="3F1E4144"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(.0000106)</w:t>
            </w:r>
          </w:p>
        </w:tc>
        <w:tc>
          <w:tcPr>
            <w:tcW w:w="1384" w:type="dxa"/>
            <w:tcBorders>
              <w:top w:val="nil"/>
              <w:left w:val="nil"/>
              <w:bottom w:val="nil"/>
              <w:right w:val="nil"/>
            </w:tcBorders>
            <w:shd w:val="clear" w:color="auto" w:fill="auto"/>
            <w:noWrap/>
            <w:vAlign w:val="bottom"/>
          </w:tcPr>
          <w:p w14:paraId="06BAB2E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(.0000106)</w:t>
            </w:r>
          </w:p>
        </w:tc>
      </w:tr>
      <w:tr w:rsidR="00B26691" w:rsidRPr="006E6122" w14:paraId="2C9FF3AB" w14:textId="77777777" w:rsidTr="006751BB">
        <w:trPr>
          <w:trHeight w:val="255"/>
        </w:trPr>
        <w:tc>
          <w:tcPr>
            <w:tcW w:w="0" w:type="auto"/>
            <w:tcBorders>
              <w:top w:val="nil"/>
              <w:left w:val="nil"/>
              <w:bottom w:val="nil"/>
              <w:right w:val="nil"/>
            </w:tcBorders>
            <w:shd w:val="clear" w:color="auto" w:fill="auto"/>
            <w:noWrap/>
            <w:vAlign w:val="bottom"/>
            <w:hideMark/>
          </w:tcPr>
          <w:p w14:paraId="1D979765"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0" w:type="auto"/>
            <w:tcBorders>
              <w:top w:val="nil"/>
              <w:left w:val="nil"/>
              <w:bottom w:val="nil"/>
              <w:right w:val="nil"/>
            </w:tcBorders>
            <w:shd w:val="clear" w:color="auto" w:fill="auto"/>
            <w:noWrap/>
            <w:vAlign w:val="bottom"/>
            <w:hideMark/>
          </w:tcPr>
          <w:p w14:paraId="5B97B822"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67FE443"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.397</w:t>
            </w:r>
          </w:p>
        </w:tc>
        <w:tc>
          <w:tcPr>
            <w:tcW w:w="0" w:type="auto"/>
            <w:tcBorders>
              <w:top w:val="nil"/>
              <w:left w:val="nil"/>
              <w:bottom w:val="nil"/>
              <w:right w:val="nil"/>
            </w:tcBorders>
            <w:shd w:val="clear" w:color="auto" w:fill="auto"/>
            <w:noWrap/>
            <w:vAlign w:val="bottom"/>
          </w:tcPr>
          <w:p w14:paraId="5364DE7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w:t>
            </w:r>
            <w:r w:rsidR="005F3401">
              <w:rPr>
                <w:rFonts w:ascii="Calibri" w:hAnsi="Calibri" w:cs="Calibri"/>
                <w:sz w:val="20"/>
                <w:szCs w:val="20"/>
              </w:rPr>
              <w:t>00</w:t>
            </w:r>
          </w:p>
        </w:tc>
        <w:tc>
          <w:tcPr>
            <w:tcW w:w="0" w:type="auto"/>
            <w:tcBorders>
              <w:top w:val="nil"/>
              <w:left w:val="nil"/>
              <w:bottom w:val="nil"/>
              <w:right w:val="nil"/>
            </w:tcBorders>
            <w:shd w:val="clear" w:color="auto" w:fill="auto"/>
            <w:noWrap/>
            <w:vAlign w:val="bottom"/>
          </w:tcPr>
          <w:p w14:paraId="5FB76C4C"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.388</w:t>
            </w:r>
          </w:p>
        </w:tc>
        <w:tc>
          <w:tcPr>
            <w:tcW w:w="0" w:type="auto"/>
            <w:tcBorders>
              <w:top w:val="nil"/>
              <w:left w:val="nil"/>
              <w:bottom w:val="nil"/>
              <w:right w:val="nil"/>
            </w:tcBorders>
            <w:shd w:val="clear" w:color="auto" w:fill="auto"/>
            <w:noWrap/>
            <w:vAlign w:val="bottom"/>
          </w:tcPr>
          <w:p w14:paraId="1AC27D1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246DC1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-1.215***</w:t>
            </w:r>
          </w:p>
        </w:tc>
        <w:tc>
          <w:tcPr>
            <w:tcW w:w="0" w:type="auto"/>
            <w:tcBorders>
              <w:top w:val="nil"/>
              <w:left w:val="nil"/>
              <w:bottom w:val="nil"/>
              <w:right w:val="nil"/>
            </w:tcBorders>
            <w:shd w:val="clear" w:color="auto" w:fill="auto"/>
            <w:noWrap/>
            <w:vAlign w:val="bottom"/>
          </w:tcPr>
          <w:p w14:paraId="637713C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-1.22</w:t>
            </w:r>
            <w:r w:rsidR="005F3401">
              <w:rPr>
                <w:rFonts w:ascii="Calibri" w:hAnsi="Calibri" w:cs="Calibri"/>
                <w:sz w:val="20"/>
                <w:szCs w:val="20"/>
              </w:rPr>
              <w:t>0</w:t>
            </w:r>
            <w:r>
              <w:rPr>
                <w:rFonts w:ascii="Calibri" w:hAnsi="Calibri" w:cs="Calibri"/>
                <w:sz w:val="20"/>
                <w:szCs w:val="20"/>
              </w:rPr>
              <w:t>***</w:t>
            </w:r>
          </w:p>
        </w:tc>
        <w:tc>
          <w:tcPr>
            <w:tcW w:w="1384" w:type="dxa"/>
            <w:tcBorders>
              <w:top w:val="nil"/>
              <w:left w:val="nil"/>
              <w:bottom w:val="nil"/>
              <w:right w:val="nil"/>
            </w:tcBorders>
            <w:shd w:val="clear" w:color="auto" w:fill="auto"/>
            <w:noWrap/>
            <w:vAlign w:val="bottom"/>
          </w:tcPr>
          <w:p w14:paraId="6A3FCCC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-1.208***</w:t>
            </w:r>
          </w:p>
        </w:tc>
      </w:tr>
      <w:tr w:rsidR="00B26691" w:rsidRPr="006E6122" w14:paraId="757647C1" w14:textId="77777777" w:rsidTr="006751BB">
        <w:trPr>
          <w:trHeight w:val="255"/>
        </w:trPr>
        <w:tc>
          <w:tcPr>
            <w:tcW w:w="0" w:type="auto"/>
            <w:tcBorders>
              <w:top w:val="nil"/>
              <w:left w:val="nil"/>
              <w:bottom w:val="nil"/>
              <w:right w:val="nil"/>
            </w:tcBorders>
            <w:shd w:val="clear" w:color="auto" w:fill="auto"/>
            <w:noWrap/>
            <w:vAlign w:val="bottom"/>
            <w:hideMark/>
          </w:tcPr>
          <w:p w14:paraId="0F53A6E3"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17361C0C"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1DEBA13"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(.291)</w:t>
            </w:r>
          </w:p>
        </w:tc>
        <w:tc>
          <w:tcPr>
            <w:tcW w:w="0" w:type="auto"/>
            <w:tcBorders>
              <w:top w:val="nil"/>
              <w:left w:val="nil"/>
              <w:bottom w:val="nil"/>
              <w:right w:val="nil"/>
            </w:tcBorders>
            <w:shd w:val="clear" w:color="auto" w:fill="auto"/>
            <w:noWrap/>
            <w:vAlign w:val="bottom"/>
          </w:tcPr>
          <w:p w14:paraId="289529D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(.291)</w:t>
            </w:r>
          </w:p>
        </w:tc>
        <w:tc>
          <w:tcPr>
            <w:tcW w:w="0" w:type="auto"/>
            <w:tcBorders>
              <w:top w:val="nil"/>
              <w:left w:val="nil"/>
              <w:bottom w:val="nil"/>
              <w:right w:val="nil"/>
            </w:tcBorders>
            <w:shd w:val="clear" w:color="auto" w:fill="auto"/>
            <w:noWrap/>
            <w:vAlign w:val="bottom"/>
          </w:tcPr>
          <w:p w14:paraId="7D730D1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(.292)</w:t>
            </w:r>
          </w:p>
        </w:tc>
        <w:tc>
          <w:tcPr>
            <w:tcW w:w="0" w:type="auto"/>
            <w:tcBorders>
              <w:top w:val="nil"/>
              <w:left w:val="nil"/>
              <w:bottom w:val="nil"/>
              <w:right w:val="nil"/>
            </w:tcBorders>
            <w:shd w:val="clear" w:color="auto" w:fill="auto"/>
            <w:noWrap/>
            <w:vAlign w:val="bottom"/>
          </w:tcPr>
          <w:p w14:paraId="41CB4D4E"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F618AAB"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(.203)</w:t>
            </w:r>
          </w:p>
        </w:tc>
        <w:tc>
          <w:tcPr>
            <w:tcW w:w="0" w:type="auto"/>
            <w:tcBorders>
              <w:top w:val="nil"/>
              <w:left w:val="nil"/>
              <w:bottom w:val="nil"/>
              <w:right w:val="nil"/>
            </w:tcBorders>
            <w:shd w:val="clear" w:color="auto" w:fill="auto"/>
            <w:noWrap/>
            <w:vAlign w:val="bottom"/>
          </w:tcPr>
          <w:p w14:paraId="4C119A1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(.203)</w:t>
            </w:r>
          </w:p>
        </w:tc>
        <w:tc>
          <w:tcPr>
            <w:tcW w:w="1384" w:type="dxa"/>
            <w:tcBorders>
              <w:top w:val="nil"/>
              <w:left w:val="nil"/>
              <w:bottom w:val="nil"/>
              <w:right w:val="nil"/>
            </w:tcBorders>
            <w:shd w:val="clear" w:color="auto" w:fill="auto"/>
            <w:noWrap/>
            <w:vAlign w:val="bottom"/>
          </w:tcPr>
          <w:p w14:paraId="5A51214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(.203)</w:t>
            </w:r>
          </w:p>
        </w:tc>
      </w:tr>
      <w:tr w:rsidR="00B26691" w:rsidRPr="006E6122" w14:paraId="3DFF3B60" w14:textId="77777777" w:rsidTr="006751BB">
        <w:trPr>
          <w:trHeight w:val="255"/>
        </w:trPr>
        <w:tc>
          <w:tcPr>
            <w:tcW w:w="0" w:type="auto"/>
            <w:tcBorders>
              <w:top w:val="nil"/>
              <w:left w:val="nil"/>
              <w:bottom w:val="nil"/>
              <w:right w:val="nil"/>
            </w:tcBorders>
            <w:shd w:val="clear" w:color="auto" w:fill="auto"/>
            <w:noWrap/>
            <w:vAlign w:val="bottom"/>
            <w:hideMark/>
          </w:tcPr>
          <w:p w14:paraId="55ABA256"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0" w:type="auto"/>
            <w:tcBorders>
              <w:top w:val="nil"/>
              <w:left w:val="nil"/>
              <w:bottom w:val="nil"/>
              <w:right w:val="nil"/>
            </w:tcBorders>
            <w:shd w:val="clear" w:color="auto" w:fill="auto"/>
            <w:noWrap/>
            <w:vAlign w:val="bottom"/>
            <w:hideMark/>
          </w:tcPr>
          <w:p w14:paraId="347F9463"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D6C56F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.406***</w:t>
            </w:r>
          </w:p>
        </w:tc>
        <w:tc>
          <w:tcPr>
            <w:tcW w:w="0" w:type="auto"/>
            <w:tcBorders>
              <w:top w:val="nil"/>
              <w:left w:val="nil"/>
              <w:bottom w:val="nil"/>
              <w:right w:val="nil"/>
            </w:tcBorders>
            <w:shd w:val="clear" w:color="auto" w:fill="auto"/>
            <w:noWrap/>
            <w:vAlign w:val="bottom"/>
          </w:tcPr>
          <w:p w14:paraId="6050C94C"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.403***</w:t>
            </w:r>
          </w:p>
        </w:tc>
        <w:tc>
          <w:tcPr>
            <w:tcW w:w="0" w:type="auto"/>
            <w:tcBorders>
              <w:top w:val="nil"/>
              <w:left w:val="nil"/>
              <w:bottom w:val="nil"/>
              <w:right w:val="nil"/>
            </w:tcBorders>
            <w:shd w:val="clear" w:color="auto" w:fill="auto"/>
            <w:noWrap/>
            <w:vAlign w:val="bottom"/>
          </w:tcPr>
          <w:p w14:paraId="16474FB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.405***</w:t>
            </w:r>
          </w:p>
        </w:tc>
        <w:tc>
          <w:tcPr>
            <w:tcW w:w="0" w:type="auto"/>
            <w:tcBorders>
              <w:top w:val="nil"/>
              <w:left w:val="nil"/>
              <w:bottom w:val="nil"/>
              <w:right w:val="nil"/>
            </w:tcBorders>
            <w:shd w:val="clear" w:color="auto" w:fill="auto"/>
            <w:noWrap/>
            <w:vAlign w:val="bottom"/>
          </w:tcPr>
          <w:p w14:paraId="48C9D08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152D6D1"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.404***</w:t>
            </w:r>
          </w:p>
        </w:tc>
        <w:tc>
          <w:tcPr>
            <w:tcW w:w="0" w:type="auto"/>
            <w:tcBorders>
              <w:top w:val="nil"/>
              <w:left w:val="nil"/>
              <w:bottom w:val="nil"/>
              <w:right w:val="nil"/>
            </w:tcBorders>
            <w:shd w:val="clear" w:color="auto" w:fill="auto"/>
            <w:noWrap/>
            <w:vAlign w:val="bottom"/>
          </w:tcPr>
          <w:p w14:paraId="6207D3BC"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.408***</w:t>
            </w:r>
          </w:p>
        </w:tc>
        <w:tc>
          <w:tcPr>
            <w:tcW w:w="1384" w:type="dxa"/>
            <w:tcBorders>
              <w:top w:val="nil"/>
              <w:left w:val="nil"/>
              <w:bottom w:val="nil"/>
              <w:right w:val="nil"/>
            </w:tcBorders>
            <w:shd w:val="clear" w:color="auto" w:fill="auto"/>
            <w:noWrap/>
            <w:vAlign w:val="bottom"/>
          </w:tcPr>
          <w:p w14:paraId="6152BBE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.404***</w:t>
            </w:r>
          </w:p>
        </w:tc>
      </w:tr>
      <w:tr w:rsidR="00B26691" w:rsidRPr="006E6122" w14:paraId="479FFF2A" w14:textId="77777777" w:rsidTr="006751BB">
        <w:trPr>
          <w:trHeight w:val="255"/>
        </w:trPr>
        <w:tc>
          <w:tcPr>
            <w:tcW w:w="0" w:type="auto"/>
            <w:tcBorders>
              <w:top w:val="nil"/>
              <w:left w:val="nil"/>
              <w:bottom w:val="nil"/>
              <w:right w:val="nil"/>
            </w:tcBorders>
            <w:shd w:val="clear" w:color="auto" w:fill="auto"/>
            <w:noWrap/>
            <w:vAlign w:val="bottom"/>
            <w:hideMark/>
          </w:tcPr>
          <w:p w14:paraId="03959D08"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1DB5F681"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8BE67FC"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(.0509)</w:t>
            </w:r>
          </w:p>
        </w:tc>
        <w:tc>
          <w:tcPr>
            <w:tcW w:w="0" w:type="auto"/>
            <w:tcBorders>
              <w:top w:val="nil"/>
              <w:left w:val="nil"/>
              <w:bottom w:val="nil"/>
              <w:right w:val="nil"/>
            </w:tcBorders>
            <w:shd w:val="clear" w:color="auto" w:fill="auto"/>
            <w:noWrap/>
            <w:vAlign w:val="bottom"/>
          </w:tcPr>
          <w:p w14:paraId="6BA8266E"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(.0509)</w:t>
            </w:r>
          </w:p>
        </w:tc>
        <w:tc>
          <w:tcPr>
            <w:tcW w:w="0" w:type="auto"/>
            <w:tcBorders>
              <w:top w:val="nil"/>
              <w:left w:val="nil"/>
              <w:bottom w:val="nil"/>
              <w:right w:val="nil"/>
            </w:tcBorders>
            <w:shd w:val="clear" w:color="auto" w:fill="auto"/>
            <w:noWrap/>
            <w:vAlign w:val="bottom"/>
          </w:tcPr>
          <w:p w14:paraId="2CD73BC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(.0511)</w:t>
            </w:r>
          </w:p>
        </w:tc>
        <w:tc>
          <w:tcPr>
            <w:tcW w:w="0" w:type="auto"/>
            <w:tcBorders>
              <w:top w:val="nil"/>
              <w:left w:val="nil"/>
              <w:bottom w:val="nil"/>
              <w:right w:val="nil"/>
            </w:tcBorders>
            <w:shd w:val="clear" w:color="auto" w:fill="auto"/>
            <w:noWrap/>
            <w:vAlign w:val="bottom"/>
          </w:tcPr>
          <w:p w14:paraId="581D17D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F283EB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(.0276)</w:t>
            </w:r>
          </w:p>
        </w:tc>
        <w:tc>
          <w:tcPr>
            <w:tcW w:w="0" w:type="auto"/>
            <w:tcBorders>
              <w:top w:val="nil"/>
              <w:left w:val="nil"/>
              <w:bottom w:val="nil"/>
              <w:right w:val="nil"/>
            </w:tcBorders>
            <w:shd w:val="clear" w:color="auto" w:fill="auto"/>
            <w:noWrap/>
            <w:vAlign w:val="bottom"/>
          </w:tcPr>
          <w:p w14:paraId="75FAC161"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(.0276)</w:t>
            </w:r>
          </w:p>
        </w:tc>
        <w:tc>
          <w:tcPr>
            <w:tcW w:w="1384" w:type="dxa"/>
            <w:tcBorders>
              <w:top w:val="nil"/>
              <w:left w:val="nil"/>
              <w:bottom w:val="nil"/>
              <w:right w:val="nil"/>
            </w:tcBorders>
            <w:shd w:val="clear" w:color="auto" w:fill="auto"/>
            <w:noWrap/>
            <w:vAlign w:val="bottom"/>
          </w:tcPr>
          <w:p w14:paraId="2FD98A6B"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(.0277)</w:t>
            </w:r>
          </w:p>
        </w:tc>
      </w:tr>
      <w:tr w:rsidR="00B26691" w:rsidRPr="006E6122" w14:paraId="32F64108" w14:textId="77777777" w:rsidTr="006751BB">
        <w:trPr>
          <w:trHeight w:val="255"/>
        </w:trPr>
        <w:tc>
          <w:tcPr>
            <w:tcW w:w="0" w:type="auto"/>
            <w:tcBorders>
              <w:top w:val="nil"/>
              <w:left w:val="nil"/>
              <w:bottom w:val="nil"/>
              <w:right w:val="nil"/>
            </w:tcBorders>
            <w:shd w:val="clear" w:color="auto" w:fill="auto"/>
            <w:noWrap/>
            <w:vAlign w:val="bottom"/>
            <w:hideMark/>
          </w:tcPr>
          <w:p w14:paraId="600CD55C"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hideMark/>
          </w:tcPr>
          <w:p w14:paraId="676201DC"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5EE542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.173**</w:t>
            </w:r>
          </w:p>
        </w:tc>
        <w:tc>
          <w:tcPr>
            <w:tcW w:w="0" w:type="auto"/>
            <w:tcBorders>
              <w:top w:val="nil"/>
              <w:left w:val="nil"/>
              <w:bottom w:val="nil"/>
              <w:right w:val="nil"/>
            </w:tcBorders>
            <w:shd w:val="clear" w:color="auto" w:fill="auto"/>
            <w:noWrap/>
            <w:vAlign w:val="bottom"/>
          </w:tcPr>
          <w:p w14:paraId="131F1FFB"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.176**</w:t>
            </w:r>
          </w:p>
        </w:tc>
        <w:tc>
          <w:tcPr>
            <w:tcW w:w="0" w:type="auto"/>
            <w:tcBorders>
              <w:top w:val="nil"/>
              <w:left w:val="nil"/>
              <w:bottom w:val="nil"/>
              <w:right w:val="nil"/>
            </w:tcBorders>
            <w:shd w:val="clear" w:color="auto" w:fill="auto"/>
            <w:noWrap/>
            <w:vAlign w:val="bottom"/>
          </w:tcPr>
          <w:p w14:paraId="2C1AA26C"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.177**</w:t>
            </w:r>
          </w:p>
        </w:tc>
        <w:tc>
          <w:tcPr>
            <w:tcW w:w="0" w:type="auto"/>
            <w:tcBorders>
              <w:top w:val="nil"/>
              <w:left w:val="nil"/>
              <w:bottom w:val="nil"/>
              <w:right w:val="nil"/>
            </w:tcBorders>
            <w:shd w:val="clear" w:color="auto" w:fill="auto"/>
            <w:noWrap/>
            <w:vAlign w:val="bottom"/>
          </w:tcPr>
          <w:p w14:paraId="14D5D29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9FCBE0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.318***</w:t>
            </w:r>
          </w:p>
        </w:tc>
        <w:tc>
          <w:tcPr>
            <w:tcW w:w="0" w:type="auto"/>
            <w:tcBorders>
              <w:top w:val="nil"/>
              <w:left w:val="nil"/>
              <w:bottom w:val="nil"/>
              <w:right w:val="nil"/>
            </w:tcBorders>
            <w:shd w:val="clear" w:color="auto" w:fill="auto"/>
            <w:noWrap/>
            <w:vAlign w:val="bottom"/>
          </w:tcPr>
          <w:p w14:paraId="2012DDD9"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.317***</w:t>
            </w:r>
          </w:p>
        </w:tc>
        <w:tc>
          <w:tcPr>
            <w:tcW w:w="1384" w:type="dxa"/>
            <w:tcBorders>
              <w:top w:val="nil"/>
              <w:left w:val="nil"/>
              <w:bottom w:val="nil"/>
              <w:right w:val="nil"/>
            </w:tcBorders>
            <w:shd w:val="clear" w:color="auto" w:fill="auto"/>
            <w:noWrap/>
            <w:vAlign w:val="bottom"/>
          </w:tcPr>
          <w:p w14:paraId="0ED5965E"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.315***</w:t>
            </w:r>
          </w:p>
        </w:tc>
      </w:tr>
      <w:tr w:rsidR="00B26691" w:rsidRPr="006E6122" w14:paraId="76FCF2EB" w14:textId="77777777" w:rsidTr="006751BB">
        <w:trPr>
          <w:trHeight w:val="255"/>
        </w:trPr>
        <w:tc>
          <w:tcPr>
            <w:tcW w:w="0" w:type="auto"/>
            <w:tcBorders>
              <w:top w:val="nil"/>
              <w:left w:val="nil"/>
              <w:bottom w:val="nil"/>
              <w:right w:val="nil"/>
            </w:tcBorders>
            <w:shd w:val="clear" w:color="auto" w:fill="auto"/>
            <w:noWrap/>
            <w:vAlign w:val="bottom"/>
            <w:hideMark/>
          </w:tcPr>
          <w:p w14:paraId="2C29A22E"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lastRenderedPageBreak/>
              <w:t> </w:t>
            </w:r>
          </w:p>
        </w:tc>
        <w:tc>
          <w:tcPr>
            <w:tcW w:w="0" w:type="auto"/>
            <w:tcBorders>
              <w:top w:val="nil"/>
              <w:left w:val="nil"/>
              <w:bottom w:val="nil"/>
              <w:right w:val="nil"/>
            </w:tcBorders>
            <w:shd w:val="clear" w:color="auto" w:fill="auto"/>
            <w:noWrap/>
            <w:vAlign w:val="bottom"/>
            <w:hideMark/>
          </w:tcPr>
          <w:p w14:paraId="543F831F"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3960FE2"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(.0798)</w:t>
            </w:r>
          </w:p>
        </w:tc>
        <w:tc>
          <w:tcPr>
            <w:tcW w:w="0" w:type="auto"/>
            <w:tcBorders>
              <w:top w:val="nil"/>
              <w:left w:val="nil"/>
              <w:bottom w:val="nil"/>
              <w:right w:val="nil"/>
            </w:tcBorders>
            <w:shd w:val="clear" w:color="auto" w:fill="auto"/>
            <w:noWrap/>
            <w:vAlign w:val="bottom"/>
          </w:tcPr>
          <w:p w14:paraId="4EEC1FD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(.0799)</w:t>
            </w:r>
          </w:p>
        </w:tc>
        <w:tc>
          <w:tcPr>
            <w:tcW w:w="0" w:type="auto"/>
            <w:tcBorders>
              <w:top w:val="nil"/>
              <w:left w:val="nil"/>
              <w:bottom w:val="nil"/>
              <w:right w:val="nil"/>
            </w:tcBorders>
            <w:shd w:val="clear" w:color="auto" w:fill="auto"/>
            <w:noWrap/>
            <w:vAlign w:val="bottom"/>
          </w:tcPr>
          <w:p w14:paraId="538EC45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(.08</w:t>
            </w:r>
            <w:r w:rsidR="005F3401">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70FF94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ADAFC4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(.0472)</w:t>
            </w:r>
          </w:p>
        </w:tc>
        <w:tc>
          <w:tcPr>
            <w:tcW w:w="0" w:type="auto"/>
            <w:tcBorders>
              <w:top w:val="nil"/>
              <w:left w:val="nil"/>
              <w:bottom w:val="nil"/>
              <w:right w:val="nil"/>
            </w:tcBorders>
            <w:shd w:val="clear" w:color="auto" w:fill="auto"/>
            <w:noWrap/>
            <w:vAlign w:val="bottom"/>
          </w:tcPr>
          <w:p w14:paraId="2E0DD1D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(.0472)</w:t>
            </w:r>
          </w:p>
        </w:tc>
        <w:tc>
          <w:tcPr>
            <w:tcW w:w="1384" w:type="dxa"/>
            <w:tcBorders>
              <w:top w:val="nil"/>
              <w:left w:val="nil"/>
              <w:bottom w:val="nil"/>
              <w:right w:val="nil"/>
            </w:tcBorders>
            <w:shd w:val="clear" w:color="auto" w:fill="auto"/>
            <w:noWrap/>
            <w:vAlign w:val="bottom"/>
          </w:tcPr>
          <w:p w14:paraId="633803F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(.0472)</w:t>
            </w:r>
          </w:p>
        </w:tc>
      </w:tr>
      <w:tr w:rsidR="00B26691" w:rsidRPr="006E6122" w14:paraId="4536CD7E" w14:textId="77777777" w:rsidTr="006751BB">
        <w:trPr>
          <w:trHeight w:val="255"/>
        </w:trPr>
        <w:tc>
          <w:tcPr>
            <w:tcW w:w="0" w:type="auto"/>
            <w:tcBorders>
              <w:top w:val="nil"/>
              <w:left w:val="nil"/>
              <w:bottom w:val="nil"/>
              <w:right w:val="nil"/>
            </w:tcBorders>
            <w:shd w:val="clear" w:color="auto" w:fill="auto"/>
            <w:noWrap/>
            <w:vAlign w:val="bottom"/>
            <w:hideMark/>
          </w:tcPr>
          <w:p w14:paraId="6100198E"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0" w:type="auto"/>
            <w:tcBorders>
              <w:top w:val="nil"/>
              <w:left w:val="nil"/>
              <w:bottom w:val="nil"/>
              <w:right w:val="nil"/>
            </w:tcBorders>
            <w:shd w:val="clear" w:color="auto" w:fill="auto"/>
            <w:noWrap/>
            <w:vAlign w:val="bottom"/>
            <w:hideMark/>
          </w:tcPr>
          <w:p w14:paraId="5BE143E9"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BF72DF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.0532***</w:t>
            </w:r>
          </w:p>
        </w:tc>
        <w:tc>
          <w:tcPr>
            <w:tcW w:w="0" w:type="auto"/>
            <w:tcBorders>
              <w:top w:val="nil"/>
              <w:left w:val="nil"/>
              <w:bottom w:val="nil"/>
              <w:right w:val="nil"/>
            </w:tcBorders>
            <w:shd w:val="clear" w:color="auto" w:fill="auto"/>
            <w:noWrap/>
            <w:vAlign w:val="bottom"/>
          </w:tcPr>
          <w:p w14:paraId="04AC35C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.0531***</w:t>
            </w:r>
          </w:p>
        </w:tc>
        <w:tc>
          <w:tcPr>
            <w:tcW w:w="0" w:type="auto"/>
            <w:tcBorders>
              <w:top w:val="nil"/>
              <w:left w:val="nil"/>
              <w:bottom w:val="nil"/>
              <w:right w:val="nil"/>
            </w:tcBorders>
            <w:shd w:val="clear" w:color="auto" w:fill="auto"/>
            <w:noWrap/>
            <w:vAlign w:val="bottom"/>
          </w:tcPr>
          <w:p w14:paraId="5D97D84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.0532***</w:t>
            </w:r>
          </w:p>
        </w:tc>
        <w:tc>
          <w:tcPr>
            <w:tcW w:w="0" w:type="auto"/>
            <w:tcBorders>
              <w:top w:val="nil"/>
              <w:left w:val="nil"/>
              <w:bottom w:val="nil"/>
              <w:right w:val="nil"/>
            </w:tcBorders>
            <w:shd w:val="clear" w:color="auto" w:fill="auto"/>
            <w:noWrap/>
            <w:vAlign w:val="bottom"/>
          </w:tcPr>
          <w:p w14:paraId="2551E6F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216D8F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-.0695***</w:t>
            </w:r>
          </w:p>
        </w:tc>
        <w:tc>
          <w:tcPr>
            <w:tcW w:w="0" w:type="auto"/>
            <w:tcBorders>
              <w:top w:val="nil"/>
              <w:left w:val="nil"/>
              <w:bottom w:val="nil"/>
              <w:right w:val="nil"/>
            </w:tcBorders>
            <w:shd w:val="clear" w:color="auto" w:fill="auto"/>
            <w:noWrap/>
            <w:vAlign w:val="bottom"/>
          </w:tcPr>
          <w:p w14:paraId="518E54E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-.0696***</w:t>
            </w:r>
          </w:p>
        </w:tc>
        <w:tc>
          <w:tcPr>
            <w:tcW w:w="1384" w:type="dxa"/>
            <w:tcBorders>
              <w:top w:val="nil"/>
              <w:left w:val="nil"/>
              <w:bottom w:val="nil"/>
              <w:right w:val="nil"/>
            </w:tcBorders>
            <w:shd w:val="clear" w:color="auto" w:fill="auto"/>
            <w:noWrap/>
            <w:vAlign w:val="bottom"/>
          </w:tcPr>
          <w:p w14:paraId="5C5BB4E0"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-.0697***</w:t>
            </w:r>
          </w:p>
        </w:tc>
      </w:tr>
      <w:tr w:rsidR="00B26691" w:rsidRPr="006E6122" w14:paraId="21731EA9" w14:textId="77777777" w:rsidTr="006751BB">
        <w:trPr>
          <w:trHeight w:val="255"/>
        </w:trPr>
        <w:tc>
          <w:tcPr>
            <w:tcW w:w="0" w:type="auto"/>
            <w:tcBorders>
              <w:top w:val="nil"/>
              <w:left w:val="nil"/>
              <w:bottom w:val="nil"/>
              <w:right w:val="nil"/>
            </w:tcBorders>
            <w:shd w:val="clear" w:color="auto" w:fill="auto"/>
            <w:noWrap/>
            <w:vAlign w:val="bottom"/>
            <w:hideMark/>
          </w:tcPr>
          <w:p w14:paraId="627625A0"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698E5692"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49C0B04"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(.00922)</w:t>
            </w:r>
          </w:p>
        </w:tc>
        <w:tc>
          <w:tcPr>
            <w:tcW w:w="0" w:type="auto"/>
            <w:tcBorders>
              <w:top w:val="nil"/>
              <w:left w:val="nil"/>
              <w:bottom w:val="nil"/>
              <w:right w:val="nil"/>
            </w:tcBorders>
            <w:shd w:val="clear" w:color="auto" w:fill="auto"/>
            <w:noWrap/>
            <w:vAlign w:val="bottom"/>
          </w:tcPr>
          <w:p w14:paraId="415F421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(.00921)</w:t>
            </w:r>
          </w:p>
        </w:tc>
        <w:tc>
          <w:tcPr>
            <w:tcW w:w="0" w:type="auto"/>
            <w:tcBorders>
              <w:top w:val="nil"/>
              <w:left w:val="nil"/>
              <w:bottom w:val="nil"/>
              <w:right w:val="nil"/>
            </w:tcBorders>
            <w:shd w:val="clear" w:color="auto" w:fill="auto"/>
            <w:noWrap/>
            <w:vAlign w:val="bottom"/>
          </w:tcPr>
          <w:p w14:paraId="7E782C12"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(.00921)</w:t>
            </w:r>
          </w:p>
        </w:tc>
        <w:tc>
          <w:tcPr>
            <w:tcW w:w="0" w:type="auto"/>
            <w:tcBorders>
              <w:top w:val="nil"/>
              <w:left w:val="nil"/>
              <w:bottom w:val="nil"/>
              <w:right w:val="nil"/>
            </w:tcBorders>
            <w:shd w:val="clear" w:color="auto" w:fill="auto"/>
            <w:noWrap/>
            <w:vAlign w:val="bottom"/>
          </w:tcPr>
          <w:p w14:paraId="633FB110"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D789CD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(.00712)</w:t>
            </w:r>
          </w:p>
        </w:tc>
        <w:tc>
          <w:tcPr>
            <w:tcW w:w="0" w:type="auto"/>
            <w:tcBorders>
              <w:top w:val="nil"/>
              <w:left w:val="nil"/>
              <w:bottom w:val="nil"/>
              <w:right w:val="nil"/>
            </w:tcBorders>
            <w:shd w:val="clear" w:color="auto" w:fill="auto"/>
            <w:noWrap/>
            <w:vAlign w:val="bottom"/>
          </w:tcPr>
          <w:p w14:paraId="3725986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(.00711)</w:t>
            </w:r>
          </w:p>
        </w:tc>
        <w:tc>
          <w:tcPr>
            <w:tcW w:w="1384" w:type="dxa"/>
            <w:tcBorders>
              <w:top w:val="nil"/>
              <w:left w:val="nil"/>
              <w:bottom w:val="nil"/>
              <w:right w:val="nil"/>
            </w:tcBorders>
            <w:shd w:val="clear" w:color="auto" w:fill="auto"/>
            <w:noWrap/>
            <w:vAlign w:val="bottom"/>
          </w:tcPr>
          <w:p w14:paraId="38549F61"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(.00711)</w:t>
            </w:r>
          </w:p>
        </w:tc>
      </w:tr>
      <w:tr w:rsidR="00B26691" w:rsidRPr="006E6122" w14:paraId="2107796F" w14:textId="77777777" w:rsidTr="006751BB">
        <w:trPr>
          <w:trHeight w:val="255"/>
        </w:trPr>
        <w:tc>
          <w:tcPr>
            <w:tcW w:w="0" w:type="auto"/>
            <w:tcBorders>
              <w:top w:val="nil"/>
              <w:left w:val="nil"/>
              <w:bottom w:val="nil"/>
              <w:right w:val="nil"/>
            </w:tcBorders>
            <w:shd w:val="clear" w:color="auto" w:fill="auto"/>
            <w:noWrap/>
            <w:vAlign w:val="bottom"/>
            <w:hideMark/>
          </w:tcPr>
          <w:p w14:paraId="586C0BBD"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0" w:type="auto"/>
            <w:tcBorders>
              <w:top w:val="nil"/>
              <w:left w:val="nil"/>
              <w:bottom w:val="nil"/>
              <w:right w:val="nil"/>
            </w:tcBorders>
            <w:shd w:val="clear" w:color="auto" w:fill="auto"/>
            <w:noWrap/>
            <w:vAlign w:val="bottom"/>
            <w:hideMark/>
          </w:tcPr>
          <w:p w14:paraId="440B4367"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F2595E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.00516</w:t>
            </w:r>
          </w:p>
        </w:tc>
        <w:tc>
          <w:tcPr>
            <w:tcW w:w="0" w:type="auto"/>
            <w:tcBorders>
              <w:top w:val="nil"/>
              <w:left w:val="nil"/>
              <w:bottom w:val="nil"/>
              <w:right w:val="nil"/>
            </w:tcBorders>
            <w:shd w:val="clear" w:color="auto" w:fill="auto"/>
            <w:noWrap/>
            <w:vAlign w:val="bottom"/>
          </w:tcPr>
          <w:p w14:paraId="5FF5277E"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.00516</w:t>
            </w:r>
          </w:p>
        </w:tc>
        <w:tc>
          <w:tcPr>
            <w:tcW w:w="0" w:type="auto"/>
            <w:tcBorders>
              <w:top w:val="nil"/>
              <w:left w:val="nil"/>
              <w:bottom w:val="nil"/>
              <w:right w:val="nil"/>
            </w:tcBorders>
            <w:shd w:val="clear" w:color="auto" w:fill="auto"/>
            <w:noWrap/>
            <w:vAlign w:val="bottom"/>
          </w:tcPr>
          <w:p w14:paraId="5AF905C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.00517</w:t>
            </w:r>
          </w:p>
        </w:tc>
        <w:tc>
          <w:tcPr>
            <w:tcW w:w="0" w:type="auto"/>
            <w:tcBorders>
              <w:top w:val="nil"/>
              <w:left w:val="nil"/>
              <w:bottom w:val="nil"/>
              <w:right w:val="nil"/>
            </w:tcBorders>
            <w:shd w:val="clear" w:color="auto" w:fill="auto"/>
            <w:noWrap/>
            <w:vAlign w:val="bottom"/>
          </w:tcPr>
          <w:p w14:paraId="1E5FB0E9"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81299A8"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-.000386</w:t>
            </w:r>
          </w:p>
        </w:tc>
        <w:tc>
          <w:tcPr>
            <w:tcW w:w="0" w:type="auto"/>
            <w:tcBorders>
              <w:top w:val="nil"/>
              <w:left w:val="nil"/>
              <w:bottom w:val="nil"/>
              <w:right w:val="nil"/>
            </w:tcBorders>
            <w:shd w:val="clear" w:color="auto" w:fill="auto"/>
            <w:noWrap/>
            <w:vAlign w:val="bottom"/>
          </w:tcPr>
          <w:p w14:paraId="5C9DB904"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-.000338</w:t>
            </w:r>
          </w:p>
        </w:tc>
        <w:tc>
          <w:tcPr>
            <w:tcW w:w="1384" w:type="dxa"/>
            <w:tcBorders>
              <w:top w:val="nil"/>
              <w:left w:val="nil"/>
              <w:bottom w:val="nil"/>
              <w:right w:val="nil"/>
            </w:tcBorders>
            <w:shd w:val="clear" w:color="auto" w:fill="auto"/>
            <w:noWrap/>
            <w:vAlign w:val="bottom"/>
          </w:tcPr>
          <w:p w14:paraId="29CFB961"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-.000304</w:t>
            </w:r>
          </w:p>
        </w:tc>
      </w:tr>
      <w:tr w:rsidR="00B26691" w:rsidRPr="006E6122" w14:paraId="2C5FD0B6" w14:textId="77777777" w:rsidTr="006751BB">
        <w:trPr>
          <w:trHeight w:val="255"/>
        </w:trPr>
        <w:tc>
          <w:tcPr>
            <w:tcW w:w="0" w:type="auto"/>
            <w:tcBorders>
              <w:top w:val="nil"/>
              <w:left w:val="nil"/>
              <w:bottom w:val="nil"/>
              <w:right w:val="nil"/>
            </w:tcBorders>
            <w:shd w:val="clear" w:color="auto" w:fill="auto"/>
            <w:noWrap/>
            <w:vAlign w:val="bottom"/>
            <w:hideMark/>
          </w:tcPr>
          <w:p w14:paraId="36CA5DD5"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0C7E8B4D"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DB2B10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(.00364)</w:t>
            </w:r>
          </w:p>
        </w:tc>
        <w:tc>
          <w:tcPr>
            <w:tcW w:w="0" w:type="auto"/>
            <w:tcBorders>
              <w:top w:val="nil"/>
              <w:left w:val="nil"/>
              <w:bottom w:val="nil"/>
              <w:right w:val="nil"/>
            </w:tcBorders>
            <w:shd w:val="clear" w:color="auto" w:fill="auto"/>
            <w:noWrap/>
            <w:vAlign w:val="bottom"/>
          </w:tcPr>
          <w:p w14:paraId="7B3F6D1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(.00361)</w:t>
            </w:r>
          </w:p>
        </w:tc>
        <w:tc>
          <w:tcPr>
            <w:tcW w:w="0" w:type="auto"/>
            <w:tcBorders>
              <w:top w:val="nil"/>
              <w:left w:val="nil"/>
              <w:bottom w:val="nil"/>
              <w:right w:val="nil"/>
            </w:tcBorders>
            <w:shd w:val="clear" w:color="auto" w:fill="auto"/>
            <w:noWrap/>
            <w:vAlign w:val="bottom"/>
          </w:tcPr>
          <w:p w14:paraId="4B498AE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(.0036</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F63E2D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6024127"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(.00138)</w:t>
            </w:r>
          </w:p>
        </w:tc>
        <w:tc>
          <w:tcPr>
            <w:tcW w:w="0" w:type="auto"/>
            <w:tcBorders>
              <w:top w:val="nil"/>
              <w:left w:val="nil"/>
              <w:bottom w:val="nil"/>
              <w:right w:val="nil"/>
            </w:tcBorders>
            <w:shd w:val="clear" w:color="auto" w:fill="auto"/>
            <w:noWrap/>
            <w:vAlign w:val="bottom"/>
          </w:tcPr>
          <w:p w14:paraId="6F8A2FFC"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(.00138)</w:t>
            </w:r>
          </w:p>
        </w:tc>
        <w:tc>
          <w:tcPr>
            <w:tcW w:w="1384" w:type="dxa"/>
            <w:tcBorders>
              <w:top w:val="nil"/>
              <w:left w:val="nil"/>
              <w:bottom w:val="nil"/>
              <w:right w:val="nil"/>
            </w:tcBorders>
            <w:shd w:val="clear" w:color="auto" w:fill="auto"/>
            <w:noWrap/>
            <w:vAlign w:val="bottom"/>
          </w:tcPr>
          <w:p w14:paraId="235FC6F1"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(.00138)</w:t>
            </w:r>
          </w:p>
        </w:tc>
      </w:tr>
      <w:tr w:rsidR="00B26691" w:rsidRPr="006E6122" w14:paraId="4DCA0414" w14:textId="77777777" w:rsidTr="006751BB">
        <w:trPr>
          <w:trHeight w:val="255"/>
        </w:trPr>
        <w:tc>
          <w:tcPr>
            <w:tcW w:w="0" w:type="auto"/>
            <w:tcBorders>
              <w:top w:val="nil"/>
              <w:left w:val="nil"/>
              <w:bottom w:val="nil"/>
              <w:right w:val="nil"/>
            </w:tcBorders>
            <w:shd w:val="clear" w:color="auto" w:fill="auto"/>
            <w:noWrap/>
            <w:vAlign w:val="bottom"/>
            <w:hideMark/>
          </w:tcPr>
          <w:p w14:paraId="72D6A2B1" w14:textId="77777777" w:rsidR="00B26691" w:rsidRPr="004961A2" w:rsidRDefault="00B26691"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0" w:type="auto"/>
            <w:tcBorders>
              <w:top w:val="nil"/>
              <w:left w:val="nil"/>
              <w:bottom w:val="nil"/>
              <w:right w:val="nil"/>
            </w:tcBorders>
            <w:shd w:val="clear" w:color="auto" w:fill="auto"/>
            <w:noWrap/>
            <w:vAlign w:val="bottom"/>
            <w:hideMark/>
          </w:tcPr>
          <w:p w14:paraId="2F2C5291"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2685EA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w:t>
            </w:r>
            <w:r w:rsidR="005F3401">
              <w:rPr>
                <w:rFonts w:ascii="Calibri" w:hAnsi="Calibri" w:cs="Calibri"/>
                <w:sz w:val="20"/>
                <w:szCs w:val="20"/>
              </w:rPr>
              <w:t>0</w:t>
            </w:r>
          </w:p>
        </w:tc>
        <w:tc>
          <w:tcPr>
            <w:tcW w:w="0" w:type="auto"/>
            <w:tcBorders>
              <w:top w:val="nil"/>
              <w:left w:val="nil"/>
              <w:bottom w:val="nil"/>
              <w:right w:val="nil"/>
            </w:tcBorders>
            <w:shd w:val="clear" w:color="auto" w:fill="auto"/>
            <w:noWrap/>
            <w:vAlign w:val="bottom"/>
          </w:tcPr>
          <w:p w14:paraId="09047F5F"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-.0152</w:t>
            </w:r>
          </w:p>
        </w:tc>
        <w:tc>
          <w:tcPr>
            <w:tcW w:w="0" w:type="auto"/>
            <w:tcBorders>
              <w:top w:val="nil"/>
              <w:left w:val="nil"/>
              <w:bottom w:val="nil"/>
              <w:right w:val="nil"/>
            </w:tcBorders>
            <w:shd w:val="clear" w:color="auto" w:fill="auto"/>
            <w:noWrap/>
            <w:vAlign w:val="bottom"/>
          </w:tcPr>
          <w:p w14:paraId="0C970A4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-.0136</w:t>
            </w:r>
          </w:p>
        </w:tc>
        <w:tc>
          <w:tcPr>
            <w:tcW w:w="0" w:type="auto"/>
            <w:tcBorders>
              <w:top w:val="nil"/>
              <w:left w:val="nil"/>
              <w:bottom w:val="nil"/>
              <w:right w:val="nil"/>
            </w:tcBorders>
            <w:shd w:val="clear" w:color="auto" w:fill="auto"/>
            <w:noWrap/>
            <w:vAlign w:val="bottom"/>
          </w:tcPr>
          <w:p w14:paraId="1972D49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5524333"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-.0671*</w:t>
            </w:r>
          </w:p>
        </w:tc>
        <w:tc>
          <w:tcPr>
            <w:tcW w:w="0" w:type="auto"/>
            <w:tcBorders>
              <w:top w:val="nil"/>
              <w:left w:val="nil"/>
              <w:bottom w:val="nil"/>
              <w:right w:val="nil"/>
            </w:tcBorders>
            <w:shd w:val="clear" w:color="auto" w:fill="auto"/>
            <w:noWrap/>
            <w:vAlign w:val="bottom"/>
          </w:tcPr>
          <w:p w14:paraId="1FE8EB06"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-.0619*</w:t>
            </w:r>
          </w:p>
        </w:tc>
        <w:tc>
          <w:tcPr>
            <w:tcW w:w="1384" w:type="dxa"/>
            <w:tcBorders>
              <w:top w:val="nil"/>
              <w:left w:val="nil"/>
              <w:bottom w:val="nil"/>
              <w:right w:val="nil"/>
            </w:tcBorders>
            <w:shd w:val="clear" w:color="auto" w:fill="auto"/>
            <w:noWrap/>
            <w:vAlign w:val="bottom"/>
          </w:tcPr>
          <w:p w14:paraId="458D0372"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-.0635*</w:t>
            </w:r>
          </w:p>
        </w:tc>
      </w:tr>
      <w:tr w:rsidR="00B26691" w:rsidRPr="006E6122" w14:paraId="071CE2CC" w14:textId="77777777" w:rsidTr="006751BB">
        <w:trPr>
          <w:trHeight w:val="255"/>
        </w:trPr>
        <w:tc>
          <w:tcPr>
            <w:tcW w:w="0" w:type="auto"/>
            <w:tcBorders>
              <w:top w:val="nil"/>
              <w:left w:val="nil"/>
              <w:bottom w:val="nil"/>
              <w:right w:val="nil"/>
            </w:tcBorders>
            <w:shd w:val="clear" w:color="auto" w:fill="auto"/>
            <w:noWrap/>
            <w:vAlign w:val="bottom"/>
            <w:hideMark/>
          </w:tcPr>
          <w:p w14:paraId="5A0B6109"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01967415"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3F00CFE"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(.0529)</w:t>
            </w:r>
          </w:p>
        </w:tc>
        <w:tc>
          <w:tcPr>
            <w:tcW w:w="0" w:type="auto"/>
            <w:tcBorders>
              <w:top w:val="nil"/>
              <w:left w:val="nil"/>
              <w:bottom w:val="nil"/>
              <w:right w:val="nil"/>
            </w:tcBorders>
            <w:shd w:val="clear" w:color="auto" w:fill="auto"/>
            <w:noWrap/>
            <w:vAlign w:val="bottom"/>
          </w:tcPr>
          <w:p w14:paraId="2B2F2B11"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(.0532)</w:t>
            </w:r>
          </w:p>
        </w:tc>
        <w:tc>
          <w:tcPr>
            <w:tcW w:w="0" w:type="auto"/>
            <w:tcBorders>
              <w:top w:val="nil"/>
              <w:left w:val="nil"/>
              <w:bottom w:val="nil"/>
              <w:right w:val="nil"/>
            </w:tcBorders>
            <w:shd w:val="clear" w:color="auto" w:fill="auto"/>
            <w:noWrap/>
            <w:vAlign w:val="bottom"/>
          </w:tcPr>
          <w:p w14:paraId="4B93F264"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(.0532)</w:t>
            </w:r>
          </w:p>
        </w:tc>
        <w:tc>
          <w:tcPr>
            <w:tcW w:w="0" w:type="auto"/>
            <w:tcBorders>
              <w:top w:val="nil"/>
              <w:left w:val="nil"/>
              <w:bottom w:val="nil"/>
              <w:right w:val="nil"/>
            </w:tcBorders>
            <w:shd w:val="clear" w:color="auto" w:fill="auto"/>
            <w:noWrap/>
            <w:vAlign w:val="bottom"/>
          </w:tcPr>
          <w:p w14:paraId="05C6BE43"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47DB68E"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(.0358)</w:t>
            </w:r>
          </w:p>
        </w:tc>
        <w:tc>
          <w:tcPr>
            <w:tcW w:w="0" w:type="auto"/>
            <w:tcBorders>
              <w:top w:val="nil"/>
              <w:left w:val="nil"/>
              <w:bottom w:val="nil"/>
              <w:right w:val="nil"/>
            </w:tcBorders>
            <w:shd w:val="clear" w:color="auto" w:fill="auto"/>
            <w:noWrap/>
            <w:vAlign w:val="bottom"/>
          </w:tcPr>
          <w:p w14:paraId="55D1317D"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(.0358)</w:t>
            </w:r>
          </w:p>
        </w:tc>
        <w:tc>
          <w:tcPr>
            <w:tcW w:w="1384" w:type="dxa"/>
            <w:tcBorders>
              <w:top w:val="nil"/>
              <w:left w:val="nil"/>
              <w:bottom w:val="nil"/>
              <w:right w:val="nil"/>
            </w:tcBorders>
            <w:shd w:val="clear" w:color="auto" w:fill="auto"/>
            <w:noWrap/>
            <w:vAlign w:val="bottom"/>
          </w:tcPr>
          <w:p w14:paraId="55646253" w14:textId="77777777" w:rsidR="00B26691" w:rsidRPr="00356B3D" w:rsidRDefault="00B26691"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(.0358)</w:t>
            </w:r>
          </w:p>
        </w:tc>
      </w:tr>
      <w:tr w:rsidR="00B26691" w:rsidRPr="006E6122" w14:paraId="543298C7" w14:textId="77777777" w:rsidTr="006751BB">
        <w:trPr>
          <w:trHeight w:val="255"/>
        </w:trPr>
        <w:tc>
          <w:tcPr>
            <w:tcW w:w="0" w:type="auto"/>
            <w:tcBorders>
              <w:top w:val="nil"/>
              <w:left w:val="nil"/>
              <w:bottom w:val="nil"/>
              <w:right w:val="nil"/>
            </w:tcBorders>
            <w:shd w:val="clear" w:color="auto" w:fill="auto"/>
            <w:noWrap/>
            <w:vAlign w:val="bottom"/>
            <w:hideMark/>
          </w:tcPr>
          <w:p w14:paraId="7A355B03" w14:textId="77777777" w:rsidR="00B26691" w:rsidRPr="006E6122" w:rsidRDefault="00B2669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6BF1770D" w14:textId="77777777" w:rsidR="00B26691" w:rsidRPr="006E6122" w:rsidRDefault="00B26691" w:rsidP="009D6779">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9711C6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35B0D1B"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712AA6A"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22063AB"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F9C9C0B"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61B34D4"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c>
          <w:tcPr>
            <w:tcW w:w="1384" w:type="dxa"/>
            <w:tcBorders>
              <w:top w:val="nil"/>
              <w:left w:val="nil"/>
              <w:bottom w:val="nil"/>
              <w:right w:val="nil"/>
            </w:tcBorders>
            <w:shd w:val="clear" w:color="auto" w:fill="auto"/>
            <w:noWrap/>
            <w:vAlign w:val="bottom"/>
          </w:tcPr>
          <w:p w14:paraId="2CC672E5" w14:textId="77777777" w:rsidR="00B26691" w:rsidRPr="00356B3D" w:rsidRDefault="00B26691" w:rsidP="009D6779">
            <w:pPr>
              <w:spacing w:after="0" w:line="240" w:lineRule="auto"/>
              <w:contextualSpacing/>
              <w:jc w:val="center"/>
              <w:rPr>
                <w:rFonts w:ascii="Calibri" w:eastAsia="Times New Roman" w:hAnsi="Calibri" w:cs="Calibri"/>
                <w:sz w:val="20"/>
                <w:szCs w:val="20"/>
              </w:rPr>
            </w:pPr>
          </w:p>
        </w:tc>
      </w:tr>
      <w:tr w:rsidR="00B26691" w:rsidRPr="006E6122" w14:paraId="48ECB5A1" w14:textId="77777777" w:rsidTr="006751BB">
        <w:trPr>
          <w:trHeight w:val="255"/>
        </w:trPr>
        <w:tc>
          <w:tcPr>
            <w:tcW w:w="0" w:type="auto"/>
            <w:tcBorders>
              <w:top w:val="nil"/>
              <w:left w:val="nil"/>
              <w:bottom w:val="nil"/>
              <w:right w:val="nil"/>
            </w:tcBorders>
            <w:shd w:val="clear" w:color="auto" w:fill="auto"/>
            <w:noWrap/>
            <w:vAlign w:val="bottom"/>
            <w:hideMark/>
          </w:tcPr>
          <w:p w14:paraId="341BDF1D"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Observations</w:t>
            </w:r>
          </w:p>
        </w:tc>
        <w:tc>
          <w:tcPr>
            <w:tcW w:w="0" w:type="auto"/>
            <w:tcBorders>
              <w:top w:val="nil"/>
              <w:left w:val="nil"/>
              <w:bottom w:val="nil"/>
              <w:right w:val="nil"/>
            </w:tcBorders>
            <w:shd w:val="clear" w:color="auto" w:fill="auto"/>
            <w:noWrap/>
            <w:vAlign w:val="bottom"/>
            <w:hideMark/>
          </w:tcPr>
          <w:p w14:paraId="2C4B26B1"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A180EE5"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300,200</w:t>
            </w:r>
          </w:p>
        </w:tc>
        <w:tc>
          <w:tcPr>
            <w:tcW w:w="0" w:type="auto"/>
            <w:tcBorders>
              <w:top w:val="nil"/>
              <w:left w:val="nil"/>
              <w:bottom w:val="nil"/>
              <w:right w:val="nil"/>
            </w:tcBorders>
            <w:shd w:val="clear" w:color="auto" w:fill="auto"/>
            <w:noWrap/>
            <w:vAlign w:val="bottom"/>
          </w:tcPr>
          <w:p w14:paraId="680042AD"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300,200</w:t>
            </w:r>
          </w:p>
        </w:tc>
        <w:tc>
          <w:tcPr>
            <w:tcW w:w="0" w:type="auto"/>
            <w:tcBorders>
              <w:top w:val="nil"/>
              <w:left w:val="nil"/>
              <w:bottom w:val="nil"/>
              <w:right w:val="nil"/>
            </w:tcBorders>
            <w:shd w:val="clear" w:color="auto" w:fill="auto"/>
            <w:noWrap/>
            <w:vAlign w:val="bottom"/>
          </w:tcPr>
          <w:p w14:paraId="6D0ADEBB"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300,200</w:t>
            </w:r>
          </w:p>
        </w:tc>
        <w:tc>
          <w:tcPr>
            <w:tcW w:w="0" w:type="auto"/>
            <w:tcBorders>
              <w:top w:val="nil"/>
              <w:left w:val="nil"/>
              <w:bottom w:val="nil"/>
              <w:right w:val="nil"/>
            </w:tcBorders>
            <w:shd w:val="clear" w:color="auto" w:fill="auto"/>
            <w:noWrap/>
            <w:vAlign w:val="center"/>
          </w:tcPr>
          <w:p w14:paraId="550F9DC0" w14:textId="77777777" w:rsidR="00B26691" w:rsidRPr="00356B3D" w:rsidRDefault="00B26691" w:rsidP="009D6779">
            <w:pPr>
              <w:spacing w:after="0" w:line="240" w:lineRule="auto"/>
              <w:contextualSpacing/>
              <w:jc w:val="right"/>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323A54B"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300,200</w:t>
            </w:r>
          </w:p>
        </w:tc>
        <w:tc>
          <w:tcPr>
            <w:tcW w:w="0" w:type="auto"/>
            <w:tcBorders>
              <w:top w:val="nil"/>
              <w:left w:val="nil"/>
              <w:bottom w:val="nil"/>
              <w:right w:val="nil"/>
            </w:tcBorders>
            <w:shd w:val="clear" w:color="auto" w:fill="auto"/>
            <w:noWrap/>
            <w:vAlign w:val="bottom"/>
          </w:tcPr>
          <w:p w14:paraId="19890038"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300,200</w:t>
            </w:r>
          </w:p>
        </w:tc>
        <w:tc>
          <w:tcPr>
            <w:tcW w:w="1384" w:type="dxa"/>
            <w:tcBorders>
              <w:top w:val="nil"/>
              <w:left w:val="nil"/>
              <w:bottom w:val="nil"/>
              <w:right w:val="nil"/>
            </w:tcBorders>
            <w:shd w:val="clear" w:color="auto" w:fill="auto"/>
            <w:noWrap/>
            <w:vAlign w:val="bottom"/>
          </w:tcPr>
          <w:p w14:paraId="37DA333E"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300,200</w:t>
            </w:r>
          </w:p>
        </w:tc>
      </w:tr>
      <w:tr w:rsidR="00B26691" w:rsidRPr="006E6122" w14:paraId="665F7684" w14:textId="77777777" w:rsidTr="006751BB">
        <w:trPr>
          <w:trHeight w:val="255"/>
        </w:trPr>
        <w:tc>
          <w:tcPr>
            <w:tcW w:w="0" w:type="auto"/>
            <w:tcBorders>
              <w:top w:val="nil"/>
              <w:left w:val="nil"/>
              <w:bottom w:val="nil"/>
              <w:right w:val="nil"/>
            </w:tcBorders>
            <w:shd w:val="clear" w:color="auto" w:fill="auto"/>
            <w:noWrap/>
            <w:vAlign w:val="bottom"/>
            <w:hideMark/>
          </w:tcPr>
          <w:p w14:paraId="3C00AEBD"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Loans</w:t>
            </w:r>
          </w:p>
        </w:tc>
        <w:tc>
          <w:tcPr>
            <w:tcW w:w="0" w:type="auto"/>
            <w:tcBorders>
              <w:top w:val="nil"/>
              <w:left w:val="nil"/>
              <w:bottom w:val="nil"/>
              <w:right w:val="nil"/>
            </w:tcBorders>
            <w:shd w:val="clear" w:color="auto" w:fill="auto"/>
            <w:noWrap/>
            <w:vAlign w:val="bottom"/>
            <w:hideMark/>
          </w:tcPr>
          <w:p w14:paraId="013C6CEB" w14:textId="77777777" w:rsidR="00B26691" w:rsidRPr="006E6122" w:rsidRDefault="00B26691" w:rsidP="009D6779">
            <w:pPr>
              <w:spacing w:after="0" w:line="240" w:lineRule="auto"/>
              <w:contextualSpacing/>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62B2833"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8,494</w:t>
            </w:r>
          </w:p>
        </w:tc>
        <w:tc>
          <w:tcPr>
            <w:tcW w:w="0" w:type="auto"/>
            <w:tcBorders>
              <w:top w:val="nil"/>
              <w:left w:val="nil"/>
              <w:bottom w:val="nil"/>
              <w:right w:val="nil"/>
            </w:tcBorders>
            <w:shd w:val="clear" w:color="auto" w:fill="auto"/>
            <w:noWrap/>
            <w:vAlign w:val="bottom"/>
          </w:tcPr>
          <w:p w14:paraId="40B1E22D"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8,494</w:t>
            </w:r>
          </w:p>
        </w:tc>
        <w:tc>
          <w:tcPr>
            <w:tcW w:w="0" w:type="auto"/>
            <w:tcBorders>
              <w:top w:val="nil"/>
              <w:left w:val="nil"/>
              <w:bottom w:val="nil"/>
              <w:right w:val="nil"/>
            </w:tcBorders>
            <w:shd w:val="clear" w:color="auto" w:fill="auto"/>
            <w:noWrap/>
            <w:vAlign w:val="bottom"/>
          </w:tcPr>
          <w:p w14:paraId="033EBFC9"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8,494</w:t>
            </w:r>
          </w:p>
        </w:tc>
        <w:tc>
          <w:tcPr>
            <w:tcW w:w="0" w:type="auto"/>
            <w:tcBorders>
              <w:top w:val="nil"/>
              <w:left w:val="nil"/>
              <w:bottom w:val="nil"/>
              <w:right w:val="nil"/>
            </w:tcBorders>
            <w:shd w:val="clear" w:color="auto" w:fill="auto"/>
            <w:noWrap/>
            <w:vAlign w:val="center"/>
          </w:tcPr>
          <w:p w14:paraId="195037AC" w14:textId="77777777" w:rsidR="00B26691" w:rsidRPr="00356B3D" w:rsidRDefault="00B26691" w:rsidP="009D6779">
            <w:pPr>
              <w:spacing w:after="0" w:line="240" w:lineRule="auto"/>
              <w:contextualSpacing/>
              <w:jc w:val="right"/>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5747710"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8,494</w:t>
            </w:r>
          </w:p>
        </w:tc>
        <w:tc>
          <w:tcPr>
            <w:tcW w:w="0" w:type="auto"/>
            <w:tcBorders>
              <w:top w:val="nil"/>
              <w:left w:val="nil"/>
              <w:bottom w:val="nil"/>
              <w:right w:val="nil"/>
            </w:tcBorders>
            <w:shd w:val="clear" w:color="auto" w:fill="auto"/>
            <w:noWrap/>
            <w:vAlign w:val="bottom"/>
          </w:tcPr>
          <w:p w14:paraId="5008666C"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8,494</w:t>
            </w:r>
          </w:p>
        </w:tc>
        <w:tc>
          <w:tcPr>
            <w:tcW w:w="1384" w:type="dxa"/>
            <w:tcBorders>
              <w:top w:val="nil"/>
              <w:left w:val="nil"/>
              <w:bottom w:val="nil"/>
              <w:right w:val="nil"/>
            </w:tcBorders>
            <w:shd w:val="clear" w:color="auto" w:fill="auto"/>
            <w:noWrap/>
            <w:vAlign w:val="bottom"/>
          </w:tcPr>
          <w:p w14:paraId="6D4E0D41"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8,494</w:t>
            </w:r>
          </w:p>
        </w:tc>
      </w:tr>
      <w:tr w:rsidR="00B26691" w:rsidRPr="006E6122" w14:paraId="07DEEBAD" w14:textId="77777777" w:rsidTr="006751BB">
        <w:trPr>
          <w:trHeight w:val="255"/>
        </w:trPr>
        <w:tc>
          <w:tcPr>
            <w:tcW w:w="0" w:type="auto"/>
            <w:tcBorders>
              <w:top w:val="nil"/>
              <w:left w:val="nil"/>
              <w:bottom w:val="single" w:sz="4" w:space="0" w:color="auto"/>
              <w:right w:val="nil"/>
            </w:tcBorders>
            <w:shd w:val="clear" w:color="auto" w:fill="auto"/>
            <w:noWrap/>
            <w:vAlign w:val="bottom"/>
            <w:hideMark/>
          </w:tcPr>
          <w:p w14:paraId="77528230" w14:textId="77777777" w:rsidR="00B26691" w:rsidRPr="006E6122" w:rsidRDefault="00B26691" w:rsidP="009D6779">
            <w:pPr>
              <w:spacing w:after="0" w:line="240" w:lineRule="auto"/>
              <w:contextualSpacing/>
              <w:rPr>
                <w:rFonts w:ascii="Calibri" w:eastAsia="Times New Roman" w:hAnsi="Calibri" w:cs="Calibri"/>
                <w:sz w:val="20"/>
                <w:szCs w:val="20"/>
                <w:vertAlign w:val="superscript"/>
              </w:rPr>
            </w:pPr>
            <w:r w:rsidRPr="006E6122">
              <w:rPr>
                <w:rFonts w:ascii="Calibri" w:eastAsia="Times New Roman" w:hAnsi="Calibri" w:cs="Calibri"/>
                <w:sz w:val="20"/>
                <w:szCs w:val="20"/>
              </w:rPr>
              <w:t>Pseudo R</w:t>
            </w:r>
            <w:r>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hideMark/>
          </w:tcPr>
          <w:p w14:paraId="33595C48" w14:textId="77777777" w:rsidR="00B26691" w:rsidRPr="006E6122" w:rsidRDefault="00B26691" w:rsidP="009D6779">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tcPr>
          <w:p w14:paraId="0635FEEA"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0.043</w:t>
            </w:r>
          </w:p>
        </w:tc>
        <w:tc>
          <w:tcPr>
            <w:tcW w:w="0" w:type="auto"/>
            <w:tcBorders>
              <w:top w:val="nil"/>
              <w:left w:val="nil"/>
              <w:bottom w:val="single" w:sz="4" w:space="0" w:color="auto"/>
              <w:right w:val="nil"/>
            </w:tcBorders>
            <w:shd w:val="clear" w:color="auto" w:fill="auto"/>
            <w:noWrap/>
            <w:vAlign w:val="bottom"/>
          </w:tcPr>
          <w:p w14:paraId="608118CB"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0.044</w:t>
            </w:r>
          </w:p>
        </w:tc>
        <w:tc>
          <w:tcPr>
            <w:tcW w:w="0" w:type="auto"/>
            <w:tcBorders>
              <w:top w:val="nil"/>
              <w:left w:val="nil"/>
              <w:bottom w:val="single" w:sz="4" w:space="0" w:color="auto"/>
              <w:right w:val="nil"/>
            </w:tcBorders>
            <w:shd w:val="clear" w:color="auto" w:fill="auto"/>
            <w:noWrap/>
            <w:vAlign w:val="bottom"/>
          </w:tcPr>
          <w:p w14:paraId="53A11004"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0.044</w:t>
            </w:r>
          </w:p>
        </w:tc>
        <w:tc>
          <w:tcPr>
            <w:tcW w:w="0" w:type="auto"/>
            <w:tcBorders>
              <w:top w:val="nil"/>
              <w:left w:val="nil"/>
              <w:bottom w:val="single" w:sz="4" w:space="0" w:color="auto"/>
              <w:right w:val="nil"/>
            </w:tcBorders>
            <w:shd w:val="clear" w:color="auto" w:fill="auto"/>
            <w:noWrap/>
            <w:vAlign w:val="center"/>
          </w:tcPr>
          <w:p w14:paraId="64F05559" w14:textId="77777777" w:rsidR="00B26691" w:rsidRPr="00356B3D" w:rsidRDefault="00B26691" w:rsidP="009D6779">
            <w:pPr>
              <w:spacing w:after="0" w:line="240" w:lineRule="auto"/>
              <w:contextualSpacing/>
              <w:jc w:val="right"/>
              <w:rPr>
                <w:rFonts w:ascii="Calibri" w:eastAsia="Times New Roman" w:hAnsi="Calibri" w:cs="Calibri"/>
                <w:sz w:val="20"/>
                <w:szCs w:val="20"/>
              </w:rPr>
            </w:pPr>
          </w:p>
        </w:tc>
        <w:tc>
          <w:tcPr>
            <w:tcW w:w="0" w:type="auto"/>
            <w:tcBorders>
              <w:top w:val="nil"/>
              <w:left w:val="nil"/>
              <w:bottom w:val="single" w:sz="4" w:space="0" w:color="auto"/>
              <w:right w:val="nil"/>
            </w:tcBorders>
            <w:shd w:val="clear" w:color="auto" w:fill="auto"/>
            <w:noWrap/>
            <w:vAlign w:val="bottom"/>
          </w:tcPr>
          <w:p w14:paraId="730726BF"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0.043</w:t>
            </w:r>
          </w:p>
        </w:tc>
        <w:tc>
          <w:tcPr>
            <w:tcW w:w="0" w:type="auto"/>
            <w:tcBorders>
              <w:top w:val="nil"/>
              <w:left w:val="nil"/>
              <w:bottom w:val="single" w:sz="4" w:space="0" w:color="auto"/>
              <w:right w:val="nil"/>
            </w:tcBorders>
            <w:shd w:val="clear" w:color="auto" w:fill="auto"/>
            <w:noWrap/>
            <w:vAlign w:val="bottom"/>
          </w:tcPr>
          <w:p w14:paraId="74667168"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0.044</w:t>
            </w:r>
          </w:p>
        </w:tc>
        <w:tc>
          <w:tcPr>
            <w:tcW w:w="1384" w:type="dxa"/>
            <w:tcBorders>
              <w:top w:val="nil"/>
              <w:left w:val="nil"/>
              <w:bottom w:val="single" w:sz="4" w:space="0" w:color="auto"/>
              <w:right w:val="nil"/>
            </w:tcBorders>
            <w:shd w:val="clear" w:color="auto" w:fill="auto"/>
            <w:noWrap/>
            <w:vAlign w:val="bottom"/>
          </w:tcPr>
          <w:p w14:paraId="1919A516" w14:textId="77777777" w:rsidR="00B26691" w:rsidRPr="00356B3D" w:rsidRDefault="00B26691"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0.044</w:t>
            </w:r>
          </w:p>
        </w:tc>
      </w:tr>
    </w:tbl>
    <w:p w14:paraId="0E04058C" w14:textId="77777777" w:rsidR="00FD4CDF" w:rsidRDefault="00FD4CDF" w:rsidP="009D6779">
      <w:pPr>
        <w:spacing w:after="0"/>
        <w:contextualSpacing/>
      </w:pPr>
      <w:r>
        <w:br w:type="page"/>
      </w:r>
    </w:p>
    <w:p w14:paraId="4B557A17" w14:textId="261D974B" w:rsidR="00847A0D" w:rsidRDefault="00847A0D" w:rsidP="00847A0D">
      <w:pPr>
        <w:spacing w:after="0"/>
        <w:contextualSpacing/>
      </w:pPr>
      <w:r>
        <w:rPr>
          <w:b/>
        </w:rPr>
        <w:lastRenderedPageBreak/>
        <w:t>Table A</w:t>
      </w:r>
      <w:r w:rsidR="00DC4756">
        <w:rPr>
          <w:b/>
        </w:rPr>
        <w:t>9</w:t>
      </w:r>
    </w:p>
    <w:p w14:paraId="2939A0F8" w14:textId="1D67FDA7" w:rsidR="003520CC" w:rsidRDefault="00847A0D" w:rsidP="003520CC">
      <w:pPr>
        <w:spacing w:after="0"/>
        <w:contextualSpacing/>
      </w:pPr>
      <w:r>
        <w:t xml:space="preserve">Multinomial logit regressions based on monthly observations of first-lien, conventional, amortizing (non-balloon, non-interest only), fixed-rate mortgages for purchases of single-family residences or condominiums in Maryland and Virginia originated by nonbank originators between 2000 and 2015.  The sample is restricted to only subprime mortgages (defined as those originated to borrowers with a FICO score of 660 or less).  The sample is restricted to only mortgages originated by lenders that originated at least one mortgage in each of the ranges of years listed (as in Table </w:t>
      </w:r>
      <w:r w:rsidR="005C7B9C">
        <w:t>A1</w:t>
      </w:r>
      <w:r>
        <w:t xml:space="preserve">).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003520CC" w:rsidRPr="00EB01F8">
        <w:rPr>
          <w:i/>
        </w:rPr>
        <w:t>FICO</w:t>
      </w:r>
      <w:r w:rsidR="003520CC">
        <w:t xml:space="preserve"> is the borrower’s FICO score at origination.  </w:t>
      </w:r>
      <w:r w:rsidR="003520CC" w:rsidRPr="00EB01F8">
        <w:rPr>
          <w:i/>
        </w:rPr>
        <w:t>CLTV</w:t>
      </w:r>
      <w:r w:rsidR="003520CC">
        <w:t xml:space="preserve"> is the current loan balance divided by the current home value, where current home value is estimated as (1 + house price appreciation since origination) multiplied by the loan amount at origination divided by LTV at origination.  House price appreciation for </w:t>
      </w:r>
      <w:r w:rsidR="003520CC">
        <w:rPr>
          <w:i/>
        </w:rPr>
        <w:t>CLTV</w:t>
      </w:r>
      <w:r w:rsidR="003520CC">
        <w:t xml:space="preserve"> is measured by the CoreLogic Solutions county-level monthly house price index.  </w:t>
      </w:r>
      <w:r w:rsidR="003520CC" w:rsidRPr="000E12EE">
        <w:rPr>
          <w:i/>
        </w:rPr>
        <w:t>LoanAge</w:t>
      </w:r>
      <w:r w:rsidR="003520CC">
        <w:t xml:space="preserve"> is the number of months since origination.  </w:t>
      </w:r>
      <w:r w:rsidR="003520CC" w:rsidRPr="005B6422">
        <w:rPr>
          <w:i/>
        </w:rPr>
        <w:t>RefiPenalty</w:t>
      </w:r>
      <w:r w:rsidR="003520CC">
        <w:t xml:space="preserve"> is the change in the PMMS rate since origination.  </w:t>
      </w:r>
      <w:r w:rsidR="003520CC" w:rsidRPr="006879D3">
        <w:rPr>
          <w:i/>
        </w:rPr>
        <w:t>InterestGap</w:t>
      </w:r>
      <w:r w:rsidR="003520CC">
        <w:t xml:space="preserve"> is the difference between the mortgage interest rate at origination and the PMMS rate for the origination month.  </w:t>
      </w:r>
      <w:r w:rsidR="003520CC" w:rsidRPr="006879D3">
        <w:rPr>
          <w:i/>
        </w:rPr>
        <w:t>RelLoanSize</w:t>
      </w:r>
      <w:r w:rsidR="003520CC">
        <w:t xml:space="preserve"> is the loan amount at origination divided by the average loan amount for originations in the same vintage year and county.  </w:t>
      </w:r>
      <w:r w:rsidR="003520CC" w:rsidRPr="00EB01F8">
        <w:rPr>
          <w:i/>
        </w:rPr>
        <w:t>Unemployment</w:t>
      </w:r>
      <w:r w:rsidR="003520CC">
        <w:t xml:space="preserve"> is the monthly percentage change in the state-level unemployment rate.  </w:t>
      </w:r>
      <w:r w:rsidR="003520CC" w:rsidRPr="00EB01F8">
        <w:rPr>
          <w:i/>
        </w:rPr>
        <w:t>HPI</w:t>
      </w:r>
      <w:r w:rsidR="003520CC">
        <w:t xml:space="preserve"> is the percent change in quarterly FHFA state-level house price index since origination.  </w:t>
      </w:r>
      <w:r w:rsidR="003520CC" w:rsidRPr="001A09E2">
        <w:rPr>
          <w:i/>
        </w:rPr>
        <w:t>Condo</w:t>
      </w:r>
      <w:r w:rsidR="003520CC">
        <w:t xml:space="preserve"> is an indicator variable equaling one if the property is a condominium or townhouse and equaling zero if the property is a single family residence.  Each coefficient estimate represents the effect on the probability of default or prepayment, relative to the probability of the mortgage remaining current, of a one-unit change in the corresponding variable.  Vintage year indicators and a constant term are included in each specification.  Standard errors, clustered by loan, appear in parentheses</w:t>
      </w:r>
      <w:r w:rsidR="003520CC" w:rsidRPr="00957138">
        <w:t xml:space="preserve">.  </w:t>
      </w:r>
      <w:r w:rsidR="003520CC">
        <w:t>Levels of significance are indicated by *, **, and *** for 10%, 5%, and 1%, respectively.</w:t>
      </w:r>
    </w:p>
    <w:p w14:paraId="22E1110E" w14:textId="77777777" w:rsidR="00847A0D" w:rsidRDefault="00847A0D" w:rsidP="00847A0D">
      <w:pPr>
        <w:spacing w:after="0"/>
        <w:contextualSpacing/>
      </w:pPr>
    </w:p>
    <w:tbl>
      <w:tblPr>
        <w:tblW w:w="7959" w:type="dxa"/>
        <w:jc w:val="center"/>
        <w:tblLook w:val="04A0" w:firstRow="1" w:lastRow="0" w:firstColumn="1" w:lastColumn="0" w:noHBand="0" w:noVBand="1"/>
      </w:tblPr>
      <w:tblGrid>
        <w:gridCol w:w="1639"/>
        <w:gridCol w:w="1280"/>
        <w:gridCol w:w="1260"/>
        <w:gridCol w:w="1260"/>
        <w:gridCol w:w="1260"/>
        <w:gridCol w:w="1117"/>
        <w:gridCol w:w="143"/>
      </w:tblGrid>
      <w:tr w:rsidR="00DA64BC" w:rsidRPr="006E6122" w14:paraId="7B83B42B" w14:textId="77777777" w:rsidTr="006751BB">
        <w:trPr>
          <w:trHeight w:val="255"/>
          <w:jc w:val="center"/>
        </w:trPr>
        <w:tc>
          <w:tcPr>
            <w:tcW w:w="1639" w:type="dxa"/>
            <w:tcBorders>
              <w:top w:val="single" w:sz="4" w:space="0" w:color="auto"/>
              <w:left w:val="nil"/>
              <w:right w:val="nil"/>
            </w:tcBorders>
            <w:shd w:val="clear" w:color="auto" w:fill="auto"/>
            <w:noWrap/>
            <w:vAlign w:val="bottom"/>
            <w:hideMark/>
          </w:tcPr>
          <w:p w14:paraId="2F57FA16"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6320" w:type="dxa"/>
            <w:gridSpan w:val="6"/>
            <w:tcBorders>
              <w:top w:val="single" w:sz="4" w:space="0" w:color="auto"/>
              <w:left w:val="nil"/>
              <w:right w:val="nil"/>
            </w:tcBorders>
            <w:shd w:val="clear" w:color="auto" w:fill="auto"/>
            <w:noWrap/>
            <w:vAlign w:val="bottom"/>
            <w:hideMark/>
          </w:tcPr>
          <w:p w14:paraId="5D21FA14"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xml:space="preserve">Probability of </w:t>
            </w:r>
            <w:r>
              <w:rPr>
                <w:rFonts w:ascii="Calibri" w:eastAsia="Times New Roman" w:hAnsi="Calibri" w:cs="Calibri"/>
                <w:sz w:val="20"/>
                <w:szCs w:val="20"/>
              </w:rPr>
              <w:t>d</w:t>
            </w:r>
            <w:r w:rsidRPr="006E6122">
              <w:rPr>
                <w:rFonts w:ascii="Calibri" w:eastAsia="Times New Roman" w:hAnsi="Calibri" w:cs="Calibri"/>
                <w:sz w:val="20"/>
                <w:szCs w:val="20"/>
              </w:rPr>
              <w:t>efault</w:t>
            </w:r>
          </w:p>
        </w:tc>
      </w:tr>
      <w:tr w:rsidR="00DA64BC" w:rsidRPr="006E6122" w14:paraId="2F22D3FC" w14:textId="77777777" w:rsidTr="006751BB">
        <w:trPr>
          <w:trHeight w:val="255"/>
          <w:jc w:val="center"/>
        </w:trPr>
        <w:tc>
          <w:tcPr>
            <w:tcW w:w="1639" w:type="dxa"/>
            <w:tcBorders>
              <w:top w:val="nil"/>
              <w:left w:val="nil"/>
              <w:right w:val="nil"/>
            </w:tcBorders>
            <w:shd w:val="clear" w:color="auto" w:fill="auto"/>
            <w:noWrap/>
            <w:vAlign w:val="bottom"/>
            <w:hideMark/>
          </w:tcPr>
          <w:p w14:paraId="06A3CCD6" w14:textId="77777777" w:rsidR="00DA64BC" w:rsidRPr="006E6122" w:rsidRDefault="00DA64BC" w:rsidP="00FC7167">
            <w:pPr>
              <w:spacing w:after="0" w:line="240" w:lineRule="auto"/>
              <w:contextualSpacing/>
              <w:jc w:val="center"/>
              <w:rPr>
                <w:rFonts w:ascii="Calibri" w:eastAsia="Times New Roman" w:hAnsi="Calibri" w:cs="Calibri"/>
                <w:sz w:val="18"/>
                <w:szCs w:val="18"/>
              </w:rPr>
            </w:pPr>
            <w:r w:rsidRPr="006E6122">
              <w:rPr>
                <w:rFonts w:ascii="Calibri" w:eastAsia="Times New Roman" w:hAnsi="Calibri" w:cs="Calibri"/>
                <w:sz w:val="18"/>
                <w:szCs w:val="18"/>
              </w:rPr>
              <w:t> </w:t>
            </w:r>
          </w:p>
        </w:tc>
        <w:tc>
          <w:tcPr>
            <w:tcW w:w="1280" w:type="dxa"/>
            <w:tcBorders>
              <w:top w:val="nil"/>
              <w:left w:val="nil"/>
              <w:right w:val="nil"/>
            </w:tcBorders>
            <w:shd w:val="clear" w:color="auto" w:fill="auto"/>
            <w:noWrap/>
            <w:vAlign w:val="bottom"/>
            <w:hideMark/>
          </w:tcPr>
          <w:p w14:paraId="54F5E0EB"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2008-2010</w:t>
            </w:r>
          </w:p>
        </w:tc>
        <w:tc>
          <w:tcPr>
            <w:tcW w:w="1260" w:type="dxa"/>
            <w:tcBorders>
              <w:top w:val="nil"/>
              <w:left w:val="nil"/>
              <w:right w:val="nil"/>
            </w:tcBorders>
            <w:shd w:val="clear" w:color="auto" w:fill="auto"/>
            <w:noWrap/>
            <w:vAlign w:val="bottom"/>
            <w:hideMark/>
          </w:tcPr>
          <w:p w14:paraId="77C27388"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2007-2011</w:t>
            </w:r>
          </w:p>
        </w:tc>
        <w:tc>
          <w:tcPr>
            <w:tcW w:w="1260" w:type="dxa"/>
            <w:tcBorders>
              <w:top w:val="nil"/>
              <w:left w:val="nil"/>
              <w:right w:val="nil"/>
            </w:tcBorders>
            <w:shd w:val="clear" w:color="auto" w:fill="auto"/>
            <w:noWrap/>
            <w:vAlign w:val="bottom"/>
            <w:hideMark/>
          </w:tcPr>
          <w:p w14:paraId="79D71247"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2006-2012</w:t>
            </w:r>
          </w:p>
        </w:tc>
        <w:tc>
          <w:tcPr>
            <w:tcW w:w="1260" w:type="dxa"/>
            <w:tcBorders>
              <w:top w:val="nil"/>
              <w:left w:val="nil"/>
              <w:right w:val="nil"/>
            </w:tcBorders>
            <w:shd w:val="clear" w:color="auto" w:fill="auto"/>
            <w:noWrap/>
            <w:vAlign w:val="bottom"/>
            <w:hideMark/>
          </w:tcPr>
          <w:p w14:paraId="4AE520F5"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2005-2013</w:t>
            </w:r>
          </w:p>
        </w:tc>
        <w:tc>
          <w:tcPr>
            <w:tcW w:w="1260" w:type="dxa"/>
            <w:gridSpan w:val="2"/>
            <w:tcBorders>
              <w:top w:val="nil"/>
              <w:left w:val="nil"/>
              <w:right w:val="nil"/>
            </w:tcBorders>
            <w:shd w:val="clear" w:color="auto" w:fill="auto"/>
            <w:noWrap/>
            <w:vAlign w:val="bottom"/>
            <w:hideMark/>
          </w:tcPr>
          <w:p w14:paraId="532E37E3"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2004-2014</w:t>
            </w:r>
          </w:p>
        </w:tc>
      </w:tr>
      <w:tr w:rsidR="00DA64BC" w:rsidRPr="006E6122" w14:paraId="4C84FD22" w14:textId="77777777" w:rsidTr="006751BB">
        <w:trPr>
          <w:trHeight w:val="255"/>
          <w:jc w:val="center"/>
        </w:trPr>
        <w:tc>
          <w:tcPr>
            <w:tcW w:w="1639" w:type="dxa"/>
            <w:tcBorders>
              <w:left w:val="nil"/>
              <w:bottom w:val="single" w:sz="4" w:space="0" w:color="auto"/>
              <w:right w:val="nil"/>
            </w:tcBorders>
            <w:shd w:val="clear" w:color="auto" w:fill="auto"/>
            <w:noWrap/>
            <w:vAlign w:val="bottom"/>
            <w:hideMark/>
          </w:tcPr>
          <w:p w14:paraId="662B4030"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left w:val="nil"/>
              <w:bottom w:val="single" w:sz="4" w:space="0" w:color="auto"/>
              <w:right w:val="nil"/>
            </w:tcBorders>
            <w:shd w:val="clear" w:color="auto" w:fill="auto"/>
            <w:noWrap/>
            <w:vAlign w:val="bottom"/>
            <w:hideMark/>
          </w:tcPr>
          <w:p w14:paraId="244A62E2"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(1)</w:t>
            </w:r>
          </w:p>
        </w:tc>
        <w:tc>
          <w:tcPr>
            <w:tcW w:w="1260" w:type="dxa"/>
            <w:tcBorders>
              <w:left w:val="nil"/>
              <w:bottom w:val="single" w:sz="4" w:space="0" w:color="auto"/>
              <w:right w:val="nil"/>
            </w:tcBorders>
            <w:shd w:val="clear" w:color="auto" w:fill="auto"/>
            <w:noWrap/>
            <w:vAlign w:val="bottom"/>
            <w:hideMark/>
          </w:tcPr>
          <w:p w14:paraId="54C02BBA"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w:t>
            </w:r>
          </w:p>
        </w:tc>
        <w:tc>
          <w:tcPr>
            <w:tcW w:w="1260" w:type="dxa"/>
            <w:tcBorders>
              <w:left w:val="nil"/>
              <w:bottom w:val="single" w:sz="4" w:space="0" w:color="auto"/>
              <w:right w:val="nil"/>
            </w:tcBorders>
            <w:shd w:val="clear" w:color="auto" w:fill="auto"/>
            <w:noWrap/>
            <w:vAlign w:val="bottom"/>
            <w:hideMark/>
          </w:tcPr>
          <w:p w14:paraId="6B5A5E2D"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(3)</w:t>
            </w:r>
          </w:p>
        </w:tc>
        <w:tc>
          <w:tcPr>
            <w:tcW w:w="1260" w:type="dxa"/>
            <w:tcBorders>
              <w:left w:val="nil"/>
              <w:bottom w:val="single" w:sz="4" w:space="0" w:color="auto"/>
              <w:right w:val="nil"/>
            </w:tcBorders>
            <w:shd w:val="clear" w:color="auto" w:fill="auto"/>
            <w:noWrap/>
            <w:vAlign w:val="bottom"/>
            <w:hideMark/>
          </w:tcPr>
          <w:p w14:paraId="04DBDBDD"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(4)</w:t>
            </w:r>
          </w:p>
        </w:tc>
        <w:tc>
          <w:tcPr>
            <w:tcW w:w="1260" w:type="dxa"/>
            <w:gridSpan w:val="2"/>
            <w:tcBorders>
              <w:left w:val="nil"/>
              <w:bottom w:val="single" w:sz="4" w:space="0" w:color="auto"/>
              <w:right w:val="nil"/>
            </w:tcBorders>
            <w:shd w:val="clear" w:color="auto" w:fill="auto"/>
            <w:noWrap/>
            <w:vAlign w:val="bottom"/>
            <w:hideMark/>
          </w:tcPr>
          <w:p w14:paraId="018E55FA" w14:textId="77777777" w:rsidR="00DA64BC" w:rsidRPr="006E6122" w:rsidRDefault="00DA64BC" w:rsidP="00FC7167">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(5)</w:t>
            </w:r>
          </w:p>
        </w:tc>
      </w:tr>
      <w:tr w:rsidR="00DA64BC" w:rsidRPr="006E6122" w14:paraId="5BE1E0DC" w14:textId="77777777" w:rsidTr="006751BB">
        <w:trPr>
          <w:trHeight w:val="255"/>
          <w:jc w:val="center"/>
        </w:trPr>
        <w:tc>
          <w:tcPr>
            <w:tcW w:w="1639" w:type="dxa"/>
            <w:tcBorders>
              <w:top w:val="single" w:sz="4" w:space="0" w:color="auto"/>
              <w:left w:val="nil"/>
              <w:bottom w:val="nil"/>
              <w:right w:val="nil"/>
            </w:tcBorders>
            <w:shd w:val="clear" w:color="auto" w:fill="auto"/>
            <w:noWrap/>
            <w:vAlign w:val="bottom"/>
            <w:hideMark/>
          </w:tcPr>
          <w:p w14:paraId="24EFECBA"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280" w:type="dxa"/>
            <w:tcBorders>
              <w:top w:val="single" w:sz="4" w:space="0" w:color="auto"/>
              <w:left w:val="nil"/>
              <w:bottom w:val="nil"/>
              <w:right w:val="nil"/>
            </w:tcBorders>
            <w:shd w:val="clear" w:color="auto" w:fill="auto"/>
            <w:noWrap/>
            <w:vAlign w:val="bottom"/>
          </w:tcPr>
          <w:p w14:paraId="235965A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.0119</w:t>
            </w:r>
          </w:p>
        </w:tc>
        <w:tc>
          <w:tcPr>
            <w:tcW w:w="1260" w:type="dxa"/>
            <w:tcBorders>
              <w:top w:val="single" w:sz="4" w:space="0" w:color="auto"/>
              <w:left w:val="nil"/>
              <w:bottom w:val="nil"/>
              <w:right w:val="nil"/>
            </w:tcBorders>
            <w:shd w:val="clear" w:color="auto" w:fill="auto"/>
            <w:noWrap/>
            <w:vAlign w:val="bottom"/>
          </w:tcPr>
          <w:p w14:paraId="379E69F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.0122</w:t>
            </w:r>
          </w:p>
        </w:tc>
        <w:tc>
          <w:tcPr>
            <w:tcW w:w="1260" w:type="dxa"/>
            <w:tcBorders>
              <w:top w:val="single" w:sz="4" w:space="0" w:color="auto"/>
              <w:left w:val="nil"/>
              <w:bottom w:val="nil"/>
              <w:right w:val="nil"/>
            </w:tcBorders>
            <w:shd w:val="clear" w:color="auto" w:fill="auto"/>
            <w:noWrap/>
            <w:vAlign w:val="bottom"/>
          </w:tcPr>
          <w:p w14:paraId="5354644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.0291</w:t>
            </w:r>
          </w:p>
        </w:tc>
        <w:tc>
          <w:tcPr>
            <w:tcW w:w="1260" w:type="dxa"/>
            <w:tcBorders>
              <w:top w:val="single" w:sz="4" w:space="0" w:color="auto"/>
              <w:left w:val="nil"/>
              <w:bottom w:val="nil"/>
              <w:right w:val="nil"/>
            </w:tcBorders>
            <w:shd w:val="clear" w:color="auto" w:fill="auto"/>
            <w:noWrap/>
            <w:vAlign w:val="bottom"/>
          </w:tcPr>
          <w:p w14:paraId="6797C41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w:t>
            </w:r>
            <w:r w:rsidR="005F3401">
              <w:rPr>
                <w:rFonts w:ascii="Calibri" w:hAnsi="Calibri" w:cs="Calibri"/>
                <w:sz w:val="20"/>
                <w:szCs w:val="20"/>
              </w:rPr>
              <w:t>0</w:t>
            </w:r>
          </w:p>
        </w:tc>
        <w:tc>
          <w:tcPr>
            <w:tcW w:w="1260" w:type="dxa"/>
            <w:gridSpan w:val="2"/>
            <w:tcBorders>
              <w:top w:val="single" w:sz="4" w:space="0" w:color="auto"/>
              <w:left w:val="nil"/>
              <w:bottom w:val="nil"/>
              <w:right w:val="nil"/>
            </w:tcBorders>
            <w:shd w:val="clear" w:color="auto" w:fill="auto"/>
            <w:noWrap/>
            <w:vAlign w:val="bottom"/>
          </w:tcPr>
          <w:p w14:paraId="4449BCE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.0443</w:t>
            </w:r>
          </w:p>
        </w:tc>
      </w:tr>
      <w:tr w:rsidR="00DA64BC" w:rsidRPr="006E6122" w14:paraId="5AC64EBA"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37C2F11"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E265C2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(.0763)</w:t>
            </w:r>
          </w:p>
        </w:tc>
        <w:tc>
          <w:tcPr>
            <w:tcW w:w="1260" w:type="dxa"/>
            <w:tcBorders>
              <w:top w:val="nil"/>
              <w:left w:val="nil"/>
              <w:bottom w:val="nil"/>
              <w:right w:val="nil"/>
            </w:tcBorders>
            <w:shd w:val="clear" w:color="auto" w:fill="auto"/>
            <w:noWrap/>
            <w:vAlign w:val="bottom"/>
          </w:tcPr>
          <w:p w14:paraId="30AAB1E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(.0776)</w:t>
            </w:r>
          </w:p>
        </w:tc>
        <w:tc>
          <w:tcPr>
            <w:tcW w:w="1260" w:type="dxa"/>
            <w:tcBorders>
              <w:top w:val="nil"/>
              <w:left w:val="nil"/>
              <w:bottom w:val="nil"/>
              <w:right w:val="nil"/>
            </w:tcBorders>
            <w:shd w:val="clear" w:color="auto" w:fill="auto"/>
            <w:noWrap/>
            <w:vAlign w:val="bottom"/>
          </w:tcPr>
          <w:p w14:paraId="1F78451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(.103)</w:t>
            </w:r>
          </w:p>
        </w:tc>
        <w:tc>
          <w:tcPr>
            <w:tcW w:w="1260" w:type="dxa"/>
            <w:tcBorders>
              <w:top w:val="nil"/>
              <w:left w:val="nil"/>
              <w:bottom w:val="nil"/>
              <w:right w:val="nil"/>
            </w:tcBorders>
            <w:shd w:val="clear" w:color="auto" w:fill="auto"/>
            <w:noWrap/>
            <w:vAlign w:val="bottom"/>
          </w:tcPr>
          <w:p w14:paraId="64001A9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(.106)</w:t>
            </w:r>
          </w:p>
        </w:tc>
        <w:tc>
          <w:tcPr>
            <w:tcW w:w="1260" w:type="dxa"/>
            <w:gridSpan w:val="2"/>
            <w:tcBorders>
              <w:top w:val="nil"/>
              <w:left w:val="nil"/>
              <w:bottom w:val="nil"/>
              <w:right w:val="nil"/>
            </w:tcBorders>
            <w:shd w:val="clear" w:color="auto" w:fill="auto"/>
            <w:noWrap/>
            <w:vAlign w:val="bottom"/>
          </w:tcPr>
          <w:p w14:paraId="7309D1E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(.111)</w:t>
            </w:r>
          </w:p>
        </w:tc>
      </w:tr>
      <w:tr w:rsidR="00DA64BC" w:rsidRPr="006E6122" w14:paraId="3F627815"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4C71E40"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280" w:type="dxa"/>
            <w:tcBorders>
              <w:top w:val="nil"/>
              <w:left w:val="nil"/>
              <w:bottom w:val="nil"/>
              <w:right w:val="nil"/>
            </w:tcBorders>
            <w:shd w:val="clear" w:color="auto" w:fill="auto"/>
            <w:noWrap/>
            <w:vAlign w:val="bottom"/>
          </w:tcPr>
          <w:p w14:paraId="65E0273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-.346</w:t>
            </w:r>
          </w:p>
        </w:tc>
        <w:tc>
          <w:tcPr>
            <w:tcW w:w="1260" w:type="dxa"/>
            <w:tcBorders>
              <w:top w:val="nil"/>
              <w:left w:val="nil"/>
              <w:bottom w:val="nil"/>
              <w:right w:val="nil"/>
            </w:tcBorders>
            <w:shd w:val="clear" w:color="auto" w:fill="auto"/>
            <w:noWrap/>
            <w:vAlign w:val="bottom"/>
          </w:tcPr>
          <w:p w14:paraId="634D11A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-.881</w:t>
            </w:r>
          </w:p>
        </w:tc>
        <w:tc>
          <w:tcPr>
            <w:tcW w:w="1260" w:type="dxa"/>
            <w:tcBorders>
              <w:top w:val="nil"/>
              <w:left w:val="nil"/>
              <w:bottom w:val="nil"/>
              <w:right w:val="nil"/>
            </w:tcBorders>
            <w:shd w:val="clear" w:color="auto" w:fill="auto"/>
            <w:noWrap/>
            <w:vAlign w:val="bottom"/>
          </w:tcPr>
          <w:p w14:paraId="1EAB98C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-1.306*</w:t>
            </w:r>
          </w:p>
        </w:tc>
        <w:tc>
          <w:tcPr>
            <w:tcW w:w="1260" w:type="dxa"/>
            <w:tcBorders>
              <w:top w:val="nil"/>
              <w:left w:val="nil"/>
              <w:bottom w:val="nil"/>
              <w:right w:val="nil"/>
            </w:tcBorders>
            <w:shd w:val="clear" w:color="auto" w:fill="auto"/>
            <w:noWrap/>
            <w:vAlign w:val="bottom"/>
          </w:tcPr>
          <w:p w14:paraId="3811B57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-1.31</w:t>
            </w:r>
            <w:r w:rsidR="005F340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1A6C14B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-1.098*</w:t>
            </w:r>
          </w:p>
        </w:tc>
      </w:tr>
      <w:tr w:rsidR="00DA64BC" w:rsidRPr="006E6122" w14:paraId="6BAD9192"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3FA596CB"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E96C96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(.302)</w:t>
            </w:r>
          </w:p>
        </w:tc>
        <w:tc>
          <w:tcPr>
            <w:tcW w:w="1260" w:type="dxa"/>
            <w:tcBorders>
              <w:top w:val="nil"/>
              <w:left w:val="nil"/>
              <w:bottom w:val="nil"/>
              <w:right w:val="nil"/>
            </w:tcBorders>
            <w:shd w:val="clear" w:color="auto" w:fill="auto"/>
            <w:noWrap/>
            <w:vAlign w:val="bottom"/>
          </w:tcPr>
          <w:p w14:paraId="09BA591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(.562)</w:t>
            </w:r>
          </w:p>
        </w:tc>
        <w:tc>
          <w:tcPr>
            <w:tcW w:w="1260" w:type="dxa"/>
            <w:tcBorders>
              <w:top w:val="nil"/>
              <w:left w:val="nil"/>
              <w:bottom w:val="nil"/>
              <w:right w:val="nil"/>
            </w:tcBorders>
            <w:shd w:val="clear" w:color="auto" w:fill="auto"/>
            <w:noWrap/>
            <w:vAlign w:val="bottom"/>
          </w:tcPr>
          <w:p w14:paraId="4CF81F1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(.687)</w:t>
            </w:r>
          </w:p>
        </w:tc>
        <w:tc>
          <w:tcPr>
            <w:tcW w:w="1260" w:type="dxa"/>
            <w:tcBorders>
              <w:top w:val="nil"/>
              <w:left w:val="nil"/>
              <w:bottom w:val="nil"/>
              <w:right w:val="nil"/>
            </w:tcBorders>
            <w:shd w:val="clear" w:color="auto" w:fill="auto"/>
            <w:noWrap/>
            <w:vAlign w:val="bottom"/>
          </w:tcPr>
          <w:p w14:paraId="65CEAD58"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(.687)</w:t>
            </w:r>
          </w:p>
        </w:tc>
        <w:tc>
          <w:tcPr>
            <w:tcW w:w="1260" w:type="dxa"/>
            <w:gridSpan w:val="2"/>
            <w:tcBorders>
              <w:top w:val="nil"/>
              <w:left w:val="nil"/>
              <w:bottom w:val="nil"/>
              <w:right w:val="nil"/>
            </w:tcBorders>
            <w:shd w:val="clear" w:color="auto" w:fill="auto"/>
            <w:noWrap/>
            <w:vAlign w:val="bottom"/>
          </w:tcPr>
          <w:p w14:paraId="44DCF4F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(.662)</w:t>
            </w:r>
          </w:p>
        </w:tc>
      </w:tr>
      <w:tr w:rsidR="00DA64BC" w:rsidRPr="006E6122" w14:paraId="1C946278"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7CB68DF0"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280" w:type="dxa"/>
            <w:tcBorders>
              <w:top w:val="nil"/>
              <w:left w:val="nil"/>
              <w:bottom w:val="nil"/>
              <w:right w:val="nil"/>
            </w:tcBorders>
            <w:shd w:val="clear" w:color="auto" w:fill="auto"/>
            <w:noWrap/>
            <w:vAlign w:val="bottom"/>
          </w:tcPr>
          <w:p w14:paraId="027032C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-.165</w:t>
            </w:r>
          </w:p>
        </w:tc>
        <w:tc>
          <w:tcPr>
            <w:tcW w:w="1260" w:type="dxa"/>
            <w:tcBorders>
              <w:top w:val="nil"/>
              <w:left w:val="nil"/>
              <w:bottom w:val="nil"/>
              <w:right w:val="nil"/>
            </w:tcBorders>
            <w:shd w:val="clear" w:color="auto" w:fill="auto"/>
            <w:noWrap/>
            <w:vAlign w:val="bottom"/>
          </w:tcPr>
          <w:p w14:paraId="255939F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-.197</w:t>
            </w:r>
          </w:p>
        </w:tc>
        <w:tc>
          <w:tcPr>
            <w:tcW w:w="1260" w:type="dxa"/>
            <w:tcBorders>
              <w:top w:val="nil"/>
              <w:left w:val="nil"/>
              <w:bottom w:val="nil"/>
              <w:right w:val="nil"/>
            </w:tcBorders>
            <w:shd w:val="clear" w:color="auto" w:fill="auto"/>
            <w:noWrap/>
            <w:vAlign w:val="bottom"/>
          </w:tcPr>
          <w:p w14:paraId="6B107BC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-.197</w:t>
            </w:r>
          </w:p>
        </w:tc>
        <w:tc>
          <w:tcPr>
            <w:tcW w:w="1260" w:type="dxa"/>
            <w:tcBorders>
              <w:top w:val="nil"/>
              <w:left w:val="nil"/>
              <w:bottom w:val="nil"/>
              <w:right w:val="nil"/>
            </w:tcBorders>
            <w:shd w:val="clear" w:color="auto" w:fill="auto"/>
            <w:noWrap/>
            <w:vAlign w:val="bottom"/>
          </w:tcPr>
          <w:p w14:paraId="7268D4E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-.12</w:t>
            </w:r>
            <w:r w:rsidR="005F3401">
              <w:rPr>
                <w:rFonts w:ascii="Calibri" w:hAnsi="Calibri" w:cs="Calibri"/>
                <w:sz w:val="20"/>
                <w:szCs w:val="20"/>
              </w:rPr>
              <w:t>0</w:t>
            </w:r>
          </w:p>
        </w:tc>
        <w:tc>
          <w:tcPr>
            <w:tcW w:w="1260" w:type="dxa"/>
            <w:gridSpan w:val="2"/>
            <w:tcBorders>
              <w:top w:val="nil"/>
              <w:left w:val="nil"/>
              <w:bottom w:val="nil"/>
              <w:right w:val="nil"/>
            </w:tcBorders>
            <w:shd w:val="clear" w:color="auto" w:fill="auto"/>
            <w:noWrap/>
            <w:vAlign w:val="bottom"/>
          </w:tcPr>
          <w:p w14:paraId="3ABDC0A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-.212</w:t>
            </w:r>
          </w:p>
        </w:tc>
      </w:tr>
      <w:tr w:rsidR="00DA64BC" w:rsidRPr="006E6122" w14:paraId="5BF629BD"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39257FC"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0460F7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(.148)</w:t>
            </w:r>
          </w:p>
        </w:tc>
        <w:tc>
          <w:tcPr>
            <w:tcW w:w="1260" w:type="dxa"/>
            <w:tcBorders>
              <w:top w:val="nil"/>
              <w:left w:val="nil"/>
              <w:bottom w:val="nil"/>
              <w:right w:val="nil"/>
            </w:tcBorders>
            <w:shd w:val="clear" w:color="auto" w:fill="auto"/>
            <w:noWrap/>
            <w:vAlign w:val="bottom"/>
          </w:tcPr>
          <w:p w14:paraId="3ACC864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(.167)</w:t>
            </w:r>
          </w:p>
        </w:tc>
        <w:tc>
          <w:tcPr>
            <w:tcW w:w="1260" w:type="dxa"/>
            <w:tcBorders>
              <w:top w:val="nil"/>
              <w:left w:val="nil"/>
              <w:bottom w:val="nil"/>
              <w:right w:val="nil"/>
            </w:tcBorders>
            <w:shd w:val="clear" w:color="auto" w:fill="auto"/>
            <w:noWrap/>
            <w:vAlign w:val="bottom"/>
          </w:tcPr>
          <w:p w14:paraId="5347114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(.181)</w:t>
            </w:r>
          </w:p>
        </w:tc>
        <w:tc>
          <w:tcPr>
            <w:tcW w:w="1260" w:type="dxa"/>
            <w:tcBorders>
              <w:top w:val="nil"/>
              <w:left w:val="nil"/>
              <w:bottom w:val="nil"/>
              <w:right w:val="nil"/>
            </w:tcBorders>
            <w:shd w:val="clear" w:color="auto" w:fill="auto"/>
            <w:noWrap/>
            <w:vAlign w:val="bottom"/>
          </w:tcPr>
          <w:p w14:paraId="686F9ED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(.188)</w:t>
            </w:r>
          </w:p>
        </w:tc>
        <w:tc>
          <w:tcPr>
            <w:tcW w:w="1260" w:type="dxa"/>
            <w:gridSpan w:val="2"/>
            <w:tcBorders>
              <w:top w:val="nil"/>
              <w:left w:val="nil"/>
              <w:bottom w:val="nil"/>
              <w:right w:val="nil"/>
            </w:tcBorders>
            <w:shd w:val="clear" w:color="auto" w:fill="auto"/>
            <w:noWrap/>
            <w:vAlign w:val="bottom"/>
          </w:tcPr>
          <w:p w14:paraId="1D2CD50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(.194)</w:t>
            </w:r>
          </w:p>
        </w:tc>
      </w:tr>
      <w:tr w:rsidR="00DA64BC" w:rsidRPr="006E6122" w14:paraId="4111E724"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DAC2595"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280" w:type="dxa"/>
            <w:tcBorders>
              <w:top w:val="nil"/>
              <w:left w:val="nil"/>
              <w:bottom w:val="nil"/>
              <w:right w:val="nil"/>
            </w:tcBorders>
            <w:shd w:val="clear" w:color="auto" w:fill="auto"/>
            <w:noWrap/>
            <w:vAlign w:val="bottom"/>
          </w:tcPr>
          <w:p w14:paraId="202A8A8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-.00956***</w:t>
            </w:r>
          </w:p>
        </w:tc>
        <w:tc>
          <w:tcPr>
            <w:tcW w:w="1260" w:type="dxa"/>
            <w:tcBorders>
              <w:top w:val="nil"/>
              <w:left w:val="nil"/>
              <w:bottom w:val="nil"/>
              <w:right w:val="nil"/>
            </w:tcBorders>
            <w:shd w:val="clear" w:color="auto" w:fill="auto"/>
            <w:noWrap/>
            <w:vAlign w:val="bottom"/>
          </w:tcPr>
          <w:p w14:paraId="1B10A51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-.00934***</w:t>
            </w:r>
          </w:p>
        </w:tc>
        <w:tc>
          <w:tcPr>
            <w:tcW w:w="1260" w:type="dxa"/>
            <w:tcBorders>
              <w:top w:val="nil"/>
              <w:left w:val="nil"/>
              <w:bottom w:val="nil"/>
              <w:right w:val="nil"/>
            </w:tcBorders>
            <w:shd w:val="clear" w:color="auto" w:fill="auto"/>
            <w:noWrap/>
            <w:vAlign w:val="bottom"/>
          </w:tcPr>
          <w:p w14:paraId="6899897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-.00941***</w:t>
            </w:r>
          </w:p>
        </w:tc>
        <w:tc>
          <w:tcPr>
            <w:tcW w:w="1260" w:type="dxa"/>
            <w:tcBorders>
              <w:top w:val="nil"/>
              <w:left w:val="nil"/>
              <w:bottom w:val="nil"/>
              <w:right w:val="nil"/>
            </w:tcBorders>
            <w:shd w:val="clear" w:color="auto" w:fill="auto"/>
            <w:noWrap/>
            <w:vAlign w:val="bottom"/>
          </w:tcPr>
          <w:p w14:paraId="653A8F1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-.00939***</w:t>
            </w:r>
          </w:p>
        </w:tc>
        <w:tc>
          <w:tcPr>
            <w:tcW w:w="1260" w:type="dxa"/>
            <w:gridSpan w:val="2"/>
            <w:tcBorders>
              <w:top w:val="nil"/>
              <w:left w:val="nil"/>
              <w:bottom w:val="nil"/>
              <w:right w:val="nil"/>
            </w:tcBorders>
            <w:shd w:val="clear" w:color="auto" w:fill="auto"/>
            <w:noWrap/>
            <w:vAlign w:val="bottom"/>
          </w:tcPr>
          <w:p w14:paraId="1290336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-.00947***</w:t>
            </w:r>
          </w:p>
        </w:tc>
      </w:tr>
      <w:tr w:rsidR="00DA64BC" w:rsidRPr="006E6122" w14:paraId="53C42E80"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6DD244C"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CC657B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(.0011</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7020EF9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(.00113)</w:t>
            </w:r>
          </w:p>
        </w:tc>
        <w:tc>
          <w:tcPr>
            <w:tcW w:w="1260" w:type="dxa"/>
            <w:tcBorders>
              <w:top w:val="nil"/>
              <w:left w:val="nil"/>
              <w:bottom w:val="nil"/>
              <w:right w:val="nil"/>
            </w:tcBorders>
            <w:shd w:val="clear" w:color="auto" w:fill="auto"/>
            <w:noWrap/>
            <w:vAlign w:val="bottom"/>
          </w:tcPr>
          <w:p w14:paraId="3A9425F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(.00137)</w:t>
            </w:r>
          </w:p>
        </w:tc>
        <w:tc>
          <w:tcPr>
            <w:tcW w:w="1260" w:type="dxa"/>
            <w:tcBorders>
              <w:top w:val="nil"/>
              <w:left w:val="nil"/>
              <w:bottom w:val="nil"/>
              <w:right w:val="nil"/>
            </w:tcBorders>
            <w:shd w:val="clear" w:color="auto" w:fill="auto"/>
            <w:noWrap/>
            <w:vAlign w:val="bottom"/>
          </w:tcPr>
          <w:p w14:paraId="6081FBF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(.0014</w:t>
            </w:r>
            <w:r w:rsidR="005F340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75AB9D7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(.00142)</w:t>
            </w:r>
          </w:p>
        </w:tc>
      </w:tr>
      <w:tr w:rsidR="00DA64BC" w:rsidRPr="006E6122" w14:paraId="7F896637"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2838C9BB"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1280" w:type="dxa"/>
            <w:tcBorders>
              <w:top w:val="nil"/>
              <w:left w:val="nil"/>
              <w:bottom w:val="nil"/>
              <w:right w:val="nil"/>
            </w:tcBorders>
            <w:shd w:val="clear" w:color="auto" w:fill="auto"/>
            <w:noWrap/>
            <w:vAlign w:val="bottom"/>
          </w:tcPr>
          <w:p w14:paraId="259FCD9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.0117***</w:t>
            </w:r>
          </w:p>
        </w:tc>
        <w:tc>
          <w:tcPr>
            <w:tcW w:w="1260" w:type="dxa"/>
            <w:tcBorders>
              <w:top w:val="nil"/>
              <w:left w:val="nil"/>
              <w:bottom w:val="nil"/>
              <w:right w:val="nil"/>
            </w:tcBorders>
            <w:shd w:val="clear" w:color="auto" w:fill="auto"/>
            <w:noWrap/>
            <w:vAlign w:val="bottom"/>
          </w:tcPr>
          <w:p w14:paraId="7EA0198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.0114***</w:t>
            </w:r>
          </w:p>
        </w:tc>
        <w:tc>
          <w:tcPr>
            <w:tcW w:w="1260" w:type="dxa"/>
            <w:tcBorders>
              <w:top w:val="nil"/>
              <w:left w:val="nil"/>
              <w:bottom w:val="nil"/>
              <w:right w:val="nil"/>
            </w:tcBorders>
            <w:shd w:val="clear" w:color="auto" w:fill="auto"/>
            <w:noWrap/>
            <w:vAlign w:val="bottom"/>
          </w:tcPr>
          <w:p w14:paraId="5F018A1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.0101***</w:t>
            </w:r>
          </w:p>
        </w:tc>
        <w:tc>
          <w:tcPr>
            <w:tcW w:w="1260" w:type="dxa"/>
            <w:tcBorders>
              <w:top w:val="nil"/>
              <w:left w:val="nil"/>
              <w:bottom w:val="nil"/>
              <w:right w:val="nil"/>
            </w:tcBorders>
            <w:shd w:val="clear" w:color="auto" w:fill="auto"/>
            <w:noWrap/>
            <w:vAlign w:val="bottom"/>
          </w:tcPr>
          <w:p w14:paraId="591C94D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.00982***</w:t>
            </w:r>
          </w:p>
        </w:tc>
        <w:tc>
          <w:tcPr>
            <w:tcW w:w="1260" w:type="dxa"/>
            <w:gridSpan w:val="2"/>
            <w:tcBorders>
              <w:top w:val="nil"/>
              <w:left w:val="nil"/>
              <w:bottom w:val="nil"/>
              <w:right w:val="nil"/>
            </w:tcBorders>
            <w:shd w:val="clear" w:color="auto" w:fill="auto"/>
            <w:noWrap/>
            <w:vAlign w:val="bottom"/>
          </w:tcPr>
          <w:p w14:paraId="3885C95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.00944***</w:t>
            </w:r>
          </w:p>
        </w:tc>
      </w:tr>
      <w:tr w:rsidR="00DA64BC" w:rsidRPr="006E6122" w14:paraId="418F7067"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55234FDA"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6BB526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(.00388)</w:t>
            </w:r>
          </w:p>
        </w:tc>
        <w:tc>
          <w:tcPr>
            <w:tcW w:w="1260" w:type="dxa"/>
            <w:tcBorders>
              <w:top w:val="nil"/>
              <w:left w:val="nil"/>
              <w:bottom w:val="nil"/>
              <w:right w:val="nil"/>
            </w:tcBorders>
            <w:shd w:val="clear" w:color="auto" w:fill="auto"/>
            <w:noWrap/>
            <w:vAlign w:val="bottom"/>
          </w:tcPr>
          <w:p w14:paraId="1B55556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(.00351)</w:t>
            </w:r>
          </w:p>
        </w:tc>
        <w:tc>
          <w:tcPr>
            <w:tcW w:w="1260" w:type="dxa"/>
            <w:tcBorders>
              <w:top w:val="nil"/>
              <w:left w:val="nil"/>
              <w:bottom w:val="nil"/>
              <w:right w:val="nil"/>
            </w:tcBorders>
            <w:shd w:val="clear" w:color="auto" w:fill="auto"/>
            <w:noWrap/>
            <w:vAlign w:val="bottom"/>
          </w:tcPr>
          <w:p w14:paraId="33BACA7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(.00255)</w:t>
            </w:r>
          </w:p>
        </w:tc>
        <w:tc>
          <w:tcPr>
            <w:tcW w:w="1260" w:type="dxa"/>
            <w:tcBorders>
              <w:top w:val="nil"/>
              <w:left w:val="nil"/>
              <w:bottom w:val="nil"/>
              <w:right w:val="nil"/>
            </w:tcBorders>
            <w:shd w:val="clear" w:color="auto" w:fill="auto"/>
            <w:noWrap/>
            <w:vAlign w:val="bottom"/>
          </w:tcPr>
          <w:p w14:paraId="1FF5A327"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(.00247)</w:t>
            </w:r>
          </w:p>
        </w:tc>
        <w:tc>
          <w:tcPr>
            <w:tcW w:w="1260" w:type="dxa"/>
            <w:gridSpan w:val="2"/>
            <w:tcBorders>
              <w:top w:val="nil"/>
              <w:left w:val="nil"/>
              <w:bottom w:val="nil"/>
              <w:right w:val="nil"/>
            </w:tcBorders>
            <w:shd w:val="clear" w:color="auto" w:fill="auto"/>
            <w:noWrap/>
            <w:vAlign w:val="bottom"/>
          </w:tcPr>
          <w:p w14:paraId="2D80CEE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(.00229)</w:t>
            </w:r>
          </w:p>
        </w:tc>
      </w:tr>
      <w:tr w:rsidR="006751BB" w:rsidRPr="006E6122" w14:paraId="4EAD70D2"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36D8077F"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1280" w:type="dxa"/>
            <w:tcBorders>
              <w:top w:val="nil"/>
              <w:left w:val="nil"/>
              <w:bottom w:val="nil"/>
              <w:right w:val="nil"/>
            </w:tcBorders>
            <w:shd w:val="clear" w:color="auto" w:fill="auto"/>
            <w:noWrap/>
            <w:vAlign w:val="bottom"/>
          </w:tcPr>
          <w:p w14:paraId="18A45214"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.0393***</w:t>
            </w:r>
          </w:p>
        </w:tc>
        <w:tc>
          <w:tcPr>
            <w:tcW w:w="1260" w:type="dxa"/>
            <w:tcBorders>
              <w:top w:val="nil"/>
              <w:left w:val="nil"/>
              <w:bottom w:val="nil"/>
              <w:right w:val="nil"/>
            </w:tcBorders>
            <w:shd w:val="clear" w:color="auto" w:fill="auto"/>
            <w:noWrap/>
            <w:vAlign w:val="bottom"/>
          </w:tcPr>
          <w:p w14:paraId="72ED92EB"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.0381***</w:t>
            </w:r>
          </w:p>
        </w:tc>
        <w:tc>
          <w:tcPr>
            <w:tcW w:w="1260" w:type="dxa"/>
            <w:tcBorders>
              <w:top w:val="nil"/>
              <w:left w:val="nil"/>
              <w:bottom w:val="nil"/>
              <w:right w:val="nil"/>
            </w:tcBorders>
            <w:shd w:val="clear" w:color="auto" w:fill="auto"/>
            <w:noWrap/>
            <w:vAlign w:val="bottom"/>
          </w:tcPr>
          <w:p w14:paraId="1F2A306B"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.0391***</w:t>
            </w:r>
          </w:p>
        </w:tc>
        <w:tc>
          <w:tcPr>
            <w:tcW w:w="1260" w:type="dxa"/>
            <w:tcBorders>
              <w:top w:val="nil"/>
              <w:left w:val="nil"/>
              <w:bottom w:val="nil"/>
              <w:right w:val="nil"/>
            </w:tcBorders>
            <w:shd w:val="clear" w:color="auto" w:fill="auto"/>
            <w:noWrap/>
            <w:vAlign w:val="bottom"/>
          </w:tcPr>
          <w:p w14:paraId="309033D7"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.0380***</w:t>
            </w:r>
          </w:p>
        </w:tc>
        <w:tc>
          <w:tcPr>
            <w:tcW w:w="1260" w:type="dxa"/>
            <w:gridSpan w:val="2"/>
            <w:tcBorders>
              <w:top w:val="nil"/>
              <w:left w:val="nil"/>
              <w:bottom w:val="nil"/>
              <w:right w:val="nil"/>
            </w:tcBorders>
            <w:shd w:val="clear" w:color="auto" w:fill="auto"/>
            <w:noWrap/>
            <w:vAlign w:val="bottom"/>
          </w:tcPr>
          <w:p w14:paraId="27219713"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.0375***</w:t>
            </w:r>
          </w:p>
        </w:tc>
      </w:tr>
      <w:tr w:rsidR="006751BB" w:rsidRPr="006E6122" w14:paraId="0634DB40"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ECDF59D"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6E54734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(.00477)</w:t>
            </w:r>
          </w:p>
        </w:tc>
        <w:tc>
          <w:tcPr>
            <w:tcW w:w="1260" w:type="dxa"/>
            <w:tcBorders>
              <w:top w:val="nil"/>
              <w:left w:val="nil"/>
              <w:bottom w:val="nil"/>
              <w:right w:val="nil"/>
            </w:tcBorders>
            <w:shd w:val="clear" w:color="auto" w:fill="auto"/>
            <w:noWrap/>
            <w:vAlign w:val="bottom"/>
          </w:tcPr>
          <w:p w14:paraId="38D6821E"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(.00490)</w:t>
            </w:r>
          </w:p>
        </w:tc>
        <w:tc>
          <w:tcPr>
            <w:tcW w:w="1260" w:type="dxa"/>
            <w:tcBorders>
              <w:top w:val="nil"/>
              <w:left w:val="nil"/>
              <w:bottom w:val="nil"/>
              <w:right w:val="nil"/>
            </w:tcBorders>
            <w:shd w:val="clear" w:color="auto" w:fill="auto"/>
            <w:noWrap/>
            <w:vAlign w:val="bottom"/>
          </w:tcPr>
          <w:p w14:paraId="184A9C5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(.00533)</w:t>
            </w:r>
          </w:p>
        </w:tc>
        <w:tc>
          <w:tcPr>
            <w:tcW w:w="1260" w:type="dxa"/>
            <w:tcBorders>
              <w:top w:val="nil"/>
              <w:left w:val="nil"/>
              <w:bottom w:val="nil"/>
              <w:right w:val="nil"/>
            </w:tcBorders>
            <w:shd w:val="clear" w:color="auto" w:fill="auto"/>
            <w:noWrap/>
            <w:vAlign w:val="bottom"/>
          </w:tcPr>
          <w:p w14:paraId="015C1DC8"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(.00551)</w:t>
            </w:r>
          </w:p>
        </w:tc>
        <w:tc>
          <w:tcPr>
            <w:tcW w:w="1260" w:type="dxa"/>
            <w:gridSpan w:val="2"/>
            <w:tcBorders>
              <w:top w:val="nil"/>
              <w:left w:val="nil"/>
              <w:bottom w:val="nil"/>
              <w:right w:val="nil"/>
            </w:tcBorders>
            <w:shd w:val="clear" w:color="auto" w:fill="auto"/>
            <w:noWrap/>
            <w:vAlign w:val="bottom"/>
          </w:tcPr>
          <w:p w14:paraId="45EF3E4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(.00563)</w:t>
            </w:r>
          </w:p>
        </w:tc>
      </w:tr>
      <w:tr w:rsidR="006751BB" w:rsidRPr="006E6122" w14:paraId="6F178388"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34CBE0B2"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1280" w:type="dxa"/>
            <w:tcBorders>
              <w:top w:val="nil"/>
              <w:left w:val="nil"/>
              <w:bottom w:val="nil"/>
              <w:right w:val="nil"/>
            </w:tcBorders>
            <w:shd w:val="clear" w:color="auto" w:fill="auto"/>
            <w:noWrap/>
            <w:vAlign w:val="bottom"/>
          </w:tcPr>
          <w:p w14:paraId="0C77DA38"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-.000260***</w:t>
            </w:r>
          </w:p>
        </w:tc>
        <w:tc>
          <w:tcPr>
            <w:tcW w:w="1260" w:type="dxa"/>
            <w:tcBorders>
              <w:top w:val="nil"/>
              <w:left w:val="nil"/>
              <w:bottom w:val="nil"/>
              <w:right w:val="nil"/>
            </w:tcBorders>
            <w:shd w:val="clear" w:color="auto" w:fill="auto"/>
            <w:noWrap/>
            <w:vAlign w:val="bottom"/>
          </w:tcPr>
          <w:p w14:paraId="6CFB49BE"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-.000245***</w:t>
            </w:r>
          </w:p>
        </w:tc>
        <w:tc>
          <w:tcPr>
            <w:tcW w:w="1260" w:type="dxa"/>
            <w:tcBorders>
              <w:top w:val="nil"/>
              <w:left w:val="nil"/>
              <w:bottom w:val="nil"/>
              <w:right w:val="nil"/>
            </w:tcBorders>
            <w:shd w:val="clear" w:color="auto" w:fill="auto"/>
            <w:noWrap/>
            <w:vAlign w:val="bottom"/>
          </w:tcPr>
          <w:p w14:paraId="7F48EF1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-.000254***</w:t>
            </w:r>
          </w:p>
        </w:tc>
        <w:tc>
          <w:tcPr>
            <w:tcW w:w="1260" w:type="dxa"/>
            <w:tcBorders>
              <w:top w:val="nil"/>
              <w:left w:val="nil"/>
              <w:bottom w:val="nil"/>
              <w:right w:val="nil"/>
            </w:tcBorders>
            <w:shd w:val="clear" w:color="auto" w:fill="auto"/>
            <w:noWrap/>
            <w:vAlign w:val="bottom"/>
          </w:tcPr>
          <w:p w14:paraId="2C0922F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-.000252***</w:t>
            </w:r>
          </w:p>
        </w:tc>
        <w:tc>
          <w:tcPr>
            <w:tcW w:w="1260" w:type="dxa"/>
            <w:gridSpan w:val="2"/>
            <w:tcBorders>
              <w:top w:val="nil"/>
              <w:left w:val="nil"/>
              <w:bottom w:val="nil"/>
              <w:right w:val="nil"/>
            </w:tcBorders>
            <w:shd w:val="clear" w:color="auto" w:fill="auto"/>
            <w:noWrap/>
            <w:vAlign w:val="bottom"/>
          </w:tcPr>
          <w:p w14:paraId="758E4C7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-.000254***</w:t>
            </w:r>
          </w:p>
        </w:tc>
      </w:tr>
      <w:tr w:rsidR="00DA64BC" w:rsidRPr="006E6122" w14:paraId="60102FEF"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741DFB9A"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D4A453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(.0000534)</w:t>
            </w:r>
          </w:p>
        </w:tc>
        <w:tc>
          <w:tcPr>
            <w:tcW w:w="1260" w:type="dxa"/>
            <w:tcBorders>
              <w:top w:val="nil"/>
              <w:left w:val="nil"/>
              <w:bottom w:val="nil"/>
              <w:right w:val="nil"/>
            </w:tcBorders>
            <w:shd w:val="clear" w:color="auto" w:fill="auto"/>
            <w:noWrap/>
            <w:vAlign w:val="bottom"/>
          </w:tcPr>
          <w:p w14:paraId="654F56E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(.0000536)</w:t>
            </w:r>
          </w:p>
        </w:tc>
        <w:tc>
          <w:tcPr>
            <w:tcW w:w="1260" w:type="dxa"/>
            <w:tcBorders>
              <w:top w:val="nil"/>
              <w:left w:val="nil"/>
              <w:bottom w:val="nil"/>
              <w:right w:val="nil"/>
            </w:tcBorders>
            <w:shd w:val="clear" w:color="auto" w:fill="auto"/>
            <w:noWrap/>
            <w:vAlign w:val="bottom"/>
          </w:tcPr>
          <w:p w14:paraId="2FC6C88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(.000057</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78076AE8"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(.0000585)</w:t>
            </w:r>
          </w:p>
        </w:tc>
        <w:tc>
          <w:tcPr>
            <w:tcW w:w="1260" w:type="dxa"/>
            <w:gridSpan w:val="2"/>
            <w:tcBorders>
              <w:top w:val="nil"/>
              <w:left w:val="nil"/>
              <w:bottom w:val="nil"/>
              <w:right w:val="nil"/>
            </w:tcBorders>
            <w:shd w:val="clear" w:color="auto" w:fill="auto"/>
            <w:noWrap/>
            <w:vAlign w:val="bottom"/>
          </w:tcPr>
          <w:p w14:paraId="4F9D494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(.0000597)</w:t>
            </w:r>
          </w:p>
        </w:tc>
      </w:tr>
      <w:tr w:rsidR="00DA64BC" w:rsidRPr="006E6122" w14:paraId="3DFBAEBF"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80BBE30"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1280" w:type="dxa"/>
            <w:tcBorders>
              <w:top w:val="nil"/>
              <w:left w:val="nil"/>
              <w:bottom w:val="nil"/>
              <w:right w:val="nil"/>
            </w:tcBorders>
            <w:shd w:val="clear" w:color="auto" w:fill="auto"/>
            <w:noWrap/>
            <w:vAlign w:val="bottom"/>
          </w:tcPr>
          <w:p w14:paraId="258C1387"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.821**</w:t>
            </w:r>
          </w:p>
        </w:tc>
        <w:tc>
          <w:tcPr>
            <w:tcW w:w="1260" w:type="dxa"/>
            <w:tcBorders>
              <w:top w:val="nil"/>
              <w:left w:val="nil"/>
              <w:bottom w:val="nil"/>
              <w:right w:val="nil"/>
            </w:tcBorders>
            <w:shd w:val="clear" w:color="auto" w:fill="auto"/>
            <w:noWrap/>
            <w:vAlign w:val="bottom"/>
          </w:tcPr>
          <w:p w14:paraId="09D5DE97"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.836**</w:t>
            </w:r>
          </w:p>
        </w:tc>
        <w:tc>
          <w:tcPr>
            <w:tcW w:w="1260" w:type="dxa"/>
            <w:tcBorders>
              <w:top w:val="nil"/>
              <w:left w:val="nil"/>
              <w:bottom w:val="nil"/>
              <w:right w:val="nil"/>
            </w:tcBorders>
            <w:shd w:val="clear" w:color="auto" w:fill="auto"/>
            <w:noWrap/>
            <w:vAlign w:val="bottom"/>
          </w:tcPr>
          <w:p w14:paraId="6CC8F15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.582</w:t>
            </w:r>
          </w:p>
        </w:tc>
        <w:tc>
          <w:tcPr>
            <w:tcW w:w="1260" w:type="dxa"/>
            <w:tcBorders>
              <w:top w:val="nil"/>
              <w:left w:val="nil"/>
              <w:bottom w:val="nil"/>
              <w:right w:val="nil"/>
            </w:tcBorders>
            <w:shd w:val="clear" w:color="auto" w:fill="auto"/>
            <w:noWrap/>
            <w:vAlign w:val="bottom"/>
          </w:tcPr>
          <w:p w14:paraId="73DF701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.389</w:t>
            </w:r>
          </w:p>
        </w:tc>
        <w:tc>
          <w:tcPr>
            <w:tcW w:w="1260" w:type="dxa"/>
            <w:gridSpan w:val="2"/>
            <w:tcBorders>
              <w:top w:val="nil"/>
              <w:left w:val="nil"/>
              <w:bottom w:val="nil"/>
              <w:right w:val="nil"/>
            </w:tcBorders>
            <w:shd w:val="clear" w:color="auto" w:fill="auto"/>
            <w:noWrap/>
            <w:vAlign w:val="bottom"/>
          </w:tcPr>
          <w:p w14:paraId="5DDB37E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.188</w:t>
            </w:r>
          </w:p>
        </w:tc>
      </w:tr>
      <w:tr w:rsidR="00DA64BC" w:rsidRPr="006E6122" w14:paraId="4BCD8E21"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7B6BA076"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6AF7CF38"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(.349)</w:t>
            </w:r>
          </w:p>
        </w:tc>
        <w:tc>
          <w:tcPr>
            <w:tcW w:w="1260" w:type="dxa"/>
            <w:tcBorders>
              <w:top w:val="nil"/>
              <w:left w:val="nil"/>
              <w:bottom w:val="nil"/>
              <w:right w:val="nil"/>
            </w:tcBorders>
            <w:shd w:val="clear" w:color="auto" w:fill="auto"/>
            <w:noWrap/>
            <w:vAlign w:val="bottom"/>
          </w:tcPr>
          <w:p w14:paraId="3FD57707"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(.373)</w:t>
            </w:r>
          </w:p>
        </w:tc>
        <w:tc>
          <w:tcPr>
            <w:tcW w:w="1260" w:type="dxa"/>
            <w:tcBorders>
              <w:top w:val="nil"/>
              <w:left w:val="nil"/>
              <w:bottom w:val="nil"/>
              <w:right w:val="nil"/>
            </w:tcBorders>
            <w:shd w:val="clear" w:color="auto" w:fill="auto"/>
            <w:noWrap/>
            <w:vAlign w:val="bottom"/>
          </w:tcPr>
          <w:p w14:paraId="7B441FB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(.41</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7F82411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(.424)</w:t>
            </w:r>
          </w:p>
        </w:tc>
        <w:tc>
          <w:tcPr>
            <w:tcW w:w="1260" w:type="dxa"/>
            <w:gridSpan w:val="2"/>
            <w:tcBorders>
              <w:top w:val="nil"/>
              <w:left w:val="nil"/>
              <w:bottom w:val="nil"/>
              <w:right w:val="nil"/>
            </w:tcBorders>
            <w:shd w:val="clear" w:color="auto" w:fill="auto"/>
            <w:noWrap/>
            <w:vAlign w:val="bottom"/>
          </w:tcPr>
          <w:p w14:paraId="4309033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(.43</w:t>
            </w:r>
            <w:r w:rsidR="005F3401">
              <w:rPr>
                <w:rFonts w:ascii="Calibri" w:hAnsi="Calibri" w:cs="Calibri"/>
                <w:sz w:val="20"/>
                <w:szCs w:val="20"/>
              </w:rPr>
              <w:t>0</w:t>
            </w:r>
            <w:r>
              <w:rPr>
                <w:rFonts w:ascii="Calibri" w:hAnsi="Calibri" w:cs="Calibri"/>
                <w:sz w:val="20"/>
                <w:szCs w:val="20"/>
              </w:rPr>
              <w:t>)</w:t>
            </w:r>
          </w:p>
        </w:tc>
      </w:tr>
      <w:tr w:rsidR="00DA64BC" w:rsidRPr="006E6122" w14:paraId="52645295"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27D25B76"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1280" w:type="dxa"/>
            <w:tcBorders>
              <w:top w:val="nil"/>
              <w:left w:val="nil"/>
              <w:bottom w:val="nil"/>
              <w:right w:val="nil"/>
            </w:tcBorders>
            <w:shd w:val="clear" w:color="auto" w:fill="auto"/>
            <w:noWrap/>
            <w:vAlign w:val="bottom"/>
          </w:tcPr>
          <w:p w14:paraId="4C0B7EA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.315***</w:t>
            </w:r>
          </w:p>
        </w:tc>
        <w:tc>
          <w:tcPr>
            <w:tcW w:w="1260" w:type="dxa"/>
            <w:tcBorders>
              <w:top w:val="nil"/>
              <w:left w:val="nil"/>
              <w:bottom w:val="nil"/>
              <w:right w:val="nil"/>
            </w:tcBorders>
            <w:shd w:val="clear" w:color="auto" w:fill="auto"/>
            <w:noWrap/>
            <w:vAlign w:val="bottom"/>
          </w:tcPr>
          <w:p w14:paraId="7007B79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.324***</w:t>
            </w:r>
          </w:p>
        </w:tc>
        <w:tc>
          <w:tcPr>
            <w:tcW w:w="1260" w:type="dxa"/>
            <w:tcBorders>
              <w:top w:val="nil"/>
              <w:left w:val="nil"/>
              <w:bottom w:val="nil"/>
              <w:right w:val="nil"/>
            </w:tcBorders>
            <w:shd w:val="clear" w:color="auto" w:fill="auto"/>
            <w:noWrap/>
            <w:vAlign w:val="bottom"/>
          </w:tcPr>
          <w:p w14:paraId="731C238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.29</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198AF67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.266***</w:t>
            </w:r>
          </w:p>
        </w:tc>
        <w:tc>
          <w:tcPr>
            <w:tcW w:w="1260" w:type="dxa"/>
            <w:gridSpan w:val="2"/>
            <w:tcBorders>
              <w:top w:val="nil"/>
              <w:left w:val="nil"/>
              <w:bottom w:val="nil"/>
              <w:right w:val="nil"/>
            </w:tcBorders>
            <w:shd w:val="clear" w:color="auto" w:fill="auto"/>
            <w:noWrap/>
            <w:vAlign w:val="bottom"/>
          </w:tcPr>
          <w:p w14:paraId="031EDF2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.285***</w:t>
            </w:r>
          </w:p>
        </w:tc>
      </w:tr>
      <w:tr w:rsidR="00DA64BC" w:rsidRPr="006E6122" w14:paraId="2B024181"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DC0EF6D"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DAE1C8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(.0543)</w:t>
            </w:r>
          </w:p>
        </w:tc>
        <w:tc>
          <w:tcPr>
            <w:tcW w:w="1260" w:type="dxa"/>
            <w:tcBorders>
              <w:top w:val="nil"/>
              <w:left w:val="nil"/>
              <w:bottom w:val="nil"/>
              <w:right w:val="nil"/>
            </w:tcBorders>
            <w:shd w:val="clear" w:color="auto" w:fill="auto"/>
            <w:noWrap/>
            <w:vAlign w:val="bottom"/>
          </w:tcPr>
          <w:p w14:paraId="3B88A76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(.0551)</w:t>
            </w:r>
          </w:p>
        </w:tc>
        <w:tc>
          <w:tcPr>
            <w:tcW w:w="1260" w:type="dxa"/>
            <w:tcBorders>
              <w:top w:val="nil"/>
              <w:left w:val="nil"/>
              <w:bottom w:val="nil"/>
              <w:right w:val="nil"/>
            </w:tcBorders>
            <w:shd w:val="clear" w:color="auto" w:fill="auto"/>
            <w:noWrap/>
            <w:vAlign w:val="bottom"/>
          </w:tcPr>
          <w:p w14:paraId="048BF8A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(.0643)</w:t>
            </w:r>
          </w:p>
        </w:tc>
        <w:tc>
          <w:tcPr>
            <w:tcW w:w="1260" w:type="dxa"/>
            <w:tcBorders>
              <w:top w:val="nil"/>
              <w:left w:val="nil"/>
              <w:bottom w:val="nil"/>
              <w:right w:val="nil"/>
            </w:tcBorders>
            <w:shd w:val="clear" w:color="auto" w:fill="auto"/>
            <w:noWrap/>
            <w:vAlign w:val="bottom"/>
          </w:tcPr>
          <w:p w14:paraId="08CE383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(.0651)</w:t>
            </w:r>
          </w:p>
        </w:tc>
        <w:tc>
          <w:tcPr>
            <w:tcW w:w="1260" w:type="dxa"/>
            <w:gridSpan w:val="2"/>
            <w:tcBorders>
              <w:top w:val="nil"/>
              <w:left w:val="nil"/>
              <w:bottom w:val="nil"/>
              <w:right w:val="nil"/>
            </w:tcBorders>
            <w:shd w:val="clear" w:color="auto" w:fill="auto"/>
            <w:noWrap/>
            <w:vAlign w:val="bottom"/>
          </w:tcPr>
          <w:p w14:paraId="6A5070B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(.0688)</w:t>
            </w:r>
          </w:p>
        </w:tc>
      </w:tr>
      <w:tr w:rsidR="00DA64BC" w:rsidRPr="006E6122" w14:paraId="72AD503F"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1097BDD8"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280" w:type="dxa"/>
            <w:tcBorders>
              <w:top w:val="nil"/>
              <w:left w:val="nil"/>
              <w:bottom w:val="nil"/>
              <w:right w:val="nil"/>
            </w:tcBorders>
            <w:shd w:val="clear" w:color="auto" w:fill="auto"/>
            <w:noWrap/>
            <w:vAlign w:val="bottom"/>
          </w:tcPr>
          <w:p w14:paraId="285AC1F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.113</w:t>
            </w:r>
          </w:p>
        </w:tc>
        <w:tc>
          <w:tcPr>
            <w:tcW w:w="1260" w:type="dxa"/>
            <w:tcBorders>
              <w:top w:val="nil"/>
              <w:left w:val="nil"/>
              <w:bottom w:val="nil"/>
              <w:right w:val="nil"/>
            </w:tcBorders>
            <w:shd w:val="clear" w:color="auto" w:fill="auto"/>
            <w:noWrap/>
            <w:vAlign w:val="bottom"/>
          </w:tcPr>
          <w:p w14:paraId="3CD0DB6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.105</w:t>
            </w:r>
          </w:p>
        </w:tc>
        <w:tc>
          <w:tcPr>
            <w:tcW w:w="1260" w:type="dxa"/>
            <w:tcBorders>
              <w:top w:val="nil"/>
              <w:left w:val="nil"/>
              <w:bottom w:val="nil"/>
              <w:right w:val="nil"/>
            </w:tcBorders>
            <w:shd w:val="clear" w:color="auto" w:fill="auto"/>
            <w:noWrap/>
            <w:vAlign w:val="bottom"/>
          </w:tcPr>
          <w:p w14:paraId="337EE09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.0661</w:t>
            </w:r>
          </w:p>
        </w:tc>
        <w:tc>
          <w:tcPr>
            <w:tcW w:w="1260" w:type="dxa"/>
            <w:tcBorders>
              <w:top w:val="nil"/>
              <w:left w:val="nil"/>
              <w:bottom w:val="nil"/>
              <w:right w:val="nil"/>
            </w:tcBorders>
            <w:shd w:val="clear" w:color="auto" w:fill="auto"/>
            <w:noWrap/>
            <w:vAlign w:val="bottom"/>
          </w:tcPr>
          <w:p w14:paraId="257B656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.0843</w:t>
            </w:r>
          </w:p>
        </w:tc>
        <w:tc>
          <w:tcPr>
            <w:tcW w:w="1260" w:type="dxa"/>
            <w:gridSpan w:val="2"/>
            <w:tcBorders>
              <w:top w:val="nil"/>
              <w:left w:val="nil"/>
              <w:bottom w:val="nil"/>
              <w:right w:val="nil"/>
            </w:tcBorders>
            <w:shd w:val="clear" w:color="auto" w:fill="auto"/>
            <w:noWrap/>
            <w:vAlign w:val="bottom"/>
          </w:tcPr>
          <w:p w14:paraId="09ED60F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.096</w:t>
            </w:r>
            <w:r w:rsidR="005F3401">
              <w:rPr>
                <w:rFonts w:ascii="Calibri" w:hAnsi="Calibri" w:cs="Calibri"/>
                <w:sz w:val="20"/>
                <w:szCs w:val="20"/>
              </w:rPr>
              <w:t>0</w:t>
            </w:r>
          </w:p>
        </w:tc>
      </w:tr>
      <w:tr w:rsidR="00DA64BC" w:rsidRPr="006E6122" w14:paraId="12B36BCC"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7DEC7865"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lastRenderedPageBreak/>
              <w:t> </w:t>
            </w:r>
          </w:p>
        </w:tc>
        <w:tc>
          <w:tcPr>
            <w:tcW w:w="1280" w:type="dxa"/>
            <w:tcBorders>
              <w:top w:val="nil"/>
              <w:left w:val="nil"/>
              <w:bottom w:val="nil"/>
              <w:right w:val="nil"/>
            </w:tcBorders>
            <w:shd w:val="clear" w:color="auto" w:fill="auto"/>
            <w:noWrap/>
            <w:vAlign w:val="bottom"/>
          </w:tcPr>
          <w:p w14:paraId="73D3B01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(.0949)</w:t>
            </w:r>
          </w:p>
        </w:tc>
        <w:tc>
          <w:tcPr>
            <w:tcW w:w="1260" w:type="dxa"/>
            <w:tcBorders>
              <w:top w:val="nil"/>
              <w:left w:val="nil"/>
              <w:bottom w:val="nil"/>
              <w:right w:val="nil"/>
            </w:tcBorders>
            <w:shd w:val="clear" w:color="auto" w:fill="auto"/>
            <w:noWrap/>
            <w:vAlign w:val="bottom"/>
          </w:tcPr>
          <w:p w14:paraId="1B17C79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(.101)</w:t>
            </w:r>
          </w:p>
        </w:tc>
        <w:tc>
          <w:tcPr>
            <w:tcW w:w="1260" w:type="dxa"/>
            <w:tcBorders>
              <w:top w:val="nil"/>
              <w:left w:val="nil"/>
              <w:bottom w:val="nil"/>
              <w:right w:val="nil"/>
            </w:tcBorders>
            <w:shd w:val="clear" w:color="auto" w:fill="auto"/>
            <w:noWrap/>
            <w:vAlign w:val="bottom"/>
          </w:tcPr>
          <w:p w14:paraId="7A4FAB5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(.115)</w:t>
            </w:r>
          </w:p>
        </w:tc>
        <w:tc>
          <w:tcPr>
            <w:tcW w:w="1260" w:type="dxa"/>
            <w:tcBorders>
              <w:top w:val="nil"/>
              <w:left w:val="nil"/>
              <w:bottom w:val="nil"/>
              <w:right w:val="nil"/>
            </w:tcBorders>
            <w:shd w:val="clear" w:color="auto" w:fill="auto"/>
            <w:noWrap/>
            <w:vAlign w:val="bottom"/>
          </w:tcPr>
          <w:p w14:paraId="5D6DF6A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(.118)</w:t>
            </w:r>
          </w:p>
        </w:tc>
        <w:tc>
          <w:tcPr>
            <w:tcW w:w="1260" w:type="dxa"/>
            <w:gridSpan w:val="2"/>
            <w:tcBorders>
              <w:top w:val="nil"/>
              <w:left w:val="nil"/>
              <w:bottom w:val="nil"/>
              <w:right w:val="nil"/>
            </w:tcBorders>
            <w:shd w:val="clear" w:color="auto" w:fill="auto"/>
            <w:noWrap/>
            <w:vAlign w:val="bottom"/>
          </w:tcPr>
          <w:p w14:paraId="5E9B9BC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(.12</w:t>
            </w:r>
            <w:r w:rsidR="005F3401">
              <w:rPr>
                <w:rFonts w:ascii="Calibri" w:hAnsi="Calibri" w:cs="Calibri"/>
                <w:sz w:val="20"/>
                <w:szCs w:val="20"/>
              </w:rPr>
              <w:t>0</w:t>
            </w:r>
            <w:r>
              <w:rPr>
                <w:rFonts w:ascii="Calibri" w:hAnsi="Calibri" w:cs="Calibri"/>
                <w:sz w:val="20"/>
                <w:szCs w:val="20"/>
              </w:rPr>
              <w:t>)</w:t>
            </w:r>
          </w:p>
        </w:tc>
      </w:tr>
      <w:tr w:rsidR="00DA64BC" w:rsidRPr="006E6122" w14:paraId="0812F32C"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83B306D"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1280" w:type="dxa"/>
            <w:tcBorders>
              <w:top w:val="nil"/>
              <w:left w:val="nil"/>
              <w:bottom w:val="nil"/>
              <w:right w:val="nil"/>
            </w:tcBorders>
            <w:shd w:val="clear" w:color="auto" w:fill="auto"/>
            <w:noWrap/>
            <w:vAlign w:val="bottom"/>
          </w:tcPr>
          <w:p w14:paraId="61BD8BB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.0519***</w:t>
            </w:r>
          </w:p>
        </w:tc>
        <w:tc>
          <w:tcPr>
            <w:tcW w:w="1260" w:type="dxa"/>
            <w:tcBorders>
              <w:top w:val="nil"/>
              <w:left w:val="nil"/>
              <w:bottom w:val="nil"/>
              <w:right w:val="nil"/>
            </w:tcBorders>
            <w:shd w:val="clear" w:color="auto" w:fill="auto"/>
            <w:noWrap/>
            <w:vAlign w:val="bottom"/>
          </w:tcPr>
          <w:p w14:paraId="3FA65F5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.0573***</w:t>
            </w:r>
          </w:p>
        </w:tc>
        <w:tc>
          <w:tcPr>
            <w:tcW w:w="1260" w:type="dxa"/>
            <w:tcBorders>
              <w:top w:val="nil"/>
              <w:left w:val="nil"/>
              <w:bottom w:val="nil"/>
              <w:right w:val="nil"/>
            </w:tcBorders>
            <w:shd w:val="clear" w:color="auto" w:fill="auto"/>
            <w:noWrap/>
            <w:vAlign w:val="bottom"/>
          </w:tcPr>
          <w:p w14:paraId="6CA5A29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.051</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295A737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.0495***</w:t>
            </w:r>
          </w:p>
        </w:tc>
        <w:tc>
          <w:tcPr>
            <w:tcW w:w="1260" w:type="dxa"/>
            <w:gridSpan w:val="2"/>
            <w:tcBorders>
              <w:top w:val="nil"/>
              <w:left w:val="nil"/>
              <w:bottom w:val="nil"/>
              <w:right w:val="nil"/>
            </w:tcBorders>
            <w:shd w:val="clear" w:color="auto" w:fill="auto"/>
            <w:noWrap/>
            <w:vAlign w:val="bottom"/>
          </w:tcPr>
          <w:p w14:paraId="0E0C472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.0474***</w:t>
            </w:r>
          </w:p>
        </w:tc>
      </w:tr>
      <w:tr w:rsidR="00DA64BC" w:rsidRPr="006E6122" w14:paraId="71E49881"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5A079B73"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70E37B0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61F34C6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(.0122)</w:t>
            </w:r>
          </w:p>
        </w:tc>
        <w:tc>
          <w:tcPr>
            <w:tcW w:w="1260" w:type="dxa"/>
            <w:tcBorders>
              <w:top w:val="nil"/>
              <w:left w:val="nil"/>
              <w:bottom w:val="nil"/>
              <w:right w:val="nil"/>
            </w:tcBorders>
            <w:shd w:val="clear" w:color="auto" w:fill="auto"/>
            <w:noWrap/>
            <w:vAlign w:val="bottom"/>
          </w:tcPr>
          <w:p w14:paraId="4DC6E05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(.0146)</w:t>
            </w:r>
          </w:p>
        </w:tc>
        <w:tc>
          <w:tcPr>
            <w:tcW w:w="1260" w:type="dxa"/>
            <w:tcBorders>
              <w:top w:val="nil"/>
              <w:left w:val="nil"/>
              <w:bottom w:val="nil"/>
              <w:right w:val="nil"/>
            </w:tcBorders>
            <w:shd w:val="clear" w:color="auto" w:fill="auto"/>
            <w:noWrap/>
            <w:vAlign w:val="bottom"/>
          </w:tcPr>
          <w:p w14:paraId="61982F2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w:t>
            </w:r>
            <w:r w:rsidR="005F340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2656FAE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(.0153)</w:t>
            </w:r>
          </w:p>
        </w:tc>
      </w:tr>
      <w:tr w:rsidR="00DA64BC" w:rsidRPr="006E6122" w14:paraId="092E4969"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69BB813A"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1280" w:type="dxa"/>
            <w:tcBorders>
              <w:top w:val="nil"/>
              <w:left w:val="nil"/>
              <w:bottom w:val="nil"/>
              <w:right w:val="nil"/>
            </w:tcBorders>
            <w:shd w:val="clear" w:color="auto" w:fill="auto"/>
            <w:noWrap/>
            <w:vAlign w:val="bottom"/>
          </w:tcPr>
          <w:p w14:paraId="59596B5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.00218</w:t>
            </w:r>
          </w:p>
        </w:tc>
        <w:tc>
          <w:tcPr>
            <w:tcW w:w="1260" w:type="dxa"/>
            <w:tcBorders>
              <w:top w:val="nil"/>
              <w:left w:val="nil"/>
              <w:bottom w:val="nil"/>
              <w:right w:val="nil"/>
            </w:tcBorders>
            <w:shd w:val="clear" w:color="auto" w:fill="auto"/>
            <w:noWrap/>
            <w:vAlign w:val="bottom"/>
          </w:tcPr>
          <w:p w14:paraId="5678615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.00175</w:t>
            </w:r>
          </w:p>
        </w:tc>
        <w:tc>
          <w:tcPr>
            <w:tcW w:w="1260" w:type="dxa"/>
            <w:tcBorders>
              <w:top w:val="nil"/>
              <w:left w:val="nil"/>
              <w:bottom w:val="nil"/>
              <w:right w:val="nil"/>
            </w:tcBorders>
            <w:shd w:val="clear" w:color="auto" w:fill="auto"/>
            <w:noWrap/>
            <w:vAlign w:val="bottom"/>
          </w:tcPr>
          <w:p w14:paraId="633C2EC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.00216</w:t>
            </w:r>
          </w:p>
        </w:tc>
        <w:tc>
          <w:tcPr>
            <w:tcW w:w="1260" w:type="dxa"/>
            <w:tcBorders>
              <w:top w:val="nil"/>
              <w:left w:val="nil"/>
              <w:bottom w:val="nil"/>
              <w:right w:val="nil"/>
            </w:tcBorders>
            <w:shd w:val="clear" w:color="auto" w:fill="auto"/>
            <w:noWrap/>
            <w:vAlign w:val="bottom"/>
          </w:tcPr>
          <w:p w14:paraId="16DBB47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.00273</w:t>
            </w:r>
          </w:p>
        </w:tc>
        <w:tc>
          <w:tcPr>
            <w:tcW w:w="1260" w:type="dxa"/>
            <w:gridSpan w:val="2"/>
            <w:tcBorders>
              <w:top w:val="nil"/>
              <w:left w:val="nil"/>
              <w:bottom w:val="nil"/>
              <w:right w:val="nil"/>
            </w:tcBorders>
            <w:shd w:val="clear" w:color="auto" w:fill="auto"/>
            <w:noWrap/>
            <w:vAlign w:val="bottom"/>
          </w:tcPr>
          <w:p w14:paraId="05A795E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.00301</w:t>
            </w:r>
          </w:p>
        </w:tc>
      </w:tr>
      <w:tr w:rsidR="00DA64BC" w:rsidRPr="006E6122" w14:paraId="6D0E3DC0"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4FC3051B"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07A7ACF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(.0043</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46A400A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(.00418)</w:t>
            </w:r>
          </w:p>
        </w:tc>
        <w:tc>
          <w:tcPr>
            <w:tcW w:w="1260" w:type="dxa"/>
            <w:tcBorders>
              <w:top w:val="nil"/>
              <w:left w:val="nil"/>
              <w:bottom w:val="nil"/>
              <w:right w:val="nil"/>
            </w:tcBorders>
            <w:shd w:val="clear" w:color="auto" w:fill="auto"/>
            <w:noWrap/>
            <w:vAlign w:val="bottom"/>
          </w:tcPr>
          <w:p w14:paraId="1CBA275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(.00408)</w:t>
            </w:r>
          </w:p>
        </w:tc>
        <w:tc>
          <w:tcPr>
            <w:tcW w:w="1260" w:type="dxa"/>
            <w:tcBorders>
              <w:top w:val="nil"/>
              <w:left w:val="nil"/>
              <w:bottom w:val="nil"/>
              <w:right w:val="nil"/>
            </w:tcBorders>
            <w:shd w:val="clear" w:color="auto" w:fill="auto"/>
            <w:noWrap/>
            <w:vAlign w:val="bottom"/>
          </w:tcPr>
          <w:p w14:paraId="2C8312B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(.00406)</w:t>
            </w:r>
          </w:p>
        </w:tc>
        <w:tc>
          <w:tcPr>
            <w:tcW w:w="1260" w:type="dxa"/>
            <w:gridSpan w:val="2"/>
            <w:tcBorders>
              <w:top w:val="nil"/>
              <w:left w:val="nil"/>
              <w:bottom w:val="nil"/>
              <w:right w:val="nil"/>
            </w:tcBorders>
            <w:shd w:val="clear" w:color="auto" w:fill="auto"/>
            <w:noWrap/>
            <w:vAlign w:val="bottom"/>
          </w:tcPr>
          <w:p w14:paraId="3B70AF9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(.00405)</w:t>
            </w:r>
          </w:p>
        </w:tc>
      </w:tr>
      <w:tr w:rsidR="00DA64BC" w:rsidRPr="006E6122" w14:paraId="04B754F7"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5663EA88"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1280" w:type="dxa"/>
            <w:tcBorders>
              <w:top w:val="nil"/>
              <w:left w:val="nil"/>
              <w:bottom w:val="nil"/>
              <w:right w:val="nil"/>
            </w:tcBorders>
            <w:shd w:val="clear" w:color="auto" w:fill="auto"/>
            <w:noWrap/>
            <w:vAlign w:val="bottom"/>
          </w:tcPr>
          <w:p w14:paraId="52293FF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-.0766</w:t>
            </w:r>
          </w:p>
        </w:tc>
        <w:tc>
          <w:tcPr>
            <w:tcW w:w="1260" w:type="dxa"/>
            <w:tcBorders>
              <w:top w:val="nil"/>
              <w:left w:val="nil"/>
              <w:bottom w:val="nil"/>
              <w:right w:val="nil"/>
            </w:tcBorders>
            <w:shd w:val="clear" w:color="auto" w:fill="auto"/>
            <w:noWrap/>
            <w:vAlign w:val="bottom"/>
          </w:tcPr>
          <w:p w14:paraId="1386E6E8"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-.0898</w:t>
            </w:r>
          </w:p>
        </w:tc>
        <w:tc>
          <w:tcPr>
            <w:tcW w:w="1260" w:type="dxa"/>
            <w:tcBorders>
              <w:top w:val="nil"/>
              <w:left w:val="nil"/>
              <w:bottom w:val="nil"/>
              <w:right w:val="nil"/>
            </w:tcBorders>
            <w:shd w:val="clear" w:color="auto" w:fill="auto"/>
            <w:noWrap/>
            <w:vAlign w:val="bottom"/>
          </w:tcPr>
          <w:p w14:paraId="39550A67"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-.138*</w:t>
            </w:r>
          </w:p>
        </w:tc>
        <w:tc>
          <w:tcPr>
            <w:tcW w:w="1260" w:type="dxa"/>
            <w:tcBorders>
              <w:top w:val="nil"/>
              <w:left w:val="nil"/>
              <w:bottom w:val="nil"/>
              <w:right w:val="nil"/>
            </w:tcBorders>
            <w:shd w:val="clear" w:color="auto" w:fill="auto"/>
            <w:noWrap/>
            <w:vAlign w:val="bottom"/>
          </w:tcPr>
          <w:p w14:paraId="0E7CED2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-.0867</w:t>
            </w:r>
          </w:p>
        </w:tc>
        <w:tc>
          <w:tcPr>
            <w:tcW w:w="1260" w:type="dxa"/>
            <w:gridSpan w:val="2"/>
            <w:tcBorders>
              <w:top w:val="nil"/>
              <w:left w:val="nil"/>
              <w:bottom w:val="nil"/>
              <w:right w:val="nil"/>
            </w:tcBorders>
            <w:shd w:val="clear" w:color="auto" w:fill="auto"/>
            <w:noWrap/>
            <w:vAlign w:val="bottom"/>
          </w:tcPr>
          <w:p w14:paraId="69A1F16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-.0588</w:t>
            </w:r>
          </w:p>
        </w:tc>
      </w:tr>
      <w:tr w:rsidR="00DA64BC" w:rsidRPr="006E6122" w14:paraId="2C9C3BA9" w14:textId="77777777" w:rsidTr="006751BB">
        <w:trPr>
          <w:trHeight w:val="255"/>
          <w:jc w:val="center"/>
        </w:trPr>
        <w:tc>
          <w:tcPr>
            <w:tcW w:w="1639" w:type="dxa"/>
            <w:tcBorders>
              <w:top w:val="nil"/>
              <w:left w:val="nil"/>
              <w:bottom w:val="nil"/>
              <w:right w:val="nil"/>
            </w:tcBorders>
            <w:shd w:val="clear" w:color="auto" w:fill="auto"/>
            <w:noWrap/>
            <w:vAlign w:val="bottom"/>
            <w:hideMark/>
          </w:tcPr>
          <w:p w14:paraId="084338F6" w14:textId="77777777" w:rsidR="00DA64BC" w:rsidRPr="006E6122" w:rsidRDefault="00DA64BC" w:rsidP="00DA64BC">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15ECF5C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(.0651)</w:t>
            </w:r>
          </w:p>
        </w:tc>
        <w:tc>
          <w:tcPr>
            <w:tcW w:w="1260" w:type="dxa"/>
            <w:tcBorders>
              <w:top w:val="nil"/>
              <w:left w:val="nil"/>
              <w:bottom w:val="nil"/>
              <w:right w:val="nil"/>
            </w:tcBorders>
            <w:shd w:val="clear" w:color="auto" w:fill="auto"/>
            <w:noWrap/>
            <w:vAlign w:val="bottom"/>
          </w:tcPr>
          <w:p w14:paraId="3E9EC1C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(.0687)</w:t>
            </w:r>
          </w:p>
        </w:tc>
        <w:tc>
          <w:tcPr>
            <w:tcW w:w="1260" w:type="dxa"/>
            <w:tcBorders>
              <w:top w:val="nil"/>
              <w:left w:val="nil"/>
              <w:bottom w:val="nil"/>
              <w:right w:val="nil"/>
            </w:tcBorders>
            <w:shd w:val="clear" w:color="auto" w:fill="auto"/>
            <w:noWrap/>
            <w:vAlign w:val="bottom"/>
          </w:tcPr>
          <w:p w14:paraId="6B7C658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(.0776)</w:t>
            </w:r>
          </w:p>
        </w:tc>
        <w:tc>
          <w:tcPr>
            <w:tcW w:w="1260" w:type="dxa"/>
            <w:tcBorders>
              <w:top w:val="nil"/>
              <w:left w:val="nil"/>
              <w:bottom w:val="nil"/>
              <w:right w:val="nil"/>
            </w:tcBorders>
            <w:shd w:val="clear" w:color="auto" w:fill="auto"/>
            <w:noWrap/>
            <w:vAlign w:val="bottom"/>
          </w:tcPr>
          <w:p w14:paraId="1E50BAE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(.0805)</w:t>
            </w:r>
          </w:p>
        </w:tc>
        <w:tc>
          <w:tcPr>
            <w:tcW w:w="1260" w:type="dxa"/>
            <w:gridSpan w:val="2"/>
            <w:tcBorders>
              <w:top w:val="nil"/>
              <w:left w:val="nil"/>
              <w:bottom w:val="nil"/>
              <w:right w:val="nil"/>
            </w:tcBorders>
            <w:shd w:val="clear" w:color="auto" w:fill="auto"/>
            <w:noWrap/>
            <w:vAlign w:val="bottom"/>
          </w:tcPr>
          <w:p w14:paraId="1A1ED9F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(.082</w:t>
            </w:r>
            <w:r w:rsidR="005F3401">
              <w:rPr>
                <w:rFonts w:ascii="Calibri" w:hAnsi="Calibri" w:cs="Calibri"/>
                <w:sz w:val="20"/>
                <w:szCs w:val="20"/>
              </w:rPr>
              <w:t>0</w:t>
            </w:r>
            <w:r>
              <w:rPr>
                <w:rFonts w:ascii="Calibri" w:hAnsi="Calibri" w:cs="Calibri"/>
                <w:sz w:val="20"/>
                <w:szCs w:val="20"/>
              </w:rPr>
              <w:t>)</w:t>
            </w:r>
          </w:p>
        </w:tc>
      </w:tr>
      <w:tr w:rsidR="00DA64BC" w:rsidRPr="006E6122" w14:paraId="34FF96AA" w14:textId="77777777" w:rsidTr="006751BB">
        <w:tblPrEx>
          <w:jc w:val="left"/>
        </w:tblPrEx>
        <w:trPr>
          <w:gridAfter w:val="1"/>
          <w:wAfter w:w="143" w:type="dxa"/>
          <w:trHeight w:val="255"/>
        </w:trPr>
        <w:tc>
          <w:tcPr>
            <w:tcW w:w="1639" w:type="dxa"/>
            <w:tcBorders>
              <w:top w:val="single" w:sz="4" w:space="0" w:color="auto"/>
              <w:left w:val="nil"/>
              <w:bottom w:val="nil"/>
              <w:right w:val="nil"/>
            </w:tcBorders>
            <w:shd w:val="clear" w:color="auto" w:fill="auto"/>
            <w:noWrap/>
            <w:vAlign w:val="bottom"/>
            <w:hideMark/>
          </w:tcPr>
          <w:p w14:paraId="00A989F5"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6177" w:type="dxa"/>
            <w:gridSpan w:val="5"/>
            <w:tcBorders>
              <w:top w:val="single" w:sz="4" w:space="0" w:color="auto"/>
              <w:left w:val="nil"/>
              <w:bottom w:val="nil"/>
              <w:right w:val="nil"/>
            </w:tcBorders>
            <w:shd w:val="clear" w:color="auto" w:fill="auto"/>
            <w:noWrap/>
            <w:vAlign w:val="bottom"/>
            <w:hideMark/>
          </w:tcPr>
          <w:p w14:paraId="031E1B07"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xml:space="preserve">Probability of </w:t>
            </w:r>
            <w:r>
              <w:rPr>
                <w:rFonts w:ascii="Calibri" w:eastAsia="Times New Roman" w:hAnsi="Calibri" w:cs="Calibri"/>
                <w:sz w:val="20"/>
                <w:szCs w:val="20"/>
              </w:rPr>
              <w:t>p</w:t>
            </w:r>
            <w:r w:rsidRPr="006E6122">
              <w:rPr>
                <w:rFonts w:ascii="Calibri" w:eastAsia="Times New Roman" w:hAnsi="Calibri" w:cs="Calibri"/>
                <w:sz w:val="20"/>
                <w:szCs w:val="20"/>
              </w:rPr>
              <w:t>repayment</w:t>
            </w:r>
          </w:p>
        </w:tc>
      </w:tr>
      <w:tr w:rsidR="00DA64BC" w:rsidRPr="006E6122" w14:paraId="3EC6E9B8" w14:textId="77777777" w:rsidTr="006751BB">
        <w:tblPrEx>
          <w:jc w:val="left"/>
        </w:tblPrEx>
        <w:trPr>
          <w:trHeight w:val="255"/>
        </w:trPr>
        <w:tc>
          <w:tcPr>
            <w:tcW w:w="1639" w:type="dxa"/>
            <w:tcBorders>
              <w:top w:val="nil"/>
              <w:left w:val="nil"/>
              <w:right w:val="nil"/>
            </w:tcBorders>
            <w:shd w:val="clear" w:color="auto" w:fill="auto"/>
            <w:noWrap/>
            <w:vAlign w:val="bottom"/>
            <w:hideMark/>
          </w:tcPr>
          <w:p w14:paraId="4C43C2CC" w14:textId="77777777" w:rsidR="00DA64BC" w:rsidRPr="006E6122" w:rsidRDefault="00DA64BC" w:rsidP="00DA64BC">
            <w:pPr>
              <w:spacing w:after="0" w:line="240" w:lineRule="auto"/>
              <w:contextualSpacing/>
              <w:jc w:val="center"/>
              <w:rPr>
                <w:rFonts w:ascii="Calibri" w:eastAsia="Times New Roman" w:hAnsi="Calibri" w:cs="Calibri"/>
                <w:sz w:val="18"/>
                <w:szCs w:val="18"/>
              </w:rPr>
            </w:pPr>
            <w:r w:rsidRPr="006E6122">
              <w:rPr>
                <w:rFonts w:ascii="Calibri" w:eastAsia="Times New Roman" w:hAnsi="Calibri" w:cs="Calibri"/>
                <w:sz w:val="18"/>
                <w:szCs w:val="18"/>
              </w:rPr>
              <w:t> </w:t>
            </w:r>
          </w:p>
        </w:tc>
        <w:tc>
          <w:tcPr>
            <w:tcW w:w="1280" w:type="dxa"/>
            <w:tcBorders>
              <w:top w:val="nil"/>
              <w:left w:val="nil"/>
              <w:right w:val="nil"/>
            </w:tcBorders>
            <w:shd w:val="clear" w:color="auto" w:fill="auto"/>
            <w:noWrap/>
            <w:vAlign w:val="bottom"/>
            <w:hideMark/>
          </w:tcPr>
          <w:p w14:paraId="5E94DECB"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2008-2010</w:t>
            </w:r>
          </w:p>
        </w:tc>
        <w:tc>
          <w:tcPr>
            <w:tcW w:w="1260" w:type="dxa"/>
            <w:tcBorders>
              <w:top w:val="nil"/>
              <w:left w:val="nil"/>
              <w:right w:val="nil"/>
            </w:tcBorders>
            <w:shd w:val="clear" w:color="auto" w:fill="auto"/>
            <w:noWrap/>
            <w:vAlign w:val="bottom"/>
            <w:hideMark/>
          </w:tcPr>
          <w:p w14:paraId="1033E944"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2007-2011</w:t>
            </w:r>
          </w:p>
        </w:tc>
        <w:tc>
          <w:tcPr>
            <w:tcW w:w="1260" w:type="dxa"/>
            <w:tcBorders>
              <w:top w:val="nil"/>
              <w:left w:val="nil"/>
              <w:right w:val="nil"/>
            </w:tcBorders>
            <w:shd w:val="clear" w:color="auto" w:fill="auto"/>
            <w:noWrap/>
            <w:vAlign w:val="bottom"/>
            <w:hideMark/>
          </w:tcPr>
          <w:p w14:paraId="32888F2D"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2006-2012</w:t>
            </w:r>
          </w:p>
        </w:tc>
        <w:tc>
          <w:tcPr>
            <w:tcW w:w="1260" w:type="dxa"/>
            <w:tcBorders>
              <w:top w:val="nil"/>
              <w:left w:val="nil"/>
              <w:right w:val="nil"/>
            </w:tcBorders>
            <w:shd w:val="clear" w:color="auto" w:fill="auto"/>
            <w:noWrap/>
            <w:vAlign w:val="bottom"/>
            <w:hideMark/>
          </w:tcPr>
          <w:p w14:paraId="3BE9710A"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2005-2013</w:t>
            </w:r>
          </w:p>
        </w:tc>
        <w:tc>
          <w:tcPr>
            <w:tcW w:w="1260" w:type="dxa"/>
            <w:gridSpan w:val="2"/>
            <w:tcBorders>
              <w:top w:val="nil"/>
              <w:left w:val="nil"/>
              <w:right w:val="nil"/>
            </w:tcBorders>
            <w:shd w:val="clear" w:color="auto" w:fill="auto"/>
            <w:noWrap/>
            <w:vAlign w:val="bottom"/>
            <w:hideMark/>
          </w:tcPr>
          <w:p w14:paraId="05A24F3F"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2004-2014</w:t>
            </w:r>
          </w:p>
        </w:tc>
      </w:tr>
      <w:tr w:rsidR="00DA64BC" w:rsidRPr="006E6122" w14:paraId="450A7207" w14:textId="77777777" w:rsidTr="006751BB">
        <w:tblPrEx>
          <w:jc w:val="left"/>
        </w:tblPrEx>
        <w:trPr>
          <w:trHeight w:val="255"/>
        </w:trPr>
        <w:tc>
          <w:tcPr>
            <w:tcW w:w="1639" w:type="dxa"/>
            <w:tcBorders>
              <w:top w:val="nil"/>
              <w:left w:val="nil"/>
              <w:bottom w:val="single" w:sz="4" w:space="0" w:color="auto"/>
              <w:right w:val="nil"/>
            </w:tcBorders>
            <w:shd w:val="clear" w:color="auto" w:fill="auto"/>
            <w:noWrap/>
            <w:vAlign w:val="bottom"/>
            <w:hideMark/>
          </w:tcPr>
          <w:p w14:paraId="70011CC5"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single" w:sz="4" w:space="0" w:color="auto"/>
              <w:right w:val="nil"/>
            </w:tcBorders>
            <w:shd w:val="clear" w:color="auto" w:fill="auto"/>
            <w:noWrap/>
            <w:vAlign w:val="bottom"/>
            <w:hideMark/>
          </w:tcPr>
          <w:p w14:paraId="75B9A51A"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(1)</w:t>
            </w:r>
          </w:p>
        </w:tc>
        <w:tc>
          <w:tcPr>
            <w:tcW w:w="1260" w:type="dxa"/>
            <w:tcBorders>
              <w:top w:val="nil"/>
              <w:left w:val="nil"/>
              <w:bottom w:val="single" w:sz="4" w:space="0" w:color="auto"/>
              <w:right w:val="nil"/>
            </w:tcBorders>
            <w:shd w:val="clear" w:color="auto" w:fill="auto"/>
            <w:noWrap/>
            <w:vAlign w:val="bottom"/>
            <w:hideMark/>
          </w:tcPr>
          <w:p w14:paraId="6DFFDA3E"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(2)</w:t>
            </w:r>
          </w:p>
        </w:tc>
        <w:tc>
          <w:tcPr>
            <w:tcW w:w="1260" w:type="dxa"/>
            <w:tcBorders>
              <w:top w:val="nil"/>
              <w:left w:val="nil"/>
              <w:bottom w:val="single" w:sz="4" w:space="0" w:color="auto"/>
              <w:right w:val="nil"/>
            </w:tcBorders>
            <w:shd w:val="clear" w:color="auto" w:fill="auto"/>
            <w:noWrap/>
            <w:vAlign w:val="bottom"/>
            <w:hideMark/>
          </w:tcPr>
          <w:p w14:paraId="0B6469D9"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(3)</w:t>
            </w:r>
          </w:p>
        </w:tc>
        <w:tc>
          <w:tcPr>
            <w:tcW w:w="1260" w:type="dxa"/>
            <w:tcBorders>
              <w:top w:val="nil"/>
              <w:left w:val="nil"/>
              <w:bottom w:val="single" w:sz="4" w:space="0" w:color="auto"/>
              <w:right w:val="nil"/>
            </w:tcBorders>
            <w:shd w:val="clear" w:color="auto" w:fill="auto"/>
            <w:noWrap/>
            <w:vAlign w:val="bottom"/>
            <w:hideMark/>
          </w:tcPr>
          <w:p w14:paraId="263D5DE9"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(4)</w:t>
            </w:r>
          </w:p>
        </w:tc>
        <w:tc>
          <w:tcPr>
            <w:tcW w:w="1260" w:type="dxa"/>
            <w:gridSpan w:val="2"/>
            <w:tcBorders>
              <w:top w:val="nil"/>
              <w:left w:val="nil"/>
              <w:bottom w:val="single" w:sz="4" w:space="0" w:color="auto"/>
              <w:right w:val="nil"/>
            </w:tcBorders>
            <w:shd w:val="clear" w:color="auto" w:fill="auto"/>
            <w:noWrap/>
            <w:vAlign w:val="bottom"/>
            <w:hideMark/>
          </w:tcPr>
          <w:p w14:paraId="1B487057"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(5)</w:t>
            </w:r>
          </w:p>
        </w:tc>
      </w:tr>
      <w:tr w:rsidR="00DA64BC" w:rsidRPr="006E6122" w14:paraId="0397D076" w14:textId="77777777" w:rsidTr="006751BB">
        <w:tblPrEx>
          <w:jc w:val="left"/>
        </w:tblPrEx>
        <w:trPr>
          <w:trHeight w:val="255"/>
        </w:trPr>
        <w:tc>
          <w:tcPr>
            <w:tcW w:w="1639" w:type="dxa"/>
            <w:tcBorders>
              <w:top w:val="single" w:sz="4" w:space="0" w:color="auto"/>
              <w:left w:val="nil"/>
              <w:bottom w:val="nil"/>
              <w:right w:val="nil"/>
            </w:tcBorders>
            <w:shd w:val="clear" w:color="auto" w:fill="auto"/>
            <w:noWrap/>
            <w:vAlign w:val="bottom"/>
            <w:hideMark/>
          </w:tcPr>
          <w:p w14:paraId="3CC547C4"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1280" w:type="dxa"/>
            <w:tcBorders>
              <w:top w:val="single" w:sz="4" w:space="0" w:color="auto"/>
              <w:left w:val="nil"/>
              <w:bottom w:val="nil"/>
              <w:right w:val="nil"/>
            </w:tcBorders>
            <w:shd w:val="clear" w:color="auto" w:fill="auto"/>
            <w:noWrap/>
            <w:vAlign w:val="bottom"/>
          </w:tcPr>
          <w:p w14:paraId="775F002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.0993*</w:t>
            </w:r>
          </w:p>
        </w:tc>
        <w:tc>
          <w:tcPr>
            <w:tcW w:w="1260" w:type="dxa"/>
            <w:tcBorders>
              <w:top w:val="single" w:sz="4" w:space="0" w:color="auto"/>
              <w:left w:val="nil"/>
              <w:bottom w:val="nil"/>
              <w:right w:val="nil"/>
            </w:tcBorders>
            <w:shd w:val="clear" w:color="auto" w:fill="auto"/>
            <w:noWrap/>
            <w:vAlign w:val="bottom"/>
          </w:tcPr>
          <w:p w14:paraId="1295726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.102*</w:t>
            </w:r>
          </w:p>
        </w:tc>
        <w:tc>
          <w:tcPr>
            <w:tcW w:w="1260" w:type="dxa"/>
            <w:tcBorders>
              <w:top w:val="single" w:sz="4" w:space="0" w:color="auto"/>
              <w:left w:val="nil"/>
              <w:bottom w:val="nil"/>
              <w:right w:val="nil"/>
            </w:tcBorders>
            <w:shd w:val="clear" w:color="auto" w:fill="auto"/>
            <w:noWrap/>
            <w:vAlign w:val="bottom"/>
          </w:tcPr>
          <w:p w14:paraId="0A52565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.0506</w:t>
            </w:r>
          </w:p>
        </w:tc>
        <w:tc>
          <w:tcPr>
            <w:tcW w:w="1260" w:type="dxa"/>
            <w:tcBorders>
              <w:top w:val="single" w:sz="4" w:space="0" w:color="auto"/>
              <w:left w:val="nil"/>
              <w:bottom w:val="nil"/>
              <w:right w:val="nil"/>
            </w:tcBorders>
            <w:shd w:val="clear" w:color="auto" w:fill="auto"/>
            <w:noWrap/>
            <w:vAlign w:val="bottom"/>
          </w:tcPr>
          <w:p w14:paraId="13C75D0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.0489</w:t>
            </w:r>
          </w:p>
        </w:tc>
        <w:tc>
          <w:tcPr>
            <w:tcW w:w="1260" w:type="dxa"/>
            <w:gridSpan w:val="2"/>
            <w:tcBorders>
              <w:top w:val="single" w:sz="4" w:space="0" w:color="auto"/>
              <w:left w:val="nil"/>
              <w:bottom w:val="nil"/>
              <w:right w:val="nil"/>
            </w:tcBorders>
            <w:shd w:val="clear" w:color="auto" w:fill="auto"/>
            <w:noWrap/>
            <w:vAlign w:val="bottom"/>
          </w:tcPr>
          <w:p w14:paraId="62481D4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.0366</w:t>
            </w:r>
          </w:p>
        </w:tc>
      </w:tr>
      <w:tr w:rsidR="00DA64BC" w:rsidRPr="006E6122" w14:paraId="3EFDD9D0"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72250406"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1184D1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(.0565)</w:t>
            </w:r>
          </w:p>
        </w:tc>
        <w:tc>
          <w:tcPr>
            <w:tcW w:w="1260" w:type="dxa"/>
            <w:tcBorders>
              <w:top w:val="nil"/>
              <w:left w:val="nil"/>
              <w:bottom w:val="nil"/>
              <w:right w:val="nil"/>
            </w:tcBorders>
            <w:shd w:val="clear" w:color="auto" w:fill="auto"/>
            <w:noWrap/>
            <w:vAlign w:val="bottom"/>
          </w:tcPr>
          <w:p w14:paraId="6C536A5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(.0569)</w:t>
            </w:r>
          </w:p>
        </w:tc>
        <w:tc>
          <w:tcPr>
            <w:tcW w:w="1260" w:type="dxa"/>
            <w:tcBorders>
              <w:top w:val="nil"/>
              <w:left w:val="nil"/>
              <w:bottom w:val="nil"/>
              <w:right w:val="nil"/>
            </w:tcBorders>
            <w:shd w:val="clear" w:color="auto" w:fill="auto"/>
            <w:noWrap/>
            <w:vAlign w:val="bottom"/>
          </w:tcPr>
          <w:p w14:paraId="572266E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(.0705)</w:t>
            </w:r>
          </w:p>
        </w:tc>
        <w:tc>
          <w:tcPr>
            <w:tcW w:w="1260" w:type="dxa"/>
            <w:tcBorders>
              <w:top w:val="nil"/>
              <w:left w:val="nil"/>
              <w:bottom w:val="nil"/>
              <w:right w:val="nil"/>
            </w:tcBorders>
            <w:shd w:val="clear" w:color="auto" w:fill="auto"/>
            <w:noWrap/>
            <w:vAlign w:val="bottom"/>
          </w:tcPr>
          <w:p w14:paraId="5DD2EF8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(.0713)</w:t>
            </w:r>
          </w:p>
        </w:tc>
        <w:tc>
          <w:tcPr>
            <w:tcW w:w="1260" w:type="dxa"/>
            <w:gridSpan w:val="2"/>
            <w:tcBorders>
              <w:top w:val="nil"/>
              <w:left w:val="nil"/>
              <w:bottom w:val="nil"/>
              <w:right w:val="nil"/>
            </w:tcBorders>
            <w:shd w:val="clear" w:color="auto" w:fill="auto"/>
            <w:noWrap/>
            <w:vAlign w:val="bottom"/>
          </w:tcPr>
          <w:p w14:paraId="003CFE8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(.0737)</w:t>
            </w:r>
          </w:p>
        </w:tc>
      </w:tr>
      <w:tr w:rsidR="00DA64BC" w:rsidRPr="006E6122" w14:paraId="5530D1CB"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2B99C6B3"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1280" w:type="dxa"/>
            <w:tcBorders>
              <w:top w:val="nil"/>
              <w:left w:val="nil"/>
              <w:bottom w:val="nil"/>
              <w:right w:val="nil"/>
            </w:tcBorders>
            <w:shd w:val="clear" w:color="auto" w:fill="auto"/>
            <w:noWrap/>
            <w:vAlign w:val="bottom"/>
          </w:tcPr>
          <w:p w14:paraId="4568837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.179</w:t>
            </w:r>
          </w:p>
        </w:tc>
        <w:tc>
          <w:tcPr>
            <w:tcW w:w="1260" w:type="dxa"/>
            <w:tcBorders>
              <w:top w:val="nil"/>
              <w:left w:val="nil"/>
              <w:bottom w:val="nil"/>
              <w:right w:val="nil"/>
            </w:tcBorders>
            <w:shd w:val="clear" w:color="auto" w:fill="auto"/>
            <w:noWrap/>
            <w:vAlign w:val="bottom"/>
          </w:tcPr>
          <w:p w14:paraId="558930A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.223</w:t>
            </w:r>
          </w:p>
        </w:tc>
        <w:tc>
          <w:tcPr>
            <w:tcW w:w="1260" w:type="dxa"/>
            <w:tcBorders>
              <w:top w:val="nil"/>
              <w:left w:val="nil"/>
              <w:bottom w:val="nil"/>
              <w:right w:val="nil"/>
            </w:tcBorders>
            <w:shd w:val="clear" w:color="auto" w:fill="auto"/>
            <w:noWrap/>
            <w:vAlign w:val="bottom"/>
          </w:tcPr>
          <w:p w14:paraId="0B1CFD4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.219</w:t>
            </w:r>
          </w:p>
        </w:tc>
        <w:tc>
          <w:tcPr>
            <w:tcW w:w="1260" w:type="dxa"/>
            <w:tcBorders>
              <w:top w:val="nil"/>
              <w:left w:val="nil"/>
              <w:bottom w:val="nil"/>
              <w:right w:val="nil"/>
            </w:tcBorders>
            <w:shd w:val="clear" w:color="auto" w:fill="auto"/>
            <w:noWrap/>
            <w:vAlign w:val="bottom"/>
          </w:tcPr>
          <w:p w14:paraId="722DF2A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.156</w:t>
            </w:r>
          </w:p>
        </w:tc>
        <w:tc>
          <w:tcPr>
            <w:tcW w:w="1260" w:type="dxa"/>
            <w:gridSpan w:val="2"/>
            <w:tcBorders>
              <w:top w:val="nil"/>
              <w:left w:val="nil"/>
              <w:bottom w:val="nil"/>
              <w:right w:val="nil"/>
            </w:tcBorders>
            <w:shd w:val="clear" w:color="auto" w:fill="auto"/>
            <w:noWrap/>
            <w:vAlign w:val="bottom"/>
          </w:tcPr>
          <w:p w14:paraId="67C394D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.128</w:t>
            </w:r>
          </w:p>
        </w:tc>
      </w:tr>
      <w:tr w:rsidR="00DA64BC" w:rsidRPr="006E6122" w14:paraId="6E73233D"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CED379B"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37B0D8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(.192)</w:t>
            </w:r>
          </w:p>
        </w:tc>
        <w:tc>
          <w:tcPr>
            <w:tcW w:w="1260" w:type="dxa"/>
            <w:tcBorders>
              <w:top w:val="nil"/>
              <w:left w:val="nil"/>
              <w:bottom w:val="nil"/>
              <w:right w:val="nil"/>
            </w:tcBorders>
            <w:shd w:val="clear" w:color="auto" w:fill="auto"/>
            <w:noWrap/>
            <w:vAlign w:val="bottom"/>
          </w:tcPr>
          <w:p w14:paraId="62C1B95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(.261)</w:t>
            </w:r>
          </w:p>
        </w:tc>
        <w:tc>
          <w:tcPr>
            <w:tcW w:w="1260" w:type="dxa"/>
            <w:tcBorders>
              <w:top w:val="nil"/>
              <w:left w:val="nil"/>
              <w:bottom w:val="nil"/>
              <w:right w:val="nil"/>
            </w:tcBorders>
            <w:shd w:val="clear" w:color="auto" w:fill="auto"/>
            <w:noWrap/>
            <w:vAlign w:val="bottom"/>
          </w:tcPr>
          <w:p w14:paraId="3CEF661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(.286)</w:t>
            </w:r>
          </w:p>
        </w:tc>
        <w:tc>
          <w:tcPr>
            <w:tcW w:w="1260" w:type="dxa"/>
            <w:tcBorders>
              <w:top w:val="nil"/>
              <w:left w:val="nil"/>
              <w:bottom w:val="nil"/>
              <w:right w:val="nil"/>
            </w:tcBorders>
            <w:shd w:val="clear" w:color="auto" w:fill="auto"/>
            <w:noWrap/>
            <w:vAlign w:val="bottom"/>
          </w:tcPr>
          <w:p w14:paraId="472D52E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(.298)</w:t>
            </w:r>
          </w:p>
        </w:tc>
        <w:tc>
          <w:tcPr>
            <w:tcW w:w="1260" w:type="dxa"/>
            <w:gridSpan w:val="2"/>
            <w:tcBorders>
              <w:top w:val="nil"/>
              <w:left w:val="nil"/>
              <w:bottom w:val="nil"/>
              <w:right w:val="nil"/>
            </w:tcBorders>
            <w:shd w:val="clear" w:color="auto" w:fill="auto"/>
            <w:noWrap/>
            <w:vAlign w:val="bottom"/>
          </w:tcPr>
          <w:p w14:paraId="30D1749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(.323)</w:t>
            </w:r>
          </w:p>
        </w:tc>
      </w:tr>
      <w:tr w:rsidR="00DA64BC" w:rsidRPr="006E6122" w14:paraId="094EB9C7"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21BDF8F"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1280" w:type="dxa"/>
            <w:tcBorders>
              <w:top w:val="nil"/>
              <w:left w:val="nil"/>
              <w:bottom w:val="nil"/>
              <w:right w:val="nil"/>
            </w:tcBorders>
            <w:shd w:val="clear" w:color="auto" w:fill="auto"/>
            <w:noWrap/>
            <w:vAlign w:val="bottom"/>
          </w:tcPr>
          <w:p w14:paraId="125C494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.146</w:t>
            </w:r>
          </w:p>
        </w:tc>
        <w:tc>
          <w:tcPr>
            <w:tcW w:w="1260" w:type="dxa"/>
            <w:tcBorders>
              <w:top w:val="nil"/>
              <w:left w:val="nil"/>
              <w:bottom w:val="nil"/>
              <w:right w:val="nil"/>
            </w:tcBorders>
            <w:shd w:val="clear" w:color="auto" w:fill="auto"/>
            <w:noWrap/>
            <w:vAlign w:val="bottom"/>
          </w:tcPr>
          <w:p w14:paraId="79747BA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.163*</w:t>
            </w:r>
          </w:p>
        </w:tc>
        <w:tc>
          <w:tcPr>
            <w:tcW w:w="1260" w:type="dxa"/>
            <w:tcBorders>
              <w:top w:val="nil"/>
              <w:left w:val="nil"/>
              <w:bottom w:val="nil"/>
              <w:right w:val="nil"/>
            </w:tcBorders>
            <w:shd w:val="clear" w:color="auto" w:fill="auto"/>
            <w:noWrap/>
            <w:vAlign w:val="bottom"/>
          </w:tcPr>
          <w:p w14:paraId="04B821A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.191*</w:t>
            </w:r>
          </w:p>
        </w:tc>
        <w:tc>
          <w:tcPr>
            <w:tcW w:w="1260" w:type="dxa"/>
            <w:tcBorders>
              <w:top w:val="nil"/>
              <w:left w:val="nil"/>
              <w:bottom w:val="nil"/>
              <w:right w:val="nil"/>
            </w:tcBorders>
            <w:shd w:val="clear" w:color="auto" w:fill="auto"/>
            <w:noWrap/>
            <w:vAlign w:val="bottom"/>
          </w:tcPr>
          <w:p w14:paraId="26F03D9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.173</w:t>
            </w:r>
          </w:p>
        </w:tc>
        <w:tc>
          <w:tcPr>
            <w:tcW w:w="1260" w:type="dxa"/>
            <w:gridSpan w:val="2"/>
            <w:tcBorders>
              <w:top w:val="nil"/>
              <w:left w:val="nil"/>
              <w:bottom w:val="nil"/>
              <w:right w:val="nil"/>
            </w:tcBorders>
            <w:shd w:val="clear" w:color="auto" w:fill="auto"/>
            <w:noWrap/>
            <w:vAlign w:val="bottom"/>
          </w:tcPr>
          <w:p w14:paraId="6976B01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.198*</w:t>
            </w:r>
          </w:p>
        </w:tc>
      </w:tr>
      <w:tr w:rsidR="00DA64BC" w:rsidRPr="006E6122" w14:paraId="478EA6A1"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2C39C316"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3EFDFAE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w:t>
            </w:r>
            <w:r w:rsidR="005F3401">
              <w:rPr>
                <w:rFonts w:ascii="Calibri" w:hAnsi="Calibri" w:cs="Calibri"/>
                <w:sz w:val="20"/>
                <w:szCs w:val="20"/>
              </w:rPr>
              <w:t>00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308E8C6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(.0953)</w:t>
            </w:r>
          </w:p>
        </w:tc>
        <w:tc>
          <w:tcPr>
            <w:tcW w:w="1260" w:type="dxa"/>
            <w:tcBorders>
              <w:top w:val="nil"/>
              <w:left w:val="nil"/>
              <w:bottom w:val="nil"/>
              <w:right w:val="nil"/>
            </w:tcBorders>
            <w:shd w:val="clear" w:color="auto" w:fill="auto"/>
            <w:noWrap/>
            <w:vAlign w:val="bottom"/>
          </w:tcPr>
          <w:p w14:paraId="67AD8FF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(.105)</w:t>
            </w:r>
          </w:p>
        </w:tc>
        <w:tc>
          <w:tcPr>
            <w:tcW w:w="1260" w:type="dxa"/>
            <w:tcBorders>
              <w:top w:val="nil"/>
              <w:left w:val="nil"/>
              <w:bottom w:val="nil"/>
              <w:right w:val="nil"/>
            </w:tcBorders>
            <w:shd w:val="clear" w:color="auto" w:fill="auto"/>
            <w:noWrap/>
            <w:vAlign w:val="bottom"/>
          </w:tcPr>
          <w:p w14:paraId="08786E7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(.108)</w:t>
            </w:r>
          </w:p>
        </w:tc>
        <w:tc>
          <w:tcPr>
            <w:tcW w:w="1260" w:type="dxa"/>
            <w:gridSpan w:val="2"/>
            <w:tcBorders>
              <w:top w:val="nil"/>
              <w:left w:val="nil"/>
              <w:bottom w:val="nil"/>
              <w:right w:val="nil"/>
            </w:tcBorders>
            <w:shd w:val="clear" w:color="auto" w:fill="auto"/>
            <w:noWrap/>
            <w:vAlign w:val="bottom"/>
          </w:tcPr>
          <w:p w14:paraId="0F338C0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(.111)</w:t>
            </w:r>
          </w:p>
        </w:tc>
      </w:tr>
      <w:tr w:rsidR="00DA64BC" w:rsidRPr="006E6122" w14:paraId="17D451A8"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69B4508"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1280" w:type="dxa"/>
            <w:tcBorders>
              <w:top w:val="nil"/>
              <w:left w:val="nil"/>
              <w:bottom w:val="nil"/>
              <w:right w:val="nil"/>
            </w:tcBorders>
            <w:shd w:val="clear" w:color="auto" w:fill="auto"/>
            <w:noWrap/>
            <w:vAlign w:val="bottom"/>
          </w:tcPr>
          <w:p w14:paraId="4DB415E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.00093</w:t>
            </w:r>
            <w:r w:rsidR="005F3401">
              <w:rPr>
                <w:rFonts w:ascii="Calibri" w:hAnsi="Calibri" w:cs="Calibri"/>
                <w:sz w:val="20"/>
                <w:szCs w:val="20"/>
              </w:rPr>
              <w:t>0</w:t>
            </w:r>
          </w:p>
        </w:tc>
        <w:tc>
          <w:tcPr>
            <w:tcW w:w="1260" w:type="dxa"/>
            <w:tcBorders>
              <w:top w:val="nil"/>
              <w:left w:val="nil"/>
              <w:bottom w:val="nil"/>
              <w:right w:val="nil"/>
            </w:tcBorders>
            <w:shd w:val="clear" w:color="auto" w:fill="auto"/>
            <w:noWrap/>
            <w:vAlign w:val="bottom"/>
          </w:tcPr>
          <w:p w14:paraId="10B827A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.000919</w:t>
            </w:r>
          </w:p>
        </w:tc>
        <w:tc>
          <w:tcPr>
            <w:tcW w:w="1260" w:type="dxa"/>
            <w:tcBorders>
              <w:top w:val="nil"/>
              <w:left w:val="nil"/>
              <w:bottom w:val="nil"/>
              <w:right w:val="nil"/>
            </w:tcBorders>
            <w:shd w:val="clear" w:color="auto" w:fill="auto"/>
            <w:noWrap/>
            <w:vAlign w:val="bottom"/>
          </w:tcPr>
          <w:p w14:paraId="03D57C5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.000877</w:t>
            </w:r>
          </w:p>
        </w:tc>
        <w:tc>
          <w:tcPr>
            <w:tcW w:w="1260" w:type="dxa"/>
            <w:tcBorders>
              <w:top w:val="nil"/>
              <w:left w:val="nil"/>
              <w:bottom w:val="nil"/>
              <w:right w:val="nil"/>
            </w:tcBorders>
            <w:shd w:val="clear" w:color="auto" w:fill="auto"/>
            <w:noWrap/>
            <w:vAlign w:val="bottom"/>
          </w:tcPr>
          <w:p w14:paraId="300F230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.000897</w:t>
            </w:r>
          </w:p>
        </w:tc>
        <w:tc>
          <w:tcPr>
            <w:tcW w:w="1260" w:type="dxa"/>
            <w:gridSpan w:val="2"/>
            <w:tcBorders>
              <w:top w:val="nil"/>
              <w:left w:val="nil"/>
              <w:bottom w:val="nil"/>
              <w:right w:val="nil"/>
            </w:tcBorders>
            <w:shd w:val="clear" w:color="auto" w:fill="auto"/>
            <w:noWrap/>
            <w:vAlign w:val="bottom"/>
          </w:tcPr>
          <w:p w14:paraId="4FC01AE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.000975</w:t>
            </w:r>
          </w:p>
        </w:tc>
      </w:tr>
      <w:tr w:rsidR="00DA64BC" w:rsidRPr="006E6122" w14:paraId="45DB5E91"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74D4FAE"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7BF6A22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(.000821)</w:t>
            </w:r>
          </w:p>
        </w:tc>
        <w:tc>
          <w:tcPr>
            <w:tcW w:w="1260" w:type="dxa"/>
            <w:tcBorders>
              <w:top w:val="nil"/>
              <w:left w:val="nil"/>
              <w:bottom w:val="nil"/>
              <w:right w:val="nil"/>
            </w:tcBorders>
            <w:shd w:val="clear" w:color="auto" w:fill="auto"/>
            <w:noWrap/>
            <w:vAlign w:val="bottom"/>
          </w:tcPr>
          <w:p w14:paraId="3FB760C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(.000828)</w:t>
            </w:r>
          </w:p>
        </w:tc>
        <w:tc>
          <w:tcPr>
            <w:tcW w:w="1260" w:type="dxa"/>
            <w:tcBorders>
              <w:top w:val="nil"/>
              <w:left w:val="nil"/>
              <w:bottom w:val="nil"/>
              <w:right w:val="nil"/>
            </w:tcBorders>
            <w:shd w:val="clear" w:color="auto" w:fill="auto"/>
            <w:noWrap/>
            <w:vAlign w:val="bottom"/>
          </w:tcPr>
          <w:p w14:paraId="7908652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(.000918)</w:t>
            </w:r>
          </w:p>
        </w:tc>
        <w:tc>
          <w:tcPr>
            <w:tcW w:w="1260" w:type="dxa"/>
            <w:tcBorders>
              <w:top w:val="nil"/>
              <w:left w:val="nil"/>
              <w:bottom w:val="nil"/>
              <w:right w:val="nil"/>
            </w:tcBorders>
            <w:shd w:val="clear" w:color="auto" w:fill="auto"/>
            <w:noWrap/>
            <w:vAlign w:val="bottom"/>
          </w:tcPr>
          <w:p w14:paraId="521E094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(.000925)</w:t>
            </w:r>
          </w:p>
        </w:tc>
        <w:tc>
          <w:tcPr>
            <w:tcW w:w="1260" w:type="dxa"/>
            <w:gridSpan w:val="2"/>
            <w:tcBorders>
              <w:top w:val="nil"/>
              <w:left w:val="nil"/>
              <w:bottom w:val="nil"/>
              <w:right w:val="nil"/>
            </w:tcBorders>
            <w:shd w:val="clear" w:color="auto" w:fill="auto"/>
            <w:noWrap/>
            <w:vAlign w:val="bottom"/>
          </w:tcPr>
          <w:p w14:paraId="6556969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(.00093</w:t>
            </w:r>
            <w:r w:rsidR="005F3401">
              <w:rPr>
                <w:rFonts w:ascii="Calibri" w:hAnsi="Calibri" w:cs="Calibri"/>
                <w:sz w:val="20"/>
                <w:szCs w:val="20"/>
              </w:rPr>
              <w:t>0</w:t>
            </w:r>
            <w:r>
              <w:rPr>
                <w:rFonts w:ascii="Calibri" w:hAnsi="Calibri" w:cs="Calibri"/>
                <w:sz w:val="20"/>
                <w:szCs w:val="20"/>
              </w:rPr>
              <w:t>)</w:t>
            </w:r>
          </w:p>
        </w:tc>
      </w:tr>
      <w:tr w:rsidR="00DA64BC" w:rsidRPr="006E6122" w14:paraId="30C60B2F"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0BC7C05D"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1280" w:type="dxa"/>
            <w:tcBorders>
              <w:top w:val="nil"/>
              <w:left w:val="nil"/>
              <w:bottom w:val="nil"/>
              <w:right w:val="nil"/>
            </w:tcBorders>
            <w:shd w:val="clear" w:color="auto" w:fill="auto"/>
            <w:noWrap/>
            <w:vAlign w:val="bottom"/>
          </w:tcPr>
          <w:p w14:paraId="092B618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-.0192***</w:t>
            </w:r>
          </w:p>
        </w:tc>
        <w:tc>
          <w:tcPr>
            <w:tcW w:w="1260" w:type="dxa"/>
            <w:tcBorders>
              <w:top w:val="nil"/>
              <w:left w:val="nil"/>
              <w:bottom w:val="nil"/>
              <w:right w:val="nil"/>
            </w:tcBorders>
            <w:shd w:val="clear" w:color="auto" w:fill="auto"/>
            <w:noWrap/>
            <w:vAlign w:val="bottom"/>
          </w:tcPr>
          <w:p w14:paraId="6049B5F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-.0184***</w:t>
            </w:r>
          </w:p>
        </w:tc>
        <w:tc>
          <w:tcPr>
            <w:tcW w:w="1260" w:type="dxa"/>
            <w:tcBorders>
              <w:top w:val="nil"/>
              <w:left w:val="nil"/>
              <w:bottom w:val="nil"/>
              <w:right w:val="nil"/>
            </w:tcBorders>
            <w:shd w:val="clear" w:color="auto" w:fill="auto"/>
            <w:noWrap/>
            <w:vAlign w:val="bottom"/>
          </w:tcPr>
          <w:p w14:paraId="06D76FF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-.0195***</w:t>
            </w:r>
          </w:p>
        </w:tc>
        <w:tc>
          <w:tcPr>
            <w:tcW w:w="1260" w:type="dxa"/>
            <w:tcBorders>
              <w:top w:val="nil"/>
              <w:left w:val="nil"/>
              <w:bottom w:val="nil"/>
              <w:right w:val="nil"/>
            </w:tcBorders>
            <w:shd w:val="clear" w:color="auto" w:fill="auto"/>
            <w:noWrap/>
            <w:vAlign w:val="bottom"/>
          </w:tcPr>
          <w:p w14:paraId="11F04F4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-.0194***</w:t>
            </w:r>
          </w:p>
        </w:tc>
        <w:tc>
          <w:tcPr>
            <w:tcW w:w="1260" w:type="dxa"/>
            <w:gridSpan w:val="2"/>
            <w:tcBorders>
              <w:top w:val="nil"/>
              <w:left w:val="nil"/>
              <w:bottom w:val="nil"/>
              <w:right w:val="nil"/>
            </w:tcBorders>
            <w:shd w:val="clear" w:color="auto" w:fill="auto"/>
            <w:noWrap/>
            <w:vAlign w:val="bottom"/>
          </w:tcPr>
          <w:p w14:paraId="4B1CF3E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-.0191***</w:t>
            </w:r>
          </w:p>
        </w:tc>
      </w:tr>
      <w:tr w:rsidR="00DA64BC" w:rsidRPr="006E6122" w14:paraId="657BAEE2"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38A7E63D"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C3875A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(.00152)</w:t>
            </w:r>
          </w:p>
        </w:tc>
        <w:tc>
          <w:tcPr>
            <w:tcW w:w="1260" w:type="dxa"/>
            <w:tcBorders>
              <w:top w:val="nil"/>
              <w:left w:val="nil"/>
              <w:bottom w:val="nil"/>
              <w:right w:val="nil"/>
            </w:tcBorders>
            <w:shd w:val="clear" w:color="auto" w:fill="auto"/>
            <w:noWrap/>
            <w:vAlign w:val="bottom"/>
          </w:tcPr>
          <w:p w14:paraId="3D07143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(.0016</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539F357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(.00188)</w:t>
            </w:r>
          </w:p>
        </w:tc>
        <w:tc>
          <w:tcPr>
            <w:tcW w:w="1260" w:type="dxa"/>
            <w:tcBorders>
              <w:top w:val="nil"/>
              <w:left w:val="nil"/>
              <w:bottom w:val="nil"/>
              <w:right w:val="nil"/>
            </w:tcBorders>
            <w:shd w:val="clear" w:color="auto" w:fill="auto"/>
            <w:noWrap/>
            <w:vAlign w:val="bottom"/>
          </w:tcPr>
          <w:p w14:paraId="1DD29B2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(.00195)</w:t>
            </w:r>
          </w:p>
        </w:tc>
        <w:tc>
          <w:tcPr>
            <w:tcW w:w="1260" w:type="dxa"/>
            <w:gridSpan w:val="2"/>
            <w:tcBorders>
              <w:top w:val="nil"/>
              <w:left w:val="nil"/>
              <w:bottom w:val="nil"/>
              <w:right w:val="nil"/>
            </w:tcBorders>
            <w:shd w:val="clear" w:color="auto" w:fill="auto"/>
            <w:noWrap/>
            <w:vAlign w:val="bottom"/>
          </w:tcPr>
          <w:p w14:paraId="3397E6B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(.00202)</w:t>
            </w:r>
          </w:p>
        </w:tc>
      </w:tr>
      <w:tr w:rsidR="006751BB" w:rsidRPr="006E6122" w14:paraId="292646D4"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4F10637"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1280" w:type="dxa"/>
            <w:tcBorders>
              <w:top w:val="nil"/>
              <w:left w:val="nil"/>
              <w:bottom w:val="nil"/>
              <w:right w:val="nil"/>
            </w:tcBorders>
            <w:shd w:val="clear" w:color="auto" w:fill="auto"/>
            <w:noWrap/>
            <w:vAlign w:val="bottom"/>
          </w:tcPr>
          <w:p w14:paraId="3D885E52"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.0201***</w:t>
            </w:r>
          </w:p>
        </w:tc>
        <w:tc>
          <w:tcPr>
            <w:tcW w:w="1260" w:type="dxa"/>
            <w:tcBorders>
              <w:top w:val="nil"/>
              <w:left w:val="nil"/>
              <w:bottom w:val="nil"/>
              <w:right w:val="nil"/>
            </w:tcBorders>
            <w:shd w:val="clear" w:color="auto" w:fill="auto"/>
            <w:noWrap/>
            <w:vAlign w:val="bottom"/>
          </w:tcPr>
          <w:p w14:paraId="339750AC"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.0183***</w:t>
            </w:r>
          </w:p>
        </w:tc>
        <w:tc>
          <w:tcPr>
            <w:tcW w:w="1260" w:type="dxa"/>
            <w:tcBorders>
              <w:top w:val="nil"/>
              <w:left w:val="nil"/>
              <w:bottom w:val="nil"/>
              <w:right w:val="nil"/>
            </w:tcBorders>
            <w:shd w:val="clear" w:color="auto" w:fill="auto"/>
            <w:noWrap/>
            <w:vAlign w:val="bottom"/>
          </w:tcPr>
          <w:p w14:paraId="4EFEAB0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.0200***</w:t>
            </w:r>
          </w:p>
        </w:tc>
        <w:tc>
          <w:tcPr>
            <w:tcW w:w="1260" w:type="dxa"/>
            <w:tcBorders>
              <w:top w:val="nil"/>
              <w:left w:val="nil"/>
              <w:bottom w:val="nil"/>
              <w:right w:val="nil"/>
            </w:tcBorders>
            <w:shd w:val="clear" w:color="auto" w:fill="auto"/>
            <w:noWrap/>
            <w:vAlign w:val="bottom"/>
          </w:tcPr>
          <w:p w14:paraId="1AF31B02"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.0191***</w:t>
            </w:r>
          </w:p>
        </w:tc>
        <w:tc>
          <w:tcPr>
            <w:tcW w:w="1260" w:type="dxa"/>
            <w:gridSpan w:val="2"/>
            <w:tcBorders>
              <w:top w:val="nil"/>
              <w:left w:val="nil"/>
              <w:bottom w:val="nil"/>
              <w:right w:val="nil"/>
            </w:tcBorders>
            <w:shd w:val="clear" w:color="auto" w:fill="auto"/>
            <w:noWrap/>
            <w:vAlign w:val="bottom"/>
          </w:tcPr>
          <w:p w14:paraId="7B5FE6CD"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.0181***</w:t>
            </w:r>
          </w:p>
        </w:tc>
      </w:tr>
      <w:tr w:rsidR="006751BB" w:rsidRPr="006E6122" w14:paraId="2697769A"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3C77EC56"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5FB2775B"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(.00209)</w:t>
            </w:r>
          </w:p>
        </w:tc>
        <w:tc>
          <w:tcPr>
            <w:tcW w:w="1260" w:type="dxa"/>
            <w:tcBorders>
              <w:top w:val="nil"/>
              <w:left w:val="nil"/>
              <w:bottom w:val="nil"/>
              <w:right w:val="nil"/>
            </w:tcBorders>
            <w:shd w:val="clear" w:color="auto" w:fill="auto"/>
            <w:noWrap/>
            <w:vAlign w:val="bottom"/>
          </w:tcPr>
          <w:p w14:paraId="5C99CF4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(.00216)</w:t>
            </w:r>
          </w:p>
        </w:tc>
        <w:tc>
          <w:tcPr>
            <w:tcW w:w="1260" w:type="dxa"/>
            <w:tcBorders>
              <w:top w:val="nil"/>
              <w:left w:val="nil"/>
              <w:bottom w:val="nil"/>
              <w:right w:val="nil"/>
            </w:tcBorders>
            <w:shd w:val="clear" w:color="auto" w:fill="auto"/>
            <w:noWrap/>
            <w:vAlign w:val="bottom"/>
          </w:tcPr>
          <w:p w14:paraId="13B19BE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(.00236)</w:t>
            </w:r>
          </w:p>
        </w:tc>
        <w:tc>
          <w:tcPr>
            <w:tcW w:w="1260" w:type="dxa"/>
            <w:tcBorders>
              <w:top w:val="nil"/>
              <w:left w:val="nil"/>
              <w:bottom w:val="nil"/>
              <w:right w:val="nil"/>
            </w:tcBorders>
            <w:shd w:val="clear" w:color="auto" w:fill="auto"/>
            <w:noWrap/>
            <w:vAlign w:val="bottom"/>
          </w:tcPr>
          <w:p w14:paraId="1FB5CC59"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(.00241)</w:t>
            </w:r>
          </w:p>
        </w:tc>
        <w:tc>
          <w:tcPr>
            <w:tcW w:w="1260" w:type="dxa"/>
            <w:gridSpan w:val="2"/>
            <w:tcBorders>
              <w:top w:val="nil"/>
              <w:left w:val="nil"/>
              <w:bottom w:val="nil"/>
              <w:right w:val="nil"/>
            </w:tcBorders>
            <w:shd w:val="clear" w:color="auto" w:fill="auto"/>
            <w:noWrap/>
            <w:vAlign w:val="bottom"/>
          </w:tcPr>
          <w:p w14:paraId="1C6D425C"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(.00244)</w:t>
            </w:r>
          </w:p>
        </w:tc>
      </w:tr>
      <w:tr w:rsidR="006751BB" w:rsidRPr="006E6122" w14:paraId="5ECF3494"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1BADA7BF"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1280" w:type="dxa"/>
            <w:tcBorders>
              <w:top w:val="nil"/>
              <w:left w:val="nil"/>
              <w:bottom w:val="nil"/>
              <w:right w:val="nil"/>
            </w:tcBorders>
            <w:shd w:val="clear" w:color="auto" w:fill="auto"/>
            <w:noWrap/>
            <w:vAlign w:val="bottom"/>
          </w:tcPr>
          <w:p w14:paraId="70090DE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-.000143***</w:t>
            </w:r>
          </w:p>
        </w:tc>
        <w:tc>
          <w:tcPr>
            <w:tcW w:w="1260" w:type="dxa"/>
            <w:tcBorders>
              <w:top w:val="nil"/>
              <w:left w:val="nil"/>
              <w:bottom w:val="nil"/>
              <w:right w:val="nil"/>
            </w:tcBorders>
            <w:shd w:val="clear" w:color="auto" w:fill="auto"/>
            <w:noWrap/>
            <w:vAlign w:val="bottom"/>
          </w:tcPr>
          <w:p w14:paraId="2666FD48"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-.000133***</w:t>
            </w:r>
          </w:p>
        </w:tc>
        <w:tc>
          <w:tcPr>
            <w:tcW w:w="1260" w:type="dxa"/>
            <w:tcBorders>
              <w:top w:val="nil"/>
              <w:left w:val="nil"/>
              <w:bottom w:val="nil"/>
              <w:right w:val="nil"/>
            </w:tcBorders>
            <w:shd w:val="clear" w:color="auto" w:fill="auto"/>
            <w:noWrap/>
            <w:vAlign w:val="bottom"/>
          </w:tcPr>
          <w:p w14:paraId="580F8CFE"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-.000139***</w:t>
            </w:r>
          </w:p>
        </w:tc>
        <w:tc>
          <w:tcPr>
            <w:tcW w:w="1260" w:type="dxa"/>
            <w:tcBorders>
              <w:top w:val="nil"/>
              <w:left w:val="nil"/>
              <w:bottom w:val="nil"/>
              <w:right w:val="nil"/>
            </w:tcBorders>
            <w:shd w:val="clear" w:color="auto" w:fill="auto"/>
            <w:noWrap/>
            <w:vAlign w:val="bottom"/>
          </w:tcPr>
          <w:p w14:paraId="67A0E44E"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-.000134***</w:t>
            </w:r>
          </w:p>
        </w:tc>
        <w:tc>
          <w:tcPr>
            <w:tcW w:w="1260" w:type="dxa"/>
            <w:gridSpan w:val="2"/>
            <w:tcBorders>
              <w:top w:val="nil"/>
              <w:left w:val="nil"/>
              <w:bottom w:val="nil"/>
              <w:right w:val="nil"/>
            </w:tcBorders>
            <w:shd w:val="clear" w:color="auto" w:fill="auto"/>
            <w:noWrap/>
            <w:vAlign w:val="bottom"/>
          </w:tcPr>
          <w:p w14:paraId="22638417"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-.000128***</w:t>
            </w:r>
          </w:p>
        </w:tc>
      </w:tr>
      <w:tr w:rsidR="00DA64BC" w:rsidRPr="006E6122" w14:paraId="3E422C6D"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E2103E2"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639EC11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(.0000154)</w:t>
            </w:r>
          </w:p>
        </w:tc>
        <w:tc>
          <w:tcPr>
            <w:tcW w:w="1260" w:type="dxa"/>
            <w:tcBorders>
              <w:top w:val="nil"/>
              <w:left w:val="nil"/>
              <w:bottom w:val="nil"/>
              <w:right w:val="nil"/>
            </w:tcBorders>
            <w:shd w:val="clear" w:color="auto" w:fill="auto"/>
            <w:noWrap/>
            <w:vAlign w:val="bottom"/>
          </w:tcPr>
          <w:p w14:paraId="5C61FD2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(.0000156)</w:t>
            </w:r>
          </w:p>
        </w:tc>
        <w:tc>
          <w:tcPr>
            <w:tcW w:w="1260" w:type="dxa"/>
            <w:tcBorders>
              <w:top w:val="nil"/>
              <w:left w:val="nil"/>
              <w:bottom w:val="nil"/>
              <w:right w:val="nil"/>
            </w:tcBorders>
            <w:shd w:val="clear" w:color="auto" w:fill="auto"/>
            <w:noWrap/>
            <w:vAlign w:val="bottom"/>
          </w:tcPr>
          <w:p w14:paraId="36396F5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(.0000173)</w:t>
            </w:r>
          </w:p>
        </w:tc>
        <w:tc>
          <w:tcPr>
            <w:tcW w:w="1260" w:type="dxa"/>
            <w:tcBorders>
              <w:top w:val="nil"/>
              <w:left w:val="nil"/>
              <w:bottom w:val="nil"/>
              <w:right w:val="nil"/>
            </w:tcBorders>
            <w:shd w:val="clear" w:color="auto" w:fill="auto"/>
            <w:noWrap/>
            <w:vAlign w:val="bottom"/>
          </w:tcPr>
          <w:p w14:paraId="547098C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(.0000175)</w:t>
            </w:r>
          </w:p>
        </w:tc>
        <w:tc>
          <w:tcPr>
            <w:tcW w:w="1260" w:type="dxa"/>
            <w:gridSpan w:val="2"/>
            <w:tcBorders>
              <w:top w:val="nil"/>
              <w:left w:val="nil"/>
              <w:bottom w:val="nil"/>
              <w:right w:val="nil"/>
            </w:tcBorders>
            <w:shd w:val="clear" w:color="auto" w:fill="auto"/>
            <w:noWrap/>
            <w:vAlign w:val="bottom"/>
          </w:tcPr>
          <w:p w14:paraId="7EA2952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(.0000176)</w:t>
            </w:r>
          </w:p>
        </w:tc>
      </w:tr>
      <w:tr w:rsidR="00DA64BC" w:rsidRPr="006E6122" w14:paraId="74BEB219"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0BAF3149"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1280" w:type="dxa"/>
            <w:tcBorders>
              <w:top w:val="nil"/>
              <w:left w:val="nil"/>
              <w:bottom w:val="nil"/>
              <w:right w:val="nil"/>
            </w:tcBorders>
            <w:shd w:val="clear" w:color="auto" w:fill="auto"/>
            <w:noWrap/>
            <w:vAlign w:val="bottom"/>
          </w:tcPr>
          <w:p w14:paraId="5B026F4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-.72</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07739B4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-.767***</w:t>
            </w:r>
          </w:p>
        </w:tc>
        <w:tc>
          <w:tcPr>
            <w:tcW w:w="1260" w:type="dxa"/>
            <w:tcBorders>
              <w:top w:val="nil"/>
              <w:left w:val="nil"/>
              <w:bottom w:val="nil"/>
              <w:right w:val="nil"/>
            </w:tcBorders>
            <w:shd w:val="clear" w:color="auto" w:fill="auto"/>
            <w:noWrap/>
            <w:vAlign w:val="bottom"/>
          </w:tcPr>
          <w:p w14:paraId="7919049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-.449</w:t>
            </w:r>
          </w:p>
        </w:tc>
        <w:tc>
          <w:tcPr>
            <w:tcW w:w="1260" w:type="dxa"/>
            <w:tcBorders>
              <w:top w:val="nil"/>
              <w:left w:val="nil"/>
              <w:bottom w:val="nil"/>
              <w:right w:val="nil"/>
            </w:tcBorders>
            <w:shd w:val="clear" w:color="auto" w:fill="auto"/>
            <w:noWrap/>
            <w:vAlign w:val="bottom"/>
          </w:tcPr>
          <w:p w14:paraId="4FD273E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-.472</w:t>
            </w:r>
          </w:p>
        </w:tc>
        <w:tc>
          <w:tcPr>
            <w:tcW w:w="1260" w:type="dxa"/>
            <w:gridSpan w:val="2"/>
            <w:tcBorders>
              <w:top w:val="nil"/>
              <w:left w:val="nil"/>
              <w:bottom w:val="nil"/>
              <w:right w:val="nil"/>
            </w:tcBorders>
            <w:shd w:val="clear" w:color="auto" w:fill="auto"/>
            <w:noWrap/>
            <w:vAlign w:val="bottom"/>
          </w:tcPr>
          <w:p w14:paraId="57B5CE78"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-.458</w:t>
            </w:r>
          </w:p>
        </w:tc>
      </w:tr>
      <w:tr w:rsidR="00DA64BC" w:rsidRPr="006E6122" w14:paraId="23D4DF93"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2C3677C"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2D65EA5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(.262)</w:t>
            </w:r>
          </w:p>
        </w:tc>
        <w:tc>
          <w:tcPr>
            <w:tcW w:w="1260" w:type="dxa"/>
            <w:tcBorders>
              <w:top w:val="nil"/>
              <w:left w:val="nil"/>
              <w:bottom w:val="nil"/>
              <w:right w:val="nil"/>
            </w:tcBorders>
            <w:shd w:val="clear" w:color="auto" w:fill="auto"/>
            <w:noWrap/>
            <w:vAlign w:val="bottom"/>
          </w:tcPr>
          <w:p w14:paraId="39DD0EB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(.276)</w:t>
            </w:r>
          </w:p>
        </w:tc>
        <w:tc>
          <w:tcPr>
            <w:tcW w:w="1260" w:type="dxa"/>
            <w:tcBorders>
              <w:top w:val="nil"/>
              <w:left w:val="nil"/>
              <w:bottom w:val="nil"/>
              <w:right w:val="nil"/>
            </w:tcBorders>
            <w:shd w:val="clear" w:color="auto" w:fill="auto"/>
            <w:noWrap/>
            <w:vAlign w:val="bottom"/>
          </w:tcPr>
          <w:p w14:paraId="7089370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(.29</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5B11C1A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w:t>
            </w:r>
            <w:r w:rsidR="005F3401">
              <w:rPr>
                <w:rFonts w:ascii="Calibri" w:hAnsi="Calibri" w:cs="Calibri"/>
                <w:sz w:val="20"/>
                <w:szCs w:val="20"/>
              </w:rPr>
              <w:t>00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533E9B3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(.305)</w:t>
            </w:r>
          </w:p>
        </w:tc>
      </w:tr>
      <w:tr w:rsidR="00DA64BC" w:rsidRPr="006E6122" w14:paraId="72A90C60"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3891E165"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1280" w:type="dxa"/>
            <w:tcBorders>
              <w:top w:val="nil"/>
              <w:left w:val="nil"/>
              <w:bottom w:val="nil"/>
              <w:right w:val="nil"/>
            </w:tcBorders>
            <w:shd w:val="clear" w:color="auto" w:fill="auto"/>
            <w:noWrap/>
            <w:vAlign w:val="bottom"/>
          </w:tcPr>
          <w:p w14:paraId="4F80B51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.382***</w:t>
            </w:r>
          </w:p>
        </w:tc>
        <w:tc>
          <w:tcPr>
            <w:tcW w:w="1260" w:type="dxa"/>
            <w:tcBorders>
              <w:top w:val="nil"/>
              <w:left w:val="nil"/>
              <w:bottom w:val="nil"/>
              <w:right w:val="nil"/>
            </w:tcBorders>
            <w:shd w:val="clear" w:color="auto" w:fill="auto"/>
            <w:noWrap/>
            <w:vAlign w:val="bottom"/>
          </w:tcPr>
          <w:p w14:paraId="17B0CFB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.371***</w:t>
            </w:r>
          </w:p>
        </w:tc>
        <w:tc>
          <w:tcPr>
            <w:tcW w:w="1260" w:type="dxa"/>
            <w:tcBorders>
              <w:top w:val="nil"/>
              <w:left w:val="nil"/>
              <w:bottom w:val="nil"/>
              <w:right w:val="nil"/>
            </w:tcBorders>
            <w:shd w:val="clear" w:color="auto" w:fill="auto"/>
            <w:noWrap/>
            <w:vAlign w:val="bottom"/>
          </w:tcPr>
          <w:p w14:paraId="751D391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.352***</w:t>
            </w:r>
          </w:p>
        </w:tc>
        <w:tc>
          <w:tcPr>
            <w:tcW w:w="1260" w:type="dxa"/>
            <w:tcBorders>
              <w:top w:val="nil"/>
              <w:left w:val="nil"/>
              <w:bottom w:val="nil"/>
              <w:right w:val="nil"/>
            </w:tcBorders>
            <w:shd w:val="clear" w:color="auto" w:fill="auto"/>
            <w:noWrap/>
            <w:vAlign w:val="bottom"/>
          </w:tcPr>
          <w:p w14:paraId="7D249F4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.354***</w:t>
            </w:r>
          </w:p>
        </w:tc>
        <w:tc>
          <w:tcPr>
            <w:tcW w:w="1260" w:type="dxa"/>
            <w:gridSpan w:val="2"/>
            <w:tcBorders>
              <w:top w:val="nil"/>
              <w:left w:val="nil"/>
              <w:bottom w:val="nil"/>
              <w:right w:val="nil"/>
            </w:tcBorders>
            <w:shd w:val="clear" w:color="auto" w:fill="auto"/>
            <w:noWrap/>
            <w:vAlign w:val="bottom"/>
          </w:tcPr>
          <w:p w14:paraId="00FFDC0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.357***</w:t>
            </w:r>
          </w:p>
        </w:tc>
      </w:tr>
      <w:tr w:rsidR="00DA64BC" w:rsidRPr="006E6122" w14:paraId="2AE52969"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A4CA72D"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9B648B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(.0349)</w:t>
            </w:r>
          </w:p>
        </w:tc>
        <w:tc>
          <w:tcPr>
            <w:tcW w:w="1260" w:type="dxa"/>
            <w:tcBorders>
              <w:top w:val="nil"/>
              <w:left w:val="nil"/>
              <w:bottom w:val="nil"/>
              <w:right w:val="nil"/>
            </w:tcBorders>
            <w:shd w:val="clear" w:color="auto" w:fill="auto"/>
            <w:noWrap/>
            <w:vAlign w:val="bottom"/>
          </w:tcPr>
          <w:p w14:paraId="7111108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(.0353)</w:t>
            </w:r>
          </w:p>
        </w:tc>
        <w:tc>
          <w:tcPr>
            <w:tcW w:w="1260" w:type="dxa"/>
            <w:tcBorders>
              <w:top w:val="nil"/>
              <w:left w:val="nil"/>
              <w:bottom w:val="nil"/>
              <w:right w:val="nil"/>
            </w:tcBorders>
            <w:shd w:val="clear" w:color="auto" w:fill="auto"/>
            <w:noWrap/>
            <w:vAlign w:val="bottom"/>
          </w:tcPr>
          <w:p w14:paraId="36B4597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(.0391)</w:t>
            </w:r>
          </w:p>
        </w:tc>
        <w:tc>
          <w:tcPr>
            <w:tcW w:w="1260" w:type="dxa"/>
            <w:tcBorders>
              <w:top w:val="nil"/>
              <w:left w:val="nil"/>
              <w:bottom w:val="nil"/>
              <w:right w:val="nil"/>
            </w:tcBorders>
            <w:shd w:val="clear" w:color="auto" w:fill="auto"/>
            <w:noWrap/>
            <w:vAlign w:val="bottom"/>
          </w:tcPr>
          <w:p w14:paraId="3FD93A9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(.0395)</w:t>
            </w:r>
          </w:p>
        </w:tc>
        <w:tc>
          <w:tcPr>
            <w:tcW w:w="1260" w:type="dxa"/>
            <w:gridSpan w:val="2"/>
            <w:tcBorders>
              <w:top w:val="nil"/>
              <w:left w:val="nil"/>
              <w:bottom w:val="nil"/>
              <w:right w:val="nil"/>
            </w:tcBorders>
            <w:shd w:val="clear" w:color="auto" w:fill="auto"/>
            <w:noWrap/>
            <w:vAlign w:val="bottom"/>
          </w:tcPr>
          <w:p w14:paraId="0BAA9A1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(.0402)</w:t>
            </w:r>
          </w:p>
        </w:tc>
      </w:tr>
      <w:tr w:rsidR="00DA64BC" w:rsidRPr="006E6122" w14:paraId="6AD37BA3"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34727391"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1280" w:type="dxa"/>
            <w:tcBorders>
              <w:top w:val="nil"/>
              <w:left w:val="nil"/>
              <w:bottom w:val="nil"/>
              <w:right w:val="nil"/>
            </w:tcBorders>
            <w:shd w:val="clear" w:color="auto" w:fill="auto"/>
            <w:noWrap/>
            <w:vAlign w:val="bottom"/>
          </w:tcPr>
          <w:p w14:paraId="25C8540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.33</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114C359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.317***</w:t>
            </w:r>
          </w:p>
        </w:tc>
        <w:tc>
          <w:tcPr>
            <w:tcW w:w="1260" w:type="dxa"/>
            <w:tcBorders>
              <w:top w:val="nil"/>
              <w:left w:val="nil"/>
              <w:bottom w:val="nil"/>
              <w:right w:val="nil"/>
            </w:tcBorders>
            <w:shd w:val="clear" w:color="auto" w:fill="auto"/>
            <w:noWrap/>
            <w:vAlign w:val="bottom"/>
          </w:tcPr>
          <w:p w14:paraId="33AF7E7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.38</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6E92D0E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.39</w:t>
            </w:r>
            <w:r w:rsidR="005F3401">
              <w:rPr>
                <w:rFonts w:ascii="Calibri" w:hAnsi="Calibri" w:cs="Calibri"/>
                <w:sz w:val="20"/>
                <w:szCs w:val="20"/>
              </w:rPr>
              <w:t>0</w:t>
            </w:r>
            <w:r>
              <w:rPr>
                <w:rFonts w:ascii="Calibri" w:hAnsi="Calibri" w:cs="Calibri"/>
                <w:sz w:val="20"/>
                <w:szCs w:val="20"/>
              </w:rPr>
              <w:t>***</w:t>
            </w:r>
          </w:p>
        </w:tc>
        <w:tc>
          <w:tcPr>
            <w:tcW w:w="1260" w:type="dxa"/>
            <w:gridSpan w:val="2"/>
            <w:tcBorders>
              <w:top w:val="nil"/>
              <w:left w:val="nil"/>
              <w:bottom w:val="nil"/>
              <w:right w:val="nil"/>
            </w:tcBorders>
            <w:shd w:val="clear" w:color="auto" w:fill="auto"/>
            <w:noWrap/>
            <w:vAlign w:val="bottom"/>
          </w:tcPr>
          <w:p w14:paraId="1165009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.398***</w:t>
            </w:r>
          </w:p>
        </w:tc>
      </w:tr>
      <w:tr w:rsidR="00DA64BC" w:rsidRPr="006E6122" w14:paraId="06985B95"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E3B0890"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49C448F7"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(.0657)</w:t>
            </w:r>
          </w:p>
        </w:tc>
        <w:tc>
          <w:tcPr>
            <w:tcW w:w="1260" w:type="dxa"/>
            <w:tcBorders>
              <w:top w:val="nil"/>
              <w:left w:val="nil"/>
              <w:bottom w:val="nil"/>
              <w:right w:val="nil"/>
            </w:tcBorders>
            <w:shd w:val="clear" w:color="auto" w:fill="auto"/>
            <w:noWrap/>
            <w:vAlign w:val="bottom"/>
          </w:tcPr>
          <w:p w14:paraId="0A2FFE9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(.0683)</w:t>
            </w:r>
          </w:p>
        </w:tc>
        <w:tc>
          <w:tcPr>
            <w:tcW w:w="1260" w:type="dxa"/>
            <w:tcBorders>
              <w:top w:val="nil"/>
              <w:left w:val="nil"/>
              <w:bottom w:val="nil"/>
              <w:right w:val="nil"/>
            </w:tcBorders>
            <w:shd w:val="clear" w:color="auto" w:fill="auto"/>
            <w:noWrap/>
            <w:vAlign w:val="bottom"/>
          </w:tcPr>
          <w:p w14:paraId="6E472FB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(.0756)</w:t>
            </w:r>
          </w:p>
        </w:tc>
        <w:tc>
          <w:tcPr>
            <w:tcW w:w="1260" w:type="dxa"/>
            <w:tcBorders>
              <w:top w:val="nil"/>
              <w:left w:val="nil"/>
              <w:bottom w:val="nil"/>
              <w:right w:val="nil"/>
            </w:tcBorders>
            <w:shd w:val="clear" w:color="auto" w:fill="auto"/>
            <w:noWrap/>
            <w:vAlign w:val="bottom"/>
          </w:tcPr>
          <w:p w14:paraId="3BFF3EA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(.0763)</w:t>
            </w:r>
          </w:p>
        </w:tc>
        <w:tc>
          <w:tcPr>
            <w:tcW w:w="1260" w:type="dxa"/>
            <w:gridSpan w:val="2"/>
            <w:tcBorders>
              <w:top w:val="nil"/>
              <w:left w:val="nil"/>
              <w:bottom w:val="nil"/>
              <w:right w:val="nil"/>
            </w:tcBorders>
            <w:shd w:val="clear" w:color="auto" w:fill="auto"/>
            <w:noWrap/>
            <w:vAlign w:val="bottom"/>
          </w:tcPr>
          <w:p w14:paraId="4A144498"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(.0776)</w:t>
            </w:r>
          </w:p>
        </w:tc>
      </w:tr>
      <w:tr w:rsidR="00DA64BC" w:rsidRPr="006E6122" w14:paraId="57828CF2"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1DFE06DF"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1280" w:type="dxa"/>
            <w:tcBorders>
              <w:top w:val="nil"/>
              <w:left w:val="nil"/>
              <w:bottom w:val="nil"/>
              <w:right w:val="nil"/>
            </w:tcBorders>
            <w:shd w:val="clear" w:color="auto" w:fill="auto"/>
            <w:noWrap/>
            <w:vAlign w:val="bottom"/>
          </w:tcPr>
          <w:p w14:paraId="355A652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-.076</w:t>
            </w:r>
            <w:r w:rsidR="005F3401">
              <w:rPr>
                <w:rFonts w:ascii="Calibri" w:hAnsi="Calibri" w:cs="Calibri"/>
                <w:sz w:val="20"/>
                <w:szCs w:val="20"/>
              </w:rPr>
              <w:t>0</w:t>
            </w:r>
            <w:r>
              <w:rPr>
                <w:rFonts w:ascii="Calibri" w:hAnsi="Calibri" w:cs="Calibri"/>
                <w:sz w:val="20"/>
                <w:szCs w:val="20"/>
              </w:rPr>
              <w:t>***</w:t>
            </w:r>
          </w:p>
        </w:tc>
        <w:tc>
          <w:tcPr>
            <w:tcW w:w="1260" w:type="dxa"/>
            <w:tcBorders>
              <w:top w:val="nil"/>
              <w:left w:val="nil"/>
              <w:bottom w:val="nil"/>
              <w:right w:val="nil"/>
            </w:tcBorders>
            <w:shd w:val="clear" w:color="auto" w:fill="auto"/>
            <w:noWrap/>
            <w:vAlign w:val="bottom"/>
          </w:tcPr>
          <w:p w14:paraId="67E6DE88"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-.0731***</w:t>
            </w:r>
          </w:p>
        </w:tc>
        <w:tc>
          <w:tcPr>
            <w:tcW w:w="1260" w:type="dxa"/>
            <w:tcBorders>
              <w:top w:val="nil"/>
              <w:left w:val="nil"/>
              <w:bottom w:val="nil"/>
              <w:right w:val="nil"/>
            </w:tcBorders>
            <w:shd w:val="clear" w:color="auto" w:fill="auto"/>
            <w:noWrap/>
            <w:vAlign w:val="bottom"/>
          </w:tcPr>
          <w:p w14:paraId="1EF3FA0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-.0897***</w:t>
            </w:r>
          </w:p>
        </w:tc>
        <w:tc>
          <w:tcPr>
            <w:tcW w:w="1260" w:type="dxa"/>
            <w:tcBorders>
              <w:top w:val="nil"/>
              <w:left w:val="nil"/>
              <w:bottom w:val="nil"/>
              <w:right w:val="nil"/>
            </w:tcBorders>
            <w:shd w:val="clear" w:color="auto" w:fill="auto"/>
            <w:noWrap/>
            <w:vAlign w:val="bottom"/>
          </w:tcPr>
          <w:p w14:paraId="10CC74C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-.0908***</w:t>
            </w:r>
          </w:p>
        </w:tc>
        <w:tc>
          <w:tcPr>
            <w:tcW w:w="1260" w:type="dxa"/>
            <w:gridSpan w:val="2"/>
            <w:tcBorders>
              <w:top w:val="nil"/>
              <w:left w:val="nil"/>
              <w:bottom w:val="nil"/>
              <w:right w:val="nil"/>
            </w:tcBorders>
            <w:shd w:val="clear" w:color="auto" w:fill="auto"/>
            <w:noWrap/>
            <w:vAlign w:val="bottom"/>
          </w:tcPr>
          <w:p w14:paraId="0EA7D427"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-.0874***</w:t>
            </w:r>
          </w:p>
        </w:tc>
      </w:tr>
      <w:tr w:rsidR="00DA64BC" w:rsidRPr="006E6122" w14:paraId="03458FB7"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6660345"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5298425C"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(.00965)</w:t>
            </w:r>
          </w:p>
        </w:tc>
        <w:tc>
          <w:tcPr>
            <w:tcW w:w="1260" w:type="dxa"/>
            <w:tcBorders>
              <w:top w:val="nil"/>
              <w:left w:val="nil"/>
              <w:bottom w:val="nil"/>
              <w:right w:val="nil"/>
            </w:tcBorders>
            <w:shd w:val="clear" w:color="auto" w:fill="auto"/>
            <w:noWrap/>
            <w:vAlign w:val="bottom"/>
          </w:tcPr>
          <w:p w14:paraId="3636AA8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(.00984)</w:t>
            </w:r>
          </w:p>
        </w:tc>
        <w:tc>
          <w:tcPr>
            <w:tcW w:w="1260" w:type="dxa"/>
            <w:tcBorders>
              <w:top w:val="nil"/>
              <w:left w:val="nil"/>
              <w:bottom w:val="nil"/>
              <w:right w:val="nil"/>
            </w:tcBorders>
            <w:shd w:val="clear" w:color="auto" w:fill="auto"/>
            <w:noWrap/>
            <w:vAlign w:val="bottom"/>
          </w:tcPr>
          <w:p w14:paraId="6A38AE1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(.0112)</w:t>
            </w:r>
          </w:p>
        </w:tc>
        <w:tc>
          <w:tcPr>
            <w:tcW w:w="1260" w:type="dxa"/>
            <w:tcBorders>
              <w:top w:val="nil"/>
              <w:left w:val="nil"/>
              <w:bottom w:val="nil"/>
              <w:right w:val="nil"/>
            </w:tcBorders>
            <w:shd w:val="clear" w:color="auto" w:fill="auto"/>
            <w:noWrap/>
            <w:vAlign w:val="bottom"/>
          </w:tcPr>
          <w:p w14:paraId="1B7CB42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(.0113)</w:t>
            </w:r>
          </w:p>
        </w:tc>
        <w:tc>
          <w:tcPr>
            <w:tcW w:w="1260" w:type="dxa"/>
            <w:gridSpan w:val="2"/>
            <w:tcBorders>
              <w:top w:val="nil"/>
              <w:left w:val="nil"/>
              <w:bottom w:val="nil"/>
              <w:right w:val="nil"/>
            </w:tcBorders>
            <w:shd w:val="clear" w:color="auto" w:fill="auto"/>
            <w:noWrap/>
            <w:vAlign w:val="bottom"/>
          </w:tcPr>
          <w:p w14:paraId="1A1719CD"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(.0115)</w:t>
            </w:r>
          </w:p>
        </w:tc>
      </w:tr>
      <w:tr w:rsidR="00DA64BC" w:rsidRPr="006E6122" w14:paraId="2BE11679"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1EA70279"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1280" w:type="dxa"/>
            <w:tcBorders>
              <w:top w:val="nil"/>
              <w:left w:val="nil"/>
              <w:bottom w:val="nil"/>
              <w:right w:val="nil"/>
            </w:tcBorders>
            <w:shd w:val="clear" w:color="auto" w:fill="auto"/>
            <w:noWrap/>
            <w:vAlign w:val="bottom"/>
          </w:tcPr>
          <w:p w14:paraId="0816AF2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-.00253</w:t>
            </w:r>
          </w:p>
        </w:tc>
        <w:tc>
          <w:tcPr>
            <w:tcW w:w="1260" w:type="dxa"/>
            <w:tcBorders>
              <w:top w:val="nil"/>
              <w:left w:val="nil"/>
              <w:bottom w:val="nil"/>
              <w:right w:val="nil"/>
            </w:tcBorders>
            <w:shd w:val="clear" w:color="auto" w:fill="auto"/>
            <w:noWrap/>
            <w:vAlign w:val="bottom"/>
          </w:tcPr>
          <w:p w14:paraId="6949674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-.00196</w:t>
            </w:r>
          </w:p>
        </w:tc>
        <w:tc>
          <w:tcPr>
            <w:tcW w:w="1260" w:type="dxa"/>
            <w:tcBorders>
              <w:top w:val="nil"/>
              <w:left w:val="nil"/>
              <w:bottom w:val="nil"/>
              <w:right w:val="nil"/>
            </w:tcBorders>
            <w:shd w:val="clear" w:color="auto" w:fill="auto"/>
            <w:noWrap/>
            <w:vAlign w:val="bottom"/>
          </w:tcPr>
          <w:p w14:paraId="400C8E1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-.00313</w:t>
            </w:r>
          </w:p>
        </w:tc>
        <w:tc>
          <w:tcPr>
            <w:tcW w:w="1260" w:type="dxa"/>
            <w:tcBorders>
              <w:top w:val="nil"/>
              <w:left w:val="nil"/>
              <w:bottom w:val="nil"/>
              <w:right w:val="nil"/>
            </w:tcBorders>
            <w:shd w:val="clear" w:color="auto" w:fill="auto"/>
            <w:noWrap/>
            <w:vAlign w:val="bottom"/>
          </w:tcPr>
          <w:p w14:paraId="3CB342F9"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-.00306</w:t>
            </w:r>
          </w:p>
        </w:tc>
        <w:tc>
          <w:tcPr>
            <w:tcW w:w="1260" w:type="dxa"/>
            <w:gridSpan w:val="2"/>
            <w:tcBorders>
              <w:top w:val="nil"/>
              <w:left w:val="nil"/>
              <w:bottom w:val="nil"/>
              <w:right w:val="nil"/>
            </w:tcBorders>
            <w:shd w:val="clear" w:color="auto" w:fill="auto"/>
            <w:noWrap/>
            <w:vAlign w:val="bottom"/>
          </w:tcPr>
          <w:p w14:paraId="441D1CA7"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w:t>
            </w:r>
            <w:r w:rsidR="005F3401">
              <w:rPr>
                <w:rFonts w:ascii="Calibri" w:hAnsi="Calibri" w:cs="Calibri"/>
                <w:sz w:val="20"/>
                <w:szCs w:val="20"/>
              </w:rPr>
              <w:t>0</w:t>
            </w:r>
          </w:p>
        </w:tc>
      </w:tr>
      <w:tr w:rsidR="00DA64BC" w:rsidRPr="006E6122" w14:paraId="05ABB775"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7527F7B2"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1280" w:type="dxa"/>
            <w:tcBorders>
              <w:top w:val="nil"/>
              <w:left w:val="nil"/>
              <w:bottom w:val="nil"/>
              <w:right w:val="nil"/>
            </w:tcBorders>
            <w:shd w:val="clear" w:color="auto" w:fill="auto"/>
            <w:noWrap/>
            <w:vAlign w:val="bottom"/>
          </w:tcPr>
          <w:p w14:paraId="19565C68"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(.00193)</w:t>
            </w:r>
          </w:p>
        </w:tc>
        <w:tc>
          <w:tcPr>
            <w:tcW w:w="1260" w:type="dxa"/>
            <w:tcBorders>
              <w:top w:val="nil"/>
              <w:left w:val="nil"/>
              <w:bottom w:val="nil"/>
              <w:right w:val="nil"/>
            </w:tcBorders>
            <w:shd w:val="clear" w:color="auto" w:fill="auto"/>
            <w:noWrap/>
            <w:vAlign w:val="bottom"/>
          </w:tcPr>
          <w:p w14:paraId="2123B54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(.00201)</w:t>
            </w:r>
          </w:p>
        </w:tc>
        <w:tc>
          <w:tcPr>
            <w:tcW w:w="1260" w:type="dxa"/>
            <w:tcBorders>
              <w:top w:val="nil"/>
              <w:left w:val="nil"/>
              <w:bottom w:val="nil"/>
              <w:right w:val="nil"/>
            </w:tcBorders>
            <w:shd w:val="clear" w:color="auto" w:fill="auto"/>
            <w:noWrap/>
            <w:vAlign w:val="bottom"/>
          </w:tcPr>
          <w:p w14:paraId="71ED76A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(.00215)</w:t>
            </w:r>
          </w:p>
        </w:tc>
        <w:tc>
          <w:tcPr>
            <w:tcW w:w="1260" w:type="dxa"/>
            <w:tcBorders>
              <w:top w:val="nil"/>
              <w:left w:val="nil"/>
              <w:bottom w:val="nil"/>
              <w:right w:val="nil"/>
            </w:tcBorders>
            <w:shd w:val="clear" w:color="auto" w:fill="auto"/>
            <w:noWrap/>
            <w:vAlign w:val="bottom"/>
          </w:tcPr>
          <w:p w14:paraId="3DED97B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(.00218)</w:t>
            </w:r>
          </w:p>
        </w:tc>
        <w:tc>
          <w:tcPr>
            <w:tcW w:w="1260" w:type="dxa"/>
            <w:gridSpan w:val="2"/>
            <w:tcBorders>
              <w:top w:val="nil"/>
              <w:left w:val="nil"/>
              <w:bottom w:val="nil"/>
              <w:right w:val="nil"/>
            </w:tcBorders>
            <w:shd w:val="clear" w:color="auto" w:fill="auto"/>
            <w:noWrap/>
            <w:vAlign w:val="bottom"/>
          </w:tcPr>
          <w:p w14:paraId="5EE155F6"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(.0022</w:t>
            </w:r>
            <w:r w:rsidR="005F3401">
              <w:rPr>
                <w:rFonts w:ascii="Calibri" w:hAnsi="Calibri" w:cs="Calibri"/>
                <w:sz w:val="20"/>
                <w:szCs w:val="20"/>
              </w:rPr>
              <w:t>0</w:t>
            </w:r>
            <w:r>
              <w:rPr>
                <w:rFonts w:ascii="Calibri" w:hAnsi="Calibri" w:cs="Calibri"/>
                <w:sz w:val="20"/>
                <w:szCs w:val="20"/>
              </w:rPr>
              <w:t>)</w:t>
            </w:r>
          </w:p>
        </w:tc>
      </w:tr>
      <w:tr w:rsidR="00DA64BC" w:rsidRPr="006E6122" w14:paraId="2104B1D7"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27A9A500"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1280" w:type="dxa"/>
            <w:tcBorders>
              <w:top w:val="nil"/>
              <w:left w:val="nil"/>
              <w:bottom w:val="nil"/>
              <w:right w:val="nil"/>
            </w:tcBorders>
            <w:shd w:val="clear" w:color="auto" w:fill="auto"/>
            <w:noWrap/>
            <w:vAlign w:val="bottom"/>
          </w:tcPr>
          <w:p w14:paraId="322BABE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-.0579</w:t>
            </w:r>
          </w:p>
        </w:tc>
        <w:tc>
          <w:tcPr>
            <w:tcW w:w="1260" w:type="dxa"/>
            <w:tcBorders>
              <w:top w:val="nil"/>
              <w:left w:val="nil"/>
              <w:bottom w:val="nil"/>
              <w:right w:val="nil"/>
            </w:tcBorders>
            <w:shd w:val="clear" w:color="auto" w:fill="auto"/>
            <w:noWrap/>
            <w:vAlign w:val="bottom"/>
          </w:tcPr>
          <w:p w14:paraId="506E4130"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-.0663</w:t>
            </w:r>
          </w:p>
        </w:tc>
        <w:tc>
          <w:tcPr>
            <w:tcW w:w="1260" w:type="dxa"/>
            <w:tcBorders>
              <w:top w:val="nil"/>
              <w:left w:val="nil"/>
              <w:bottom w:val="nil"/>
              <w:right w:val="nil"/>
            </w:tcBorders>
            <w:shd w:val="clear" w:color="auto" w:fill="auto"/>
            <w:noWrap/>
            <w:vAlign w:val="bottom"/>
          </w:tcPr>
          <w:p w14:paraId="30C7B5D7"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-.0521</w:t>
            </w:r>
          </w:p>
        </w:tc>
        <w:tc>
          <w:tcPr>
            <w:tcW w:w="1260" w:type="dxa"/>
            <w:tcBorders>
              <w:top w:val="nil"/>
              <w:left w:val="nil"/>
              <w:bottom w:val="nil"/>
              <w:right w:val="nil"/>
            </w:tcBorders>
            <w:shd w:val="clear" w:color="auto" w:fill="auto"/>
            <w:noWrap/>
            <w:vAlign w:val="bottom"/>
          </w:tcPr>
          <w:p w14:paraId="7897C60E"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-.0439</w:t>
            </w:r>
          </w:p>
        </w:tc>
        <w:tc>
          <w:tcPr>
            <w:tcW w:w="1260" w:type="dxa"/>
            <w:gridSpan w:val="2"/>
            <w:tcBorders>
              <w:top w:val="nil"/>
              <w:left w:val="nil"/>
              <w:bottom w:val="nil"/>
              <w:right w:val="nil"/>
            </w:tcBorders>
            <w:shd w:val="clear" w:color="auto" w:fill="auto"/>
            <w:noWrap/>
            <w:vAlign w:val="bottom"/>
          </w:tcPr>
          <w:p w14:paraId="7195F5D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w:t>
            </w:r>
            <w:r w:rsidR="005F3401">
              <w:rPr>
                <w:rFonts w:ascii="Calibri" w:hAnsi="Calibri" w:cs="Calibri"/>
                <w:sz w:val="20"/>
                <w:szCs w:val="20"/>
              </w:rPr>
              <w:t>0</w:t>
            </w:r>
          </w:p>
        </w:tc>
      </w:tr>
      <w:tr w:rsidR="00DA64BC" w:rsidRPr="006E6122" w14:paraId="56ECBD38"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4C274744" w14:textId="77777777" w:rsidR="00DA64BC" w:rsidRPr="006E6122" w:rsidRDefault="00DA64BC" w:rsidP="00DA64BC">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19E5E475"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(.0492)</w:t>
            </w:r>
          </w:p>
        </w:tc>
        <w:tc>
          <w:tcPr>
            <w:tcW w:w="1260" w:type="dxa"/>
            <w:tcBorders>
              <w:top w:val="nil"/>
              <w:left w:val="nil"/>
              <w:bottom w:val="nil"/>
              <w:right w:val="nil"/>
            </w:tcBorders>
            <w:shd w:val="clear" w:color="auto" w:fill="auto"/>
            <w:noWrap/>
            <w:vAlign w:val="bottom"/>
          </w:tcPr>
          <w:p w14:paraId="237A0D6F"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(.0512)</w:t>
            </w:r>
          </w:p>
        </w:tc>
        <w:tc>
          <w:tcPr>
            <w:tcW w:w="1260" w:type="dxa"/>
            <w:tcBorders>
              <w:top w:val="nil"/>
              <w:left w:val="nil"/>
              <w:bottom w:val="nil"/>
              <w:right w:val="nil"/>
            </w:tcBorders>
            <w:shd w:val="clear" w:color="auto" w:fill="auto"/>
            <w:noWrap/>
            <w:vAlign w:val="bottom"/>
          </w:tcPr>
          <w:p w14:paraId="1C622641"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(.0561)</w:t>
            </w:r>
          </w:p>
        </w:tc>
        <w:tc>
          <w:tcPr>
            <w:tcW w:w="1260" w:type="dxa"/>
            <w:tcBorders>
              <w:top w:val="nil"/>
              <w:left w:val="nil"/>
              <w:bottom w:val="nil"/>
              <w:right w:val="nil"/>
            </w:tcBorders>
            <w:shd w:val="clear" w:color="auto" w:fill="auto"/>
            <w:noWrap/>
            <w:vAlign w:val="bottom"/>
          </w:tcPr>
          <w:p w14:paraId="7C6257A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(.0574)</w:t>
            </w:r>
          </w:p>
        </w:tc>
        <w:tc>
          <w:tcPr>
            <w:tcW w:w="1260" w:type="dxa"/>
            <w:gridSpan w:val="2"/>
            <w:tcBorders>
              <w:top w:val="nil"/>
              <w:left w:val="nil"/>
              <w:bottom w:val="nil"/>
              <w:right w:val="nil"/>
            </w:tcBorders>
            <w:shd w:val="clear" w:color="auto" w:fill="auto"/>
            <w:noWrap/>
            <w:vAlign w:val="bottom"/>
          </w:tcPr>
          <w:p w14:paraId="63C9FC9B" w14:textId="77777777" w:rsidR="00DA64BC" w:rsidRPr="00533AA5"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(.0586)</w:t>
            </w:r>
          </w:p>
        </w:tc>
      </w:tr>
      <w:tr w:rsidR="00DA64BC" w:rsidRPr="006E6122" w14:paraId="6D8CE06D"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323F14C" w14:textId="77777777" w:rsidR="00DA64BC" w:rsidRPr="006E6122" w:rsidRDefault="00DA64BC" w:rsidP="00DA64BC">
            <w:pPr>
              <w:spacing w:after="0" w:line="240" w:lineRule="auto"/>
              <w:contextualSpacing/>
              <w:jc w:val="center"/>
              <w:rPr>
                <w:rFonts w:ascii="Calibri" w:eastAsia="Times New Roman" w:hAnsi="Calibri" w:cs="Calibri"/>
                <w:sz w:val="20"/>
                <w:szCs w:val="20"/>
              </w:rPr>
            </w:pPr>
            <w:r w:rsidRPr="006E6122">
              <w:rPr>
                <w:rFonts w:ascii="Calibri" w:eastAsia="Times New Roman" w:hAnsi="Calibri" w:cs="Calibri"/>
                <w:sz w:val="20"/>
                <w:szCs w:val="20"/>
              </w:rPr>
              <w:t> </w:t>
            </w:r>
          </w:p>
        </w:tc>
        <w:tc>
          <w:tcPr>
            <w:tcW w:w="1280" w:type="dxa"/>
            <w:tcBorders>
              <w:top w:val="nil"/>
              <w:left w:val="nil"/>
              <w:bottom w:val="nil"/>
              <w:right w:val="nil"/>
            </w:tcBorders>
            <w:shd w:val="clear" w:color="auto" w:fill="auto"/>
            <w:noWrap/>
            <w:vAlign w:val="bottom"/>
          </w:tcPr>
          <w:p w14:paraId="24ECD64A" w14:textId="77777777" w:rsidR="00DA64BC" w:rsidRPr="00533AA5" w:rsidRDefault="00DA64BC" w:rsidP="00DA64BC">
            <w:pPr>
              <w:spacing w:after="0" w:line="240" w:lineRule="auto"/>
              <w:contextualSpacing/>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2CE59B04" w14:textId="77777777" w:rsidR="00DA64BC" w:rsidRPr="00533AA5" w:rsidRDefault="00DA64BC" w:rsidP="00DA64BC">
            <w:pPr>
              <w:spacing w:after="0" w:line="240" w:lineRule="auto"/>
              <w:contextualSpacing/>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7F78C2E3" w14:textId="77777777" w:rsidR="00DA64BC" w:rsidRPr="00533AA5" w:rsidRDefault="00DA64BC" w:rsidP="00DA64BC">
            <w:pPr>
              <w:spacing w:after="0" w:line="240" w:lineRule="auto"/>
              <w:contextualSpacing/>
              <w:jc w:val="center"/>
              <w:rPr>
                <w:rFonts w:ascii="Calibri" w:eastAsia="Times New Roman" w:hAnsi="Calibri" w:cs="Calibri"/>
                <w:sz w:val="20"/>
                <w:szCs w:val="20"/>
              </w:rPr>
            </w:pPr>
          </w:p>
        </w:tc>
        <w:tc>
          <w:tcPr>
            <w:tcW w:w="1260" w:type="dxa"/>
            <w:tcBorders>
              <w:top w:val="nil"/>
              <w:left w:val="nil"/>
              <w:bottom w:val="nil"/>
              <w:right w:val="nil"/>
            </w:tcBorders>
            <w:shd w:val="clear" w:color="auto" w:fill="auto"/>
            <w:noWrap/>
            <w:vAlign w:val="bottom"/>
          </w:tcPr>
          <w:p w14:paraId="56D987E2" w14:textId="77777777" w:rsidR="00DA64BC" w:rsidRPr="00533AA5" w:rsidRDefault="00DA64BC" w:rsidP="00DA64BC">
            <w:pPr>
              <w:spacing w:after="0" w:line="240" w:lineRule="auto"/>
              <w:contextualSpacing/>
              <w:jc w:val="center"/>
              <w:rPr>
                <w:rFonts w:ascii="Calibri" w:eastAsia="Times New Roman" w:hAnsi="Calibri" w:cs="Calibri"/>
                <w:sz w:val="20"/>
                <w:szCs w:val="20"/>
              </w:rPr>
            </w:pPr>
          </w:p>
        </w:tc>
        <w:tc>
          <w:tcPr>
            <w:tcW w:w="1260" w:type="dxa"/>
            <w:gridSpan w:val="2"/>
            <w:tcBorders>
              <w:top w:val="nil"/>
              <w:left w:val="nil"/>
              <w:bottom w:val="nil"/>
              <w:right w:val="nil"/>
            </w:tcBorders>
            <w:shd w:val="clear" w:color="auto" w:fill="auto"/>
            <w:noWrap/>
            <w:vAlign w:val="bottom"/>
          </w:tcPr>
          <w:p w14:paraId="723EC808" w14:textId="77777777" w:rsidR="00DA64BC" w:rsidRPr="00533AA5" w:rsidRDefault="00DA64BC" w:rsidP="00DA64BC">
            <w:pPr>
              <w:spacing w:after="0" w:line="240" w:lineRule="auto"/>
              <w:contextualSpacing/>
              <w:jc w:val="center"/>
              <w:rPr>
                <w:rFonts w:ascii="Calibri" w:eastAsia="Times New Roman" w:hAnsi="Calibri" w:cs="Calibri"/>
                <w:sz w:val="20"/>
                <w:szCs w:val="20"/>
              </w:rPr>
            </w:pPr>
          </w:p>
        </w:tc>
      </w:tr>
      <w:tr w:rsidR="00DA64BC" w:rsidRPr="006E6122" w14:paraId="6E9D23DD"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508AA9D0" w14:textId="77777777" w:rsidR="00DA64BC" w:rsidRPr="006E6122" w:rsidRDefault="00DA64BC" w:rsidP="00DA64BC">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Observations</w:t>
            </w:r>
          </w:p>
        </w:tc>
        <w:tc>
          <w:tcPr>
            <w:tcW w:w="1280" w:type="dxa"/>
            <w:tcBorders>
              <w:top w:val="nil"/>
              <w:left w:val="nil"/>
              <w:bottom w:val="nil"/>
              <w:right w:val="nil"/>
            </w:tcBorders>
            <w:shd w:val="clear" w:color="auto" w:fill="auto"/>
            <w:noWrap/>
            <w:vAlign w:val="bottom"/>
          </w:tcPr>
          <w:p w14:paraId="72A15FE9"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175,491</w:t>
            </w:r>
          </w:p>
        </w:tc>
        <w:tc>
          <w:tcPr>
            <w:tcW w:w="1260" w:type="dxa"/>
            <w:tcBorders>
              <w:top w:val="nil"/>
              <w:left w:val="nil"/>
              <w:bottom w:val="nil"/>
              <w:right w:val="nil"/>
            </w:tcBorders>
            <w:shd w:val="clear" w:color="auto" w:fill="auto"/>
            <w:noWrap/>
            <w:vAlign w:val="bottom"/>
          </w:tcPr>
          <w:p w14:paraId="33E95532"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161,475</w:t>
            </w:r>
          </w:p>
        </w:tc>
        <w:tc>
          <w:tcPr>
            <w:tcW w:w="1260" w:type="dxa"/>
            <w:tcBorders>
              <w:top w:val="nil"/>
              <w:left w:val="nil"/>
              <w:bottom w:val="nil"/>
              <w:right w:val="nil"/>
            </w:tcBorders>
            <w:shd w:val="clear" w:color="auto" w:fill="auto"/>
            <w:noWrap/>
            <w:vAlign w:val="bottom"/>
          </w:tcPr>
          <w:p w14:paraId="19763A34"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133,019</w:t>
            </w:r>
          </w:p>
        </w:tc>
        <w:tc>
          <w:tcPr>
            <w:tcW w:w="1260" w:type="dxa"/>
            <w:tcBorders>
              <w:top w:val="nil"/>
              <w:left w:val="nil"/>
              <w:bottom w:val="nil"/>
              <w:right w:val="nil"/>
            </w:tcBorders>
            <w:shd w:val="clear" w:color="auto" w:fill="auto"/>
            <w:noWrap/>
            <w:vAlign w:val="bottom"/>
          </w:tcPr>
          <w:p w14:paraId="67A3AAF7"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125,241</w:t>
            </w:r>
          </w:p>
        </w:tc>
        <w:tc>
          <w:tcPr>
            <w:tcW w:w="1260" w:type="dxa"/>
            <w:gridSpan w:val="2"/>
            <w:tcBorders>
              <w:top w:val="nil"/>
              <w:left w:val="nil"/>
              <w:bottom w:val="nil"/>
              <w:right w:val="nil"/>
            </w:tcBorders>
            <w:shd w:val="clear" w:color="auto" w:fill="auto"/>
            <w:noWrap/>
            <w:vAlign w:val="bottom"/>
          </w:tcPr>
          <w:p w14:paraId="0CE2A9EA"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121,081</w:t>
            </w:r>
          </w:p>
        </w:tc>
      </w:tr>
      <w:tr w:rsidR="00DA64BC" w:rsidRPr="006E6122" w14:paraId="51707240" w14:textId="77777777" w:rsidTr="006751BB">
        <w:tblPrEx>
          <w:jc w:val="left"/>
        </w:tblPrEx>
        <w:trPr>
          <w:trHeight w:val="255"/>
        </w:trPr>
        <w:tc>
          <w:tcPr>
            <w:tcW w:w="1639" w:type="dxa"/>
            <w:tcBorders>
              <w:top w:val="nil"/>
              <w:left w:val="nil"/>
              <w:bottom w:val="nil"/>
              <w:right w:val="nil"/>
            </w:tcBorders>
            <w:shd w:val="clear" w:color="auto" w:fill="auto"/>
            <w:noWrap/>
            <w:vAlign w:val="bottom"/>
            <w:hideMark/>
          </w:tcPr>
          <w:p w14:paraId="1D75B56C" w14:textId="77777777" w:rsidR="00DA64BC" w:rsidRPr="006E6122" w:rsidRDefault="00DA64BC" w:rsidP="00DA64BC">
            <w:pPr>
              <w:spacing w:after="0" w:line="240" w:lineRule="auto"/>
              <w:contextualSpacing/>
              <w:rPr>
                <w:rFonts w:ascii="Calibri" w:eastAsia="Times New Roman" w:hAnsi="Calibri" w:cs="Calibri"/>
                <w:sz w:val="20"/>
                <w:szCs w:val="20"/>
              </w:rPr>
            </w:pPr>
            <w:r w:rsidRPr="006E6122">
              <w:rPr>
                <w:rFonts w:ascii="Calibri" w:eastAsia="Times New Roman" w:hAnsi="Calibri" w:cs="Calibri"/>
                <w:sz w:val="20"/>
                <w:szCs w:val="20"/>
              </w:rPr>
              <w:t>Clusters</w:t>
            </w:r>
          </w:p>
        </w:tc>
        <w:tc>
          <w:tcPr>
            <w:tcW w:w="1280" w:type="dxa"/>
            <w:tcBorders>
              <w:top w:val="nil"/>
              <w:left w:val="nil"/>
              <w:bottom w:val="nil"/>
              <w:right w:val="nil"/>
            </w:tcBorders>
            <w:shd w:val="clear" w:color="auto" w:fill="auto"/>
            <w:noWrap/>
            <w:vAlign w:val="bottom"/>
          </w:tcPr>
          <w:p w14:paraId="47BDA582"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4,818</w:t>
            </w:r>
          </w:p>
        </w:tc>
        <w:tc>
          <w:tcPr>
            <w:tcW w:w="1260" w:type="dxa"/>
            <w:tcBorders>
              <w:top w:val="nil"/>
              <w:left w:val="nil"/>
              <w:bottom w:val="nil"/>
              <w:right w:val="nil"/>
            </w:tcBorders>
            <w:shd w:val="clear" w:color="auto" w:fill="auto"/>
            <w:noWrap/>
            <w:vAlign w:val="bottom"/>
          </w:tcPr>
          <w:p w14:paraId="51834BAF"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4,424</w:t>
            </w:r>
          </w:p>
        </w:tc>
        <w:tc>
          <w:tcPr>
            <w:tcW w:w="1260" w:type="dxa"/>
            <w:tcBorders>
              <w:top w:val="nil"/>
              <w:left w:val="nil"/>
              <w:bottom w:val="nil"/>
              <w:right w:val="nil"/>
            </w:tcBorders>
            <w:shd w:val="clear" w:color="auto" w:fill="auto"/>
            <w:noWrap/>
            <w:vAlign w:val="bottom"/>
          </w:tcPr>
          <w:p w14:paraId="34FB6226"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3,601</w:t>
            </w:r>
          </w:p>
        </w:tc>
        <w:tc>
          <w:tcPr>
            <w:tcW w:w="1260" w:type="dxa"/>
            <w:tcBorders>
              <w:top w:val="nil"/>
              <w:left w:val="nil"/>
              <w:bottom w:val="nil"/>
              <w:right w:val="nil"/>
            </w:tcBorders>
            <w:shd w:val="clear" w:color="auto" w:fill="auto"/>
            <w:noWrap/>
            <w:vAlign w:val="bottom"/>
          </w:tcPr>
          <w:p w14:paraId="2AF12306"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3,400</w:t>
            </w:r>
          </w:p>
        </w:tc>
        <w:tc>
          <w:tcPr>
            <w:tcW w:w="1260" w:type="dxa"/>
            <w:gridSpan w:val="2"/>
            <w:tcBorders>
              <w:top w:val="nil"/>
              <w:left w:val="nil"/>
              <w:bottom w:val="nil"/>
              <w:right w:val="nil"/>
            </w:tcBorders>
            <w:shd w:val="clear" w:color="auto" w:fill="auto"/>
            <w:noWrap/>
            <w:vAlign w:val="bottom"/>
          </w:tcPr>
          <w:p w14:paraId="7FD96123"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3,300</w:t>
            </w:r>
          </w:p>
        </w:tc>
      </w:tr>
      <w:tr w:rsidR="00DA64BC" w:rsidRPr="006E6122" w14:paraId="7A2B39E9" w14:textId="77777777" w:rsidTr="006751BB">
        <w:tblPrEx>
          <w:jc w:val="left"/>
        </w:tblPrEx>
        <w:trPr>
          <w:trHeight w:val="255"/>
        </w:trPr>
        <w:tc>
          <w:tcPr>
            <w:tcW w:w="1639" w:type="dxa"/>
            <w:tcBorders>
              <w:top w:val="nil"/>
              <w:left w:val="nil"/>
              <w:bottom w:val="single" w:sz="4" w:space="0" w:color="auto"/>
              <w:right w:val="nil"/>
            </w:tcBorders>
            <w:shd w:val="clear" w:color="auto" w:fill="auto"/>
            <w:noWrap/>
            <w:vAlign w:val="bottom"/>
            <w:hideMark/>
          </w:tcPr>
          <w:p w14:paraId="61DBE8E0" w14:textId="77777777" w:rsidR="00DA64BC" w:rsidRPr="006E6122" w:rsidRDefault="00DA64BC" w:rsidP="00DA64BC">
            <w:pPr>
              <w:spacing w:after="0" w:line="240" w:lineRule="auto"/>
              <w:contextualSpacing/>
              <w:rPr>
                <w:rFonts w:ascii="Calibri" w:eastAsia="Times New Roman" w:hAnsi="Calibri" w:cs="Calibri"/>
                <w:sz w:val="20"/>
                <w:szCs w:val="20"/>
                <w:vertAlign w:val="superscript"/>
              </w:rPr>
            </w:pPr>
            <w:r w:rsidRPr="006E6122">
              <w:rPr>
                <w:rFonts w:ascii="Calibri" w:eastAsia="Times New Roman" w:hAnsi="Calibri" w:cs="Calibri"/>
                <w:sz w:val="20"/>
                <w:szCs w:val="20"/>
              </w:rPr>
              <w:t>Pseudo R</w:t>
            </w:r>
            <w:r>
              <w:rPr>
                <w:rFonts w:ascii="Calibri" w:eastAsia="Times New Roman" w:hAnsi="Calibri" w:cs="Calibri"/>
                <w:sz w:val="20"/>
                <w:szCs w:val="20"/>
                <w:vertAlign w:val="superscript"/>
              </w:rPr>
              <w:t>2</w:t>
            </w:r>
          </w:p>
        </w:tc>
        <w:tc>
          <w:tcPr>
            <w:tcW w:w="1280" w:type="dxa"/>
            <w:tcBorders>
              <w:top w:val="nil"/>
              <w:left w:val="nil"/>
              <w:bottom w:val="single" w:sz="4" w:space="0" w:color="auto"/>
              <w:right w:val="nil"/>
            </w:tcBorders>
            <w:shd w:val="clear" w:color="auto" w:fill="auto"/>
            <w:noWrap/>
            <w:vAlign w:val="bottom"/>
          </w:tcPr>
          <w:p w14:paraId="4C81BB3B"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0.048</w:t>
            </w:r>
          </w:p>
        </w:tc>
        <w:tc>
          <w:tcPr>
            <w:tcW w:w="1260" w:type="dxa"/>
            <w:tcBorders>
              <w:top w:val="nil"/>
              <w:left w:val="nil"/>
              <w:bottom w:val="single" w:sz="4" w:space="0" w:color="auto"/>
              <w:right w:val="nil"/>
            </w:tcBorders>
            <w:shd w:val="clear" w:color="auto" w:fill="auto"/>
            <w:noWrap/>
            <w:vAlign w:val="bottom"/>
          </w:tcPr>
          <w:p w14:paraId="27F8A8D1"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0.047</w:t>
            </w:r>
          </w:p>
        </w:tc>
        <w:tc>
          <w:tcPr>
            <w:tcW w:w="1260" w:type="dxa"/>
            <w:tcBorders>
              <w:top w:val="nil"/>
              <w:left w:val="nil"/>
              <w:bottom w:val="single" w:sz="4" w:space="0" w:color="auto"/>
              <w:right w:val="nil"/>
            </w:tcBorders>
            <w:shd w:val="clear" w:color="auto" w:fill="auto"/>
            <w:noWrap/>
            <w:vAlign w:val="bottom"/>
          </w:tcPr>
          <w:p w14:paraId="0971205D"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0.048</w:t>
            </w:r>
          </w:p>
        </w:tc>
        <w:tc>
          <w:tcPr>
            <w:tcW w:w="1260" w:type="dxa"/>
            <w:tcBorders>
              <w:top w:val="nil"/>
              <w:left w:val="nil"/>
              <w:bottom w:val="single" w:sz="4" w:space="0" w:color="auto"/>
              <w:right w:val="nil"/>
            </w:tcBorders>
            <w:shd w:val="clear" w:color="auto" w:fill="auto"/>
            <w:noWrap/>
            <w:vAlign w:val="bottom"/>
          </w:tcPr>
          <w:p w14:paraId="53F3395F"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0.047</w:t>
            </w:r>
          </w:p>
        </w:tc>
        <w:tc>
          <w:tcPr>
            <w:tcW w:w="1260" w:type="dxa"/>
            <w:gridSpan w:val="2"/>
            <w:tcBorders>
              <w:top w:val="nil"/>
              <w:left w:val="nil"/>
              <w:bottom w:val="single" w:sz="4" w:space="0" w:color="auto"/>
              <w:right w:val="nil"/>
            </w:tcBorders>
            <w:shd w:val="clear" w:color="auto" w:fill="auto"/>
            <w:noWrap/>
            <w:vAlign w:val="bottom"/>
          </w:tcPr>
          <w:p w14:paraId="34ECC415" w14:textId="77777777" w:rsidR="00DA64BC" w:rsidRPr="00533AA5"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0.047</w:t>
            </w:r>
          </w:p>
        </w:tc>
      </w:tr>
    </w:tbl>
    <w:p w14:paraId="67598924" w14:textId="77777777" w:rsidR="00DA64BC" w:rsidRDefault="00DA64BC" w:rsidP="00847A0D">
      <w:pPr>
        <w:spacing w:after="0"/>
        <w:contextualSpacing/>
      </w:pPr>
    </w:p>
    <w:p w14:paraId="70EF20B0" w14:textId="77777777" w:rsidR="00C956E3" w:rsidRDefault="00C956E3" w:rsidP="00847A0D">
      <w:pPr>
        <w:spacing w:after="0"/>
        <w:contextualSpacing/>
      </w:pPr>
    </w:p>
    <w:p w14:paraId="20C5EE62" w14:textId="77777777" w:rsidR="00626866" w:rsidRDefault="00626866" w:rsidP="00847A0D">
      <w:pPr>
        <w:spacing w:after="0"/>
        <w:contextualSpacing/>
      </w:pPr>
    </w:p>
    <w:p w14:paraId="6456F58C" w14:textId="77777777" w:rsidR="00DF2657" w:rsidRDefault="00DF2657" w:rsidP="00847A0D">
      <w:pPr>
        <w:spacing w:after="0"/>
        <w:contextualSpacing/>
      </w:pPr>
    </w:p>
    <w:p w14:paraId="7716F4CA" w14:textId="77777777" w:rsidR="00847A0D" w:rsidRDefault="00847A0D" w:rsidP="00847A0D">
      <w:pPr>
        <w:spacing w:after="0"/>
        <w:contextualSpacing/>
      </w:pPr>
      <w:r>
        <w:br w:type="page"/>
      </w:r>
    </w:p>
    <w:p w14:paraId="46B9F007" w14:textId="0B1CB978" w:rsidR="00FD4CDF" w:rsidRDefault="00B43B68" w:rsidP="004C757C">
      <w:pPr>
        <w:spacing w:after="0"/>
        <w:contextualSpacing/>
      </w:pPr>
      <w:r>
        <w:rPr>
          <w:b/>
        </w:rPr>
        <w:lastRenderedPageBreak/>
        <w:t>Table A</w:t>
      </w:r>
      <w:r w:rsidR="00DC4756">
        <w:rPr>
          <w:b/>
        </w:rPr>
        <w:t>10</w:t>
      </w:r>
    </w:p>
    <w:p w14:paraId="663A261D" w14:textId="47BB2FF0" w:rsidR="003520CC" w:rsidRDefault="00FD4CDF" w:rsidP="003520CC">
      <w:pPr>
        <w:spacing w:after="0"/>
        <w:contextualSpacing/>
      </w:pPr>
      <w:r>
        <w:t xml:space="preserve">Multinomial logit regressions based on monthly observations of first-lien, conventional, amortizing (non-balloon, non-interest only), fixed-rate mortgages for purchases of single-family residences or condominiums in Maryland and Virginia originated by nonbank originators between 2000 and 2015.  The sample is restricted to only subprime mortgages (defined as those originated to borrowers with a FICO score of 660 or less).  The sample is restricted to only the first one, two, three, or four years of each mortgage’s performance (as in Table </w:t>
      </w:r>
      <w:r w:rsidR="005C7B9C">
        <w:t>A2</w:t>
      </w:r>
      <w:r>
        <w:t xml:space="preserve">).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003520CC" w:rsidRPr="00EB01F8">
        <w:rPr>
          <w:i/>
        </w:rPr>
        <w:t>FICO</w:t>
      </w:r>
      <w:r w:rsidR="003520CC">
        <w:t xml:space="preserve"> is the borrower’s FICO score at origination.  </w:t>
      </w:r>
      <w:r w:rsidR="003520CC" w:rsidRPr="00EB01F8">
        <w:rPr>
          <w:i/>
        </w:rPr>
        <w:t>CLTV</w:t>
      </w:r>
      <w:r w:rsidR="003520CC">
        <w:t xml:space="preserve"> is the current loan balance divided by the current home value, where current home value is estimated as (1 + house price appreciation since origination) multiplied by the loan amount at origination divided by LTV at origination.  House price appreciation for </w:t>
      </w:r>
      <w:r w:rsidR="003520CC">
        <w:rPr>
          <w:i/>
        </w:rPr>
        <w:t>CLTV</w:t>
      </w:r>
      <w:r w:rsidR="003520CC">
        <w:t xml:space="preserve"> is measured by the CoreLogic Solutions county-level monthly house price index.  </w:t>
      </w:r>
      <w:r w:rsidR="003520CC" w:rsidRPr="000E12EE">
        <w:rPr>
          <w:i/>
        </w:rPr>
        <w:t>LoanAge</w:t>
      </w:r>
      <w:r w:rsidR="003520CC">
        <w:t xml:space="preserve"> is the number of months since origination.  </w:t>
      </w:r>
      <w:r w:rsidR="003520CC" w:rsidRPr="005B6422">
        <w:rPr>
          <w:i/>
        </w:rPr>
        <w:t>RefiPenalty</w:t>
      </w:r>
      <w:r w:rsidR="003520CC">
        <w:t xml:space="preserve"> is the change in the PMMS rate since origination.  </w:t>
      </w:r>
      <w:r w:rsidR="003520CC" w:rsidRPr="006879D3">
        <w:rPr>
          <w:i/>
        </w:rPr>
        <w:t>InterestGap</w:t>
      </w:r>
      <w:r w:rsidR="003520CC">
        <w:t xml:space="preserve"> is the difference between the mortgage interest rate at origination and the PMMS rate for the origination month.  </w:t>
      </w:r>
      <w:r w:rsidR="003520CC" w:rsidRPr="006879D3">
        <w:rPr>
          <w:i/>
        </w:rPr>
        <w:t>RelLoanSize</w:t>
      </w:r>
      <w:r w:rsidR="003520CC">
        <w:t xml:space="preserve"> is the loan amount at origination divided by the average loan amount for originations in the same vintage year and county.  </w:t>
      </w:r>
      <w:r w:rsidR="003520CC" w:rsidRPr="00EB01F8">
        <w:rPr>
          <w:i/>
        </w:rPr>
        <w:t>Unemployment</w:t>
      </w:r>
      <w:r w:rsidR="003520CC">
        <w:t xml:space="preserve"> is the monthly percentage change in the state-level unemployment rate.  </w:t>
      </w:r>
      <w:r w:rsidR="003520CC" w:rsidRPr="00EB01F8">
        <w:rPr>
          <w:i/>
        </w:rPr>
        <w:t>HPI</w:t>
      </w:r>
      <w:r w:rsidR="003520CC">
        <w:t xml:space="preserve"> is the percent change in quarterly FHFA state-level house price index since origination.  </w:t>
      </w:r>
      <w:r w:rsidR="003520CC" w:rsidRPr="001A09E2">
        <w:rPr>
          <w:i/>
        </w:rPr>
        <w:t>Condo</w:t>
      </w:r>
      <w:r w:rsidR="003520CC">
        <w:t xml:space="preserve"> is an indicator variable equaling one if the property is a condominium or townhouse and equaling zero if the property is a single family residence.  Each coefficient estimate represents the effect on the probability of default or prepayment, relative to the probability of the mortgage remaining current, of a one-unit change in the corresponding variable.  Vintage year indicators and a constant term are included in each specification.  Standard errors, clustered by loan, appear in parentheses</w:t>
      </w:r>
      <w:r w:rsidR="003520CC" w:rsidRPr="00957138">
        <w:t xml:space="preserve">.  </w:t>
      </w:r>
      <w:r w:rsidR="003520CC">
        <w:t>Levels of significance are indicated by *, **, and *** for 10%, 5%, and 1%, respectively.</w:t>
      </w:r>
    </w:p>
    <w:p w14:paraId="5FD5241D" w14:textId="77777777" w:rsidR="00FD4CDF" w:rsidRDefault="00FD4CDF" w:rsidP="009D6779">
      <w:pPr>
        <w:spacing w:after="0"/>
        <w:contextualSpacing/>
      </w:pPr>
    </w:p>
    <w:tbl>
      <w:tblPr>
        <w:tblW w:w="0" w:type="auto"/>
        <w:jc w:val="center"/>
        <w:tblLook w:val="04A0" w:firstRow="1" w:lastRow="0" w:firstColumn="1" w:lastColumn="0" w:noHBand="0" w:noVBand="1"/>
      </w:tblPr>
      <w:tblGrid>
        <w:gridCol w:w="1587"/>
        <w:gridCol w:w="1073"/>
        <w:gridCol w:w="1134"/>
        <w:gridCol w:w="1167"/>
        <w:gridCol w:w="1134"/>
      </w:tblGrid>
      <w:tr w:rsidR="00626866" w:rsidRPr="00B672D5" w14:paraId="11F2AE33" w14:textId="77777777" w:rsidTr="00E775FA">
        <w:trPr>
          <w:trHeight w:val="255"/>
          <w:jc w:val="center"/>
        </w:trPr>
        <w:tc>
          <w:tcPr>
            <w:tcW w:w="0" w:type="auto"/>
            <w:tcBorders>
              <w:top w:val="single" w:sz="4" w:space="0" w:color="auto"/>
              <w:left w:val="nil"/>
              <w:bottom w:val="nil"/>
              <w:right w:val="nil"/>
            </w:tcBorders>
            <w:shd w:val="clear" w:color="auto" w:fill="auto"/>
            <w:noWrap/>
            <w:vAlign w:val="bottom"/>
            <w:hideMark/>
          </w:tcPr>
          <w:p w14:paraId="0ED756DD" w14:textId="77777777" w:rsidR="00626866" w:rsidRPr="00B672D5" w:rsidRDefault="00626866"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gridSpan w:val="4"/>
            <w:tcBorders>
              <w:top w:val="single" w:sz="4" w:space="0" w:color="auto"/>
              <w:left w:val="nil"/>
              <w:bottom w:val="nil"/>
              <w:right w:val="nil"/>
            </w:tcBorders>
            <w:shd w:val="clear" w:color="auto" w:fill="auto"/>
            <w:noWrap/>
            <w:vAlign w:val="bottom"/>
            <w:hideMark/>
          </w:tcPr>
          <w:p w14:paraId="762C0618"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xml:space="preserve">Probability of </w:t>
            </w:r>
            <w:r>
              <w:rPr>
                <w:rFonts w:ascii="Calibri" w:eastAsia="Times New Roman" w:hAnsi="Calibri" w:cs="Calibri"/>
                <w:sz w:val="20"/>
                <w:szCs w:val="20"/>
              </w:rPr>
              <w:t>d</w:t>
            </w:r>
            <w:r w:rsidRPr="00B672D5">
              <w:rPr>
                <w:rFonts w:ascii="Calibri" w:eastAsia="Times New Roman" w:hAnsi="Calibri" w:cs="Calibri"/>
                <w:sz w:val="20"/>
                <w:szCs w:val="20"/>
              </w:rPr>
              <w:t>efault</w:t>
            </w:r>
          </w:p>
        </w:tc>
      </w:tr>
      <w:tr w:rsidR="00626866" w:rsidRPr="00B672D5" w14:paraId="366AC53B" w14:textId="77777777" w:rsidTr="00E775FA">
        <w:trPr>
          <w:trHeight w:val="255"/>
          <w:jc w:val="center"/>
        </w:trPr>
        <w:tc>
          <w:tcPr>
            <w:tcW w:w="0" w:type="auto"/>
            <w:tcBorders>
              <w:top w:val="nil"/>
              <w:left w:val="nil"/>
              <w:right w:val="nil"/>
            </w:tcBorders>
            <w:shd w:val="clear" w:color="auto" w:fill="auto"/>
            <w:noWrap/>
            <w:vAlign w:val="bottom"/>
            <w:hideMark/>
          </w:tcPr>
          <w:p w14:paraId="26118829" w14:textId="77777777" w:rsidR="00626866" w:rsidRPr="00B672D5" w:rsidRDefault="00626866" w:rsidP="009D6779">
            <w:pPr>
              <w:spacing w:after="0" w:line="240" w:lineRule="auto"/>
              <w:contextualSpacing/>
              <w:jc w:val="center"/>
              <w:rPr>
                <w:rFonts w:ascii="Calibri" w:eastAsia="Times New Roman" w:hAnsi="Calibri" w:cs="Calibri"/>
                <w:sz w:val="18"/>
                <w:szCs w:val="18"/>
              </w:rPr>
            </w:pPr>
            <w:r w:rsidRPr="00B672D5">
              <w:rPr>
                <w:rFonts w:ascii="Calibri" w:eastAsia="Times New Roman" w:hAnsi="Calibri" w:cs="Calibri"/>
                <w:sz w:val="18"/>
                <w:szCs w:val="18"/>
              </w:rPr>
              <w:t> </w:t>
            </w:r>
          </w:p>
        </w:tc>
        <w:tc>
          <w:tcPr>
            <w:tcW w:w="0" w:type="auto"/>
            <w:tcBorders>
              <w:top w:val="nil"/>
              <w:left w:val="nil"/>
              <w:right w:val="nil"/>
            </w:tcBorders>
            <w:shd w:val="clear" w:color="auto" w:fill="auto"/>
            <w:noWrap/>
            <w:vAlign w:val="bottom"/>
            <w:hideMark/>
          </w:tcPr>
          <w:p w14:paraId="09A15820"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One year</w:t>
            </w:r>
          </w:p>
        </w:tc>
        <w:tc>
          <w:tcPr>
            <w:tcW w:w="0" w:type="auto"/>
            <w:tcBorders>
              <w:top w:val="nil"/>
              <w:left w:val="nil"/>
              <w:right w:val="nil"/>
            </w:tcBorders>
            <w:shd w:val="clear" w:color="auto" w:fill="auto"/>
            <w:noWrap/>
            <w:vAlign w:val="bottom"/>
            <w:hideMark/>
          </w:tcPr>
          <w:p w14:paraId="0DBE8531"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Two years</w:t>
            </w:r>
          </w:p>
        </w:tc>
        <w:tc>
          <w:tcPr>
            <w:tcW w:w="0" w:type="auto"/>
            <w:tcBorders>
              <w:top w:val="nil"/>
              <w:left w:val="nil"/>
              <w:right w:val="nil"/>
            </w:tcBorders>
            <w:shd w:val="clear" w:color="auto" w:fill="auto"/>
            <w:noWrap/>
            <w:vAlign w:val="bottom"/>
            <w:hideMark/>
          </w:tcPr>
          <w:p w14:paraId="610859CD"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Three years</w:t>
            </w:r>
          </w:p>
        </w:tc>
        <w:tc>
          <w:tcPr>
            <w:tcW w:w="0" w:type="auto"/>
            <w:tcBorders>
              <w:top w:val="nil"/>
              <w:left w:val="nil"/>
              <w:right w:val="nil"/>
            </w:tcBorders>
            <w:shd w:val="clear" w:color="auto" w:fill="auto"/>
            <w:noWrap/>
            <w:vAlign w:val="bottom"/>
            <w:hideMark/>
          </w:tcPr>
          <w:p w14:paraId="186A05BC"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Four years</w:t>
            </w:r>
          </w:p>
        </w:tc>
      </w:tr>
      <w:tr w:rsidR="00626866" w:rsidRPr="00B672D5" w14:paraId="0BDE15C0" w14:textId="77777777" w:rsidTr="00E775FA">
        <w:trPr>
          <w:trHeight w:val="255"/>
          <w:jc w:val="center"/>
        </w:trPr>
        <w:tc>
          <w:tcPr>
            <w:tcW w:w="0" w:type="auto"/>
            <w:tcBorders>
              <w:top w:val="nil"/>
              <w:left w:val="nil"/>
              <w:bottom w:val="single" w:sz="4" w:space="0" w:color="auto"/>
              <w:right w:val="nil"/>
            </w:tcBorders>
            <w:shd w:val="clear" w:color="auto" w:fill="auto"/>
            <w:noWrap/>
            <w:vAlign w:val="bottom"/>
            <w:hideMark/>
          </w:tcPr>
          <w:p w14:paraId="391D2A4C"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hideMark/>
          </w:tcPr>
          <w:p w14:paraId="2EEC727D"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bottom"/>
            <w:hideMark/>
          </w:tcPr>
          <w:p w14:paraId="3FF0E6D3"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bottom"/>
            <w:hideMark/>
          </w:tcPr>
          <w:p w14:paraId="17D3F616"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(3)</w:t>
            </w:r>
          </w:p>
        </w:tc>
        <w:tc>
          <w:tcPr>
            <w:tcW w:w="0" w:type="auto"/>
            <w:tcBorders>
              <w:top w:val="nil"/>
              <w:left w:val="nil"/>
              <w:bottom w:val="single" w:sz="4" w:space="0" w:color="auto"/>
              <w:right w:val="nil"/>
            </w:tcBorders>
            <w:shd w:val="clear" w:color="auto" w:fill="auto"/>
            <w:noWrap/>
            <w:vAlign w:val="bottom"/>
            <w:hideMark/>
          </w:tcPr>
          <w:p w14:paraId="39945DC5" w14:textId="77777777" w:rsidR="00626866" w:rsidRPr="00B672D5" w:rsidRDefault="00626866"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w:t>
            </w:r>
            <w:r w:rsidR="00152138">
              <w:rPr>
                <w:rFonts w:ascii="Calibri" w:eastAsia="Times New Roman" w:hAnsi="Calibri" w:cs="Calibri"/>
                <w:sz w:val="20"/>
                <w:szCs w:val="20"/>
              </w:rPr>
              <w:t>4</w:t>
            </w:r>
            <w:r w:rsidRPr="00B672D5">
              <w:rPr>
                <w:rFonts w:ascii="Calibri" w:eastAsia="Times New Roman" w:hAnsi="Calibri" w:cs="Calibri"/>
                <w:sz w:val="20"/>
                <w:szCs w:val="20"/>
              </w:rPr>
              <w:t>)</w:t>
            </w:r>
          </w:p>
        </w:tc>
      </w:tr>
      <w:tr w:rsidR="00DF2657" w:rsidRPr="00B672D5" w14:paraId="7C3293F0" w14:textId="77777777" w:rsidTr="00E775FA">
        <w:trPr>
          <w:trHeight w:val="255"/>
          <w:jc w:val="center"/>
        </w:trPr>
        <w:tc>
          <w:tcPr>
            <w:tcW w:w="0" w:type="auto"/>
            <w:tcBorders>
              <w:top w:val="single" w:sz="4" w:space="0" w:color="auto"/>
              <w:left w:val="nil"/>
              <w:bottom w:val="nil"/>
              <w:right w:val="nil"/>
            </w:tcBorders>
            <w:shd w:val="clear" w:color="auto" w:fill="auto"/>
            <w:noWrap/>
            <w:vAlign w:val="bottom"/>
            <w:hideMark/>
          </w:tcPr>
          <w:p w14:paraId="61F52FA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single" w:sz="4" w:space="0" w:color="auto"/>
              <w:left w:val="nil"/>
              <w:bottom w:val="nil"/>
              <w:right w:val="nil"/>
            </w:tcBorders>
            <w:shd w:val="clear" w:color="auto" w:fill="auto"/>
            <w:noWrap/>
            <w:vAlign w:val="bottom"/>
          </w:tcPr>
          <w:p w14:paraId="16320FC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-.0552</w:t>
            </w:r>
          </w:p>
        </w:tc>
        <w:tc>
          <w:tcPr>
            <w:tcW w:w="0" w:type="auto"/>
            <w:tcBorders>
              <w:top w:val="single" w:sz="4" w:space="0" w:color="auto"/>
              <w:left w:val="nil"/>
              <w:bottom w:val="nil"/>
              <w:right w:val="nil"/>
            </w:tcBorders>
            <w:shd w:val="clear" w:color="auto" w:fill="auto"/>
            <w:noWrap/>
            <w:vAlign w:val="bottom"/>
          </w:tcPr>
          <w:p w14:paraId="1993432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-.0103</w:t>
            </w:r>
          </w:p>
        </w:tc>
        <w:tc>
          <w:tcPr>
            <w:tcW w:w="0" w:type="auto"/>
            <w:tcBorders>
              <w:top w:val="single" w:sz="4" w:space="0" w:color="auto"/>
              <w:left w:val="nil"/>
              <w:bottom w:val="nil"/>
              <w:right w:val="nil"/>
            </w:tcBorders>
            <w:shd w:val="clear" w:color="auto" w:fill="auto"/>
            <w:noWrap/>
            <w:vAlign w:val="bottom"/>
          </w:tcPr>
          <w:p w14:paraId="4183A8B9"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-.0592</w:t>
            </w:r>
          </w:p>
        </w:tc>
        <w:tc>
          <w:tcPr>
            <w:tcW w:w="0" w:type="auto"/>
            <w:tcBorders>
              <w:top w:val="single" w:sz="4" w:space="0" w:color="auto"/>
              <w:left w:val="nil"/>
              <w:bottom w:val="nil"/>
              <w:right w:val="nil"/>
            </w:tcBorders>
            <w:shd w:val="clear" w:color="auto" w:fill="auto"/>
            <w:noWrap/>
            <w:vAlign w:val="bottom"/>
          </w:tcPr>
          <w:p w14:paraId="72ECA99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-.0645</w:t>
            </w:r>
          </w:p>
        </w:tc>
      </w:tr>
      <w:tr w:rsidR="00DF2657" w:rsidRPr="00B672D5" w14:paraId="25B37BD8"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B626416"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8A66A3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(.0955)</w:t>
            </w:r>
          </w:p>
        </w:tc>
        <w:tc>
          <w:tcPr>
            <w:tcW w:w="0" w:type="auto"/>
            <w:tcBorders>
              <w:top w:val="nil"/>
              <w:left w:val="nil"/>
              <w:bottom w:val="nil"/>
              <w:right w:val="nil"/>
            </w:tcBorders>
            <w:shd w:val="clear" w:color="auto" w:fill="auto"/>
            <w:noWrap/>
            <w:vAlign w:val="bottom"/>
          </w:tcPr>
          <w:p w14:paraId="3346CCF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(.0632)</w:t>
            </w:r>
          </w:p>
        </w:tc>
        <w:tc>
          <w:tcPr>
            <w:tcW w:w="0" w:type="auto"/>
            <w:tcBorders>
              <w:top w:val="nil"/>
              <w:left w:val="nil"/>
              <w:bottom w:val="nil"/>
              <w:right w:val="nil"/>
            </w:tcBorders>
            <w:shd w:val="clear" w:color="auto" w:fill="auto"/>
            <w:noWrap/>
            <w:vAlign w:val="bottom"/>
          </w:tcPr>
          <w:p w14:paraId="3E316CD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(.0547)</w:t>
            </w:r>
          </w:p>
        </w:tc>
        <w:tc>
          <w:tcPr>
            <w:tcW w:w="0" w:type="auto"/>
            <w:tcBorders>
              <w:top w:val="nil"/>
              <w:left w:val="nil"/>
              <w:bottom w:val="nil"/>
              <w:right w:val="nil"/>
            </w:tcBorders>
            <w:shd w:val="clear" w:color="auto" w:fill="auto"/>
            <w:noWrap/>
            <w:vAlign w:val="bottom"/>
          </w:tcPr>
          <w:p w14:paraId="0929DA9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(.0505)</w:t>
            </w:r>
          </w:p>
        </w:tc>
      </w:tr>
      <w:tr w:rsidR="00DF2657" w:rsidRPr="00B672D5" w14:paraId="719C7133"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1A2CEA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tcPr>
          <w:p w14:paraId="0DDEDDE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-1.028</w:t>
            </w:r>
          </w:p>
        </w:tc>
        <w:tc>
          <w:tcPr>
            <w:tcW w:w="0" w:type="auto"/>
            <w:tcBorders>
              <w:top w:val="nil"/>
              <w:left w:val="nil"/>
              <w:bottom w:val="nil"/>
              <w:right w:val="nil"/>
            </w:tcBorders>
            <w:shd w:val="clear" w:color="auto" w:fill="auto"/>
            <w:noWrap/>
            <w:vAlign w:val="bottom"/>
          </w:tcPr>
          <w:p w14:paraId="39F466F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-.947*</w:t>
            </w:r>
          </w:p>
        </w:tc>
        <w:tc>
          <w:tcPr>
            <w:tcW w:w="0" w:type="auto"/>
            <w:tcBorders>
              <w:top w:val="nil"/>
              <w:left w:val="nil"/>
              <w:bottom w:val="nil"/>
              <w:right w:val="nil"/>
            </w:tcBorders>
            <w:shd w:val="clear" w:color="auto" w:fill="auto"/>
            <w:noWrap/>
            <w:vAlign w:val="bottom"/>
          </w:tcPr>
          <w:p w14:paraId="701E454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-.828**</w:t>
            </w:r>
          </w:p>
        </w:tc>
        <w:tc>
          <w:tcPr>
            <w:tcW w:w="0" w:type="auto"/>
            <w:tcBorders>
              <w:top w:val="nil"/>
              <w:left w:val="nil"/>
              <w:bottom w:val="nil"/>
              <w:right w:val="nil"/>
            </w:tcBorders>
            <w:shd w:val="clear" w:color="auto" w:fill="auto"/>
            <w:noWrap/>
            <w:vAlign w:val="bottom"/>
          </w:tcPr>
          <w:p w14:paraId="545590A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-.421</w:t>
            </w:r>
          </w:p>
        </w:tc>
      </w:tr>
      <w:tr w:rsidR="00DF2657" w:rsidRPr="00B672D5" w14:paraId="53A9939D"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9AF936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FB5F92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(1.051)</w:t>
            </w:r>
          </w:p>
        </w:tc>
        <w:tc>
          <w:tcPr>
            <w:tcW w:w="0" w:type="auto"/>
            <w:tcBorders>
              <w:top w:val="nil"/>
              <w:left w:val="nil"/>
              <w:bottom w:val="nil"/>
              <w:right w:val="nil"/>
            </w:tcBorders>
            <w:shd w:val="clear" w:color="auto" w:fill="auto"/>
            <w:noWrap/>
            <w:vAlign w:val="bottom"/>
          </w:tcPr>
          <w:p w14:paraId="032361B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(.496)</w:t>
            </w:r>
          </w:p>
        </w:tc>
        <w:tc>
          <w:tcPr>
            <w:tcW w:w="0" w:type="auto"/>
            <w:tcBorders>
              <w:top w:val="nil"/>
              <w:left w:val="nil"/>
              <w:bottom w:val="nil"/>
              <w:right w:val="nil"/>
            </w:tcBorders>
            <w:shd w:val="clear" w:color="auto" w:fill="auto"/>
            <w:noWrap/>
            <w:vAlign w:val="bottom"/>
          </w:tcPr>
          <w:p w14:paraId="7F68BE0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(.405)</w:t>
            </w:r>
          </w:p>
        </w:tc>
        <w:tc>
          <w:tcPr>
            <w:tcW w:w="0" w:type="auto"/>
            <w:tcBorders>
              <w:top w:val="nil"/>
              <w:left w:val="nil"/>
              <w:bottom w:val="nil"/>
              <w:right w:val="nil"/>
            </w:tcBorders>
            <w:shd w:val="clear" w:color="auto" w:fill="auto"/>
            <w:noWrap/>
            <w:vAlign w:val="bottom"/>
          </w:tcPr>
          <w:p w14:paraId="70504D1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(.296)</w:t>
            </w:r>
          </w:p>
        </w:tc>
      </w:tr>
      <w:tr w:rsidR="00DF2657" w:rsidRPr="00B672D5" w14:paraId="3B3828DD"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2B90D36A"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tcPr>
          <w:p w14:paraId="6E0B5A2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.0281</w:t>
            </w:r>
          </w:p>
        </w:tc>
        <w:tc>
          <w:tcPr>
            <w:tcW w:w="0" w:type="auto"/>
            <w:tcBorders>
              <w:top w:val="nil"/>
              <w:left w:val="nil"/>
              <w:bottom w:val="nil"/>
              <w:right w:val="nil"/>
            </w:tcBorders>
            <w:shd w:val="clear" w:color="auto" w:fill="auto"/>
            <w:noWrap/>
            <w:vAlign w:val="bottom"/>
          </w:tcPr>
          <w:p w14:paraId="448D8EE9"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-.405*</w:t>
            </w:r>
          </w:p>
        </w:tc>
        <w:tc>
          <w:tcPr>
            <w:tcW w:w="0" w:type="auto"/>
            <w:tcBorders>
              <w:top w:val="nil"/>
              <w:left w:val="nil"/>
              <w:bottom w:val="nil"/>
              <w:right w:val="nil"/>
            </w:tcBorders>
            <w:shd w:val="clear" w:color="auto" w:fill="auto"/>
            <w:noWrap/>
            <w:vAlign w:val="bottom"/>
          </w:tcPr>
          <w:p w14:paraId="05B06248"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-.259</w:t>
            </w:r>
          </w:p>
        </w:tc>
        <w:tc>
          <w:tcPr>
            <w:tcW w:w="0" w:type="auto"/>
            <w:tcBorders>
              <w:top w:val="nil"/>
              <w:left w:val="nil"/>
              <w:bottom w:val="nil"/>
              <w:right w:val="nil"/>
            </w:tcBorders>
            <w:shd w:val="clear" w:color="auto" w:fill="auto"/>
            <w:noWrap/>
            <w:vAlign w:val="bottom"/>
          </w:tcPr>
          <w:p w14:paraId="5AB70B4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-.298**</w:t>
            </w:r>
          </w:p>
        </w:tc>
      </w:tr>
      <w:tr w:rsidR="00DF2657" w:rsidRPr="00B672D5" w14:paraId="3071F796"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484751B"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188D904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(.336)</w:t>
            </w:r>
          </w:p>
        </w:tc>
        <w:tc>
          <w:tcPr>
            <w:tcW w:w="0" w:type="auto"/>
            <w:tcBorders>
              <w:top w:val="nil"/>
              <w:left w:val="nil"/>
              <w:bottom w:val="nil"/>
              <w:right w:val="nil"/>
            </w:tcBorders>
            <w:shd w:val="clear" w:color="auto" w:fill="auto"/>
            <w:noWrap/>
            <w:vAlign w:val="bottom"/>
          </w:tcPr>
          <w:p w14:paraId="09E5F82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(.209)</w:t>
            </w:r>
          </w:p>
        </w:tc>
        <w:tc>
          <w:tcPr>
            <w:tcW w:w="0" w:type="auto"/>
            <w:tcBorders>
              <w:top w:val="nil"/>
              <w:left w:val="nil"/>
              <w:bottom w:val="nil"/>
              <w:right w:val="nil"/>
            </w:tcBorders>
            <w:shd w:val="clear" w:color="auto" w:fill="auto"/>
            <w:noWrap/>
            <w:vAlign w:val="bottom"/>
          </w:tcPr>
          <w:p w14:paraId="566D8E4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(.163)</w:t>
            </w:r>
          </w:p>
        </w:tc>
        <w:tc>
          <w:tcPr>
            <w:tcW w:w="0" w:type="auto"/>
            <w:tcBorders>
              <w:top w:val="nil"/>
              <w:left w:val="nil"/>
              <w:bottom w:val="nil"/>
              <w:right w:val="nil"/>
            </w:tcBorders>
            <w:shd w:val="clear" w:color="auto" w:fill="auto"/>
            <w:noWrap/>
            <w:vAlign w:val="bottom"/>
          </w:tcPr>
          <w:p w14:paraId="43F88779"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(.151)</w:t>
            </w:r>
          </w:p>
        </w:tc>
      </w:tr>
      <w:tr w:rsidR="00DF2657" w:rsidRPr="00B672D5" w14:paraId="0B0312D1"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F340C09"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tcPr>
          <w:p w14:paraId="2ABE873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-.0126***</w:t>
            </w:r>
          </w:p>
        </w:tc>
        <w:tc>
          <w:tcPr>
            <w:tcW w:w="0" w:type="auto"/>
            <w:tcBorders>
              <w:top w:val="nil"/>
              <w:left w:val="nil"/>
              <w:bottom w:val="nil"/>
              <w:right w:val="nil"/>
            </w:tcBorders>
            <w:shd w:val="clear" w:color="auto" w:fill="auto"/>
            <w:noWrap/>
            <w:vAlign w:val="bottom"/>
          </w:tcPr>
          <w:p w14:paraId="6A57246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-.0108***</w:t>
            </w:r>
          </w:p>
        </w:tc>
        <w:tc>
          <w:tcPr>
            <w:tcW w:w="0" w:type="auto"/>
            <w:tcBorders>
              <w:top w:val="nil"/>
              <w:left w:val="nil"/>
              <w:bottom w:val="nil"/>
              <w:right w:val="nil"/>
            </w:tcBorders>
            <w:shd w:val="clear" w:color="auto" w:fill="auto"/>
            <w:noWrap/>
            <w:vAlign w:val="bottom"/>
          </w:tcPr>
          <w:p w14:paraId="2C1D275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-.00978***</w:t>
            </w:r>
          </w:p>
        </w:tc>
        <w:tc>
          <w:tcPr>
            <w:tcW w:w="0" w:type="auto"/>
            <w:tcBorders>
              <w:top w:val="nil"/>
              <w:left w:val="nil"/>
              <w:bottom w:val="nil"/>
              <w:right w:val="nil"/>
            </w:tcBorders>
            <w:shd w:val="clear" w:color="auto" w:fill="auto"/>
            <w:noWrap/>
            <w:vAlign w:val="bottom"/>
          </w:tcPr>
          <w:p w14:paraId="757B01D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-.00937***</w:t>
            </w:r>
          </w:p>
        </w:tc>
      </w:tr>
      <w:tr w:rsidR="00DF2657" w:rsidRPr="00B672D5" w14:paraId="4000957D"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FF590E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AC4B18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(.00122)</w:t>
            </w:r>
          </w:p>
        </w:tc>
        <w:tc>
          <w:tcPr>
            <w:tcW w:w="0" w:type="auto"/>
            <w:tcBorders>
              <w:top w:val="nil"/>
              <w:left w:val="nil"/>
              <w:bottom w:val="nil"/>
              <w:right w:val="nil"/>
            </w:tcBorders>
            <w:shd w:val="clear" w:color="auto" w:fill="auto"/>
            <w:noWrap/>
            <w:vAlign w:val="bottom"/>
          </w:tcPr>
          <w:p w14:paraId="46DA758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(.000916)</w:t>
            </w:r>
          </w:p>
        </w:tc>
        <w:tc>
          <w:tcPr>
            <w:tcW w:w="0" w:type="auto"/>
            <w:tcBorders>
              <w:top w:val="nil"/>
              <w:left w:val="nil"/>
              <w:bottom w:val="nil"/>
              <w:right w:val="nil"/>
            </w:tcBorders>
            <w:shd w:val="clear" w:color="auto" w:fill="auto"/>
            <w:noWrap/>
            <w:vAlign w:val="bottom"/>
          </w:tcPr>
          <w:p w14:paraId="45DCC4A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(.000823)</w:t>
            </w:r>
          </w:p>
        </w:tc>
        <w:tc>
          <w:tcPr>
            <w:tcW w:w="0" w:type="auto"/>
            <w:tcBorders>
              <w:top w:val="nil"/>
              <w:left w:val="nil"/>
              <w:bottom w:val="nil"/>
              <w:right w:val="nil"/>
            </w:tcBorders>
            <w:shd w:val="clear" w:color="auto" w:fill="auto"/>
            <w:noWrap/>
            <w:vAlign w:val="bottom"/>
          </w:tcPr>
          <w:p w14:paraId="4171A62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(.000796)</w:t>
            </w:r>
          </w:p>
        </w:tc>
      </w:tr>
      <w:tr w:rsidR="00DF2657" w:rsidRPr="00B672D5" w14:paraId="319F450C"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173BC64"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0" w:type="auto"/>
            <w:tcBorders>
              <w:top w:val="nil"/>
              <w:left w:val="nil"/>
              <w:bottom w:val="nil"/>
              <w:right w:val="nil"/>
            </w:tcBorders>
            <w:shd w:val="clear" w:color="auto" w:fill="auto"/>
            <w:noWrap/>
            <w:vAlign w:val="bottom"/>
          </w:tcPr>
          <w:p w14:paraId="000F3C5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.00692***</w:t>
            </w:r>
          </w:p>
        </w:tc>
        <w:tc>
          <w:tcPr>
            <w:tcW w:w="0" w:type="auto"/>
            <w:tcBorders>
              <w:top w:val="nil"/>
              <w:left w:val="nil"/>
              <w:bottom w:val="nil"/>
              <w:right w:val="nil"/>
            </w:tcBorders>
            <w:shd w:val="clear" w:color="auto" w:fill="auto"/>
            <w:noWrap/>
            <w:vAlign w:val="bottom"/>
          </w:tcPr>
          <w:p w14:paraId="6389D028"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.00778***</w:t>
            </w:r>
          </w:p>
        </w:tc>
        <w:tc>
          <w:tcPr>
            <w:tcW w:w="0" w:type="auto"/>
            <w:tcBorders>
              <w:top w:val="nil"/>
              <w:left w:val="nil"/>
              <w:bottom w:val="nil"/>
              <w:right w:val="nil"/>
            </w:tcBorders>
            <w:shd w:val="clear" w:color="auto" w:fill="auto"/>
            <w:noWrap/>
            <w:vAlign w:val="bottom"/>
          </w:tcPr>
          <w:p w14:paraId="39037B7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.00795***</w:t>
            </w:r>
          </w:p>
        </w:tc>
        <w:tc>
          <w:tcPr>
            <w:tcW w:w="0" w:type="auto"/>
            <w:tcBorders>
              <w:top w:val="nil"/>
              <w:left w:val="nil"/>
              <w:bottom w:val="nil"/>
              <w:right w:val="nil"/>
            </w:tcBorders>
            <w:shd w:val="clear" w:color="auto" w:fill="auto"/>
            <w:noWrap/>
            <w:vAlign w:val="bottom"/>
          </w:tcPr>
          <w:p w14:paraId="55A4E2D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.00795***</w:t>
            </w:r>
          </w:p>
        </w:tc>
      </w:tr>
      <w:tr w:rsidR="00DF2657" w:rsidRPr="00B672D5" w14:paraId="14F466A0"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4628A94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0F2494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(.00104)</w:t>
            </w:r>
          </w:p>
        </w:tc>
        <w:tc>
          <w:tcPr>
            <w:tcW w:w="0" w:type="auto"/>
            <w:tcBorders>
              <w:top w:val="nil"/>
              <w:left w:val="nil"/>
              <w:bottom w:val="nil"/>
              <w:right w:val="nil"/>
            </w:tcBorders>
            <w:shd w:val="clear" w:color="auto" w:fill="auto"/>
            <w:noWrap/>
            <w:vAlign w:val="bottom"/>
          </w:tcPr>
          <w:p w14:paraId="09F11B4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(.00117)</w:t>
            </w:r>
          </w:p>
        </w:tc>
        <w:tc>
          <w:tcPr>
            <w:tcW w:w="0" w:type="auto"/>
            <w:tcBorders>
              <w:top w:val="nil"/>
              <w:left w:val="nil"/>
              <w:bottom w:val="nil"/>
              <w:right w:val="nil"/>
            </w:tcBorders>
            <w:shd w:val="clear" w:color="auto" w:fill="auto"/>
            <w:noWrap/>
            <w:vAlign w:val="bottom"/>
          </w:tcPr>
          <w:p w14:paraId="01AF61E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(.00119)</w:t>
            </w:r>
          </w:p>
        </w:tc>
        <w:tc>
          <w:tcPr>
            <w:tcW w:w="0" w:type="auto"/>
            <w:tcBorders>
              <w:top w:val="nil"/>
              <w:left w:val="nil"/>
              <w:bottom w:val="nil"/>
              <w:right w:val="nil"/>
            </w:tcBorders>
            <w:shd w:val="clear" w:color="auto" w:fill="auto"/>
            <w:noWrap/>
            <w:vAlign w:val="bottom"/>
          </w:tcPr>
          <w:p w14:paraId="404AE9B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(.00121)</w:t>
            </w:r>
          </w:p>
        </w:tc>
      </w:tr>
      <w:tr w:rsidR="006751BB" w:rsidRPr="00B672D5" w14:paraId="2DEBDE31"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F11D67F"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0" w:type="auto"/>
            <w:tcBorders>
              <w:top w:val="nil"/>
              <w:left w:val="nil"/>
              <w:bottom w:val="nil"/>
              <w:right w:val="nil"/>
            </w:tcBorders>
            <w:shd w:val="clear" w:color="auto" w:fill="auto"/>
            <w:noWrap/>
            <w:vAlign w:val="bottom"/>
          </w:tcPr>
          <w:p w14:paraId="6A5EC630"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.715***</w:t>
            </w:r>
          </w:p>
        </w:tc>
        <w:tc>
          <w:tcPr>
            <w:tcW w:w="0" w:type="auto"/>
            <w:tcBorders>
              <w:top w:val="nil"/>
              <w:left w:val="nil"/>
              <w:bottom w:val="nil"/>
              <w:right w:val="nil"/>
            </w:tcBorders>
            <w:shd w:val="clear" w:color="auto" w:fill="auto"/>
            <w:noWrap/>
            <w:vAlign w:val="bottom"/>
          </w:tcPr>
          <w:p w14:paraId="50E6099C"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.272***</w:t>
            </w:r>
          </w:p>
        </w:tc>
        <w:tc>
          <w:tcPr>
            <w:tcW w:w="0" w:type="auto"/>
            <w:tcBorders>
              <w:top w:val="nil"/>
              <w:left w:val="nil"/>
              <w:bottom w:val="nil"/>
              <w:right w:val="nil"/>
            </w:tcBorders>
            <w:shd w:val="clear" w:color="auto" w:fill="auto"/>
            <w:noWrap/>
            <w:vAlign w:val="bottom"/>
          </w:tcPr>
          <w:p w14:paraId="240B8E4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.171***</w:t>
            </w:r>
          </w:p>
        </w:tc>
        <w:tc>
          <w:tcPr>
            <w:tcW w:w="0" w:type="auto"/>
            <w:tcBorders>
              <w:top w:val="nil"/>
              <w:left w:val="nil"/>
              <w:bottom w:val="nil"/>
              <w:right w:val="nil"/>
            </w:tcBorders>
            <w:shd w:val="clear" w:color="auto" w:fill="auto"/>
            <w:noWrap/>
            <w:vAlign w:val="bottom"/>
          </w:tcPr>
          <w:p w14:paraId="6A5DDCC8"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.114***</w:t>
            </w:r>
          </w:p>
        </w:tc>
      </w:tr>
      <w:tr w:rsidR="006751BB" w:rsidRPr="00B672D5" w14:paraId="3DE453FC"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4CB7C91A"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1AAD957"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(.0529)</w:t>
            </w:r>
          </w:p>
        </w:tc>
        <w:tc>
          <w:tcPr>
            <w:tcW w:w="0" w:type="auto"/>
            <w:tcBorders>
              <w:top w:val="nil"/>
              <w:left w:val="nil"/>
              <w:bottom w:val="nil"/>
              <w:right w:val="nil"/>
            </w:tcBorders>
            <w:shd w:val="clear" w:color="auto" w:fill="auto"/>
            <w:noWrap/>
            <w:vAlign w:val="bottom"/>
          </w:tcPr>
          <w:p w14:paraId="5260B1DA"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(.0164)</w:t>
            </w:r>
          </w:p>
        </w:tc>
        <w:tc>
          <w:tcPr>
            <w:tcW w:w="0" w:type="auto"/>
            <w:tcBorders>
              <w:top w:val="nil"/>
              <w:left w:val="nil"/>
              <w:bottom w:val="nil"/>
              <w:right w:val="nil"/>
            </w:tcBorders>
            <w:shd w:val="clear" w:color="auto" w:fill="auto"/>
            <w:noWrap/>
            <w:vAlign w:val="bottom"/>
          </w:tcPr>
          <w:p w14:paraId="6293CA77"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(.00950)</w:t>
            </w:r>
          </w:p>
        </w:tc>
        <w:tc>
          <w:tcPr>
            <w:tcW w:w="0" w:type="auto"/>
            <w:tcBorders>
              <w:top w:val="nil"/>
              <w:left w:val="nil"/>
              <w:bottom w:val="nil"/>
              <w:right w:val="nil"/>
            </w:tcBorders>
            <w:shd w:val="clear" w:color="auto" w:fill="auto"/>
            <w:noWrap/>
            <w:vAlign w:val="bottom"/>
          </w:tcPr>
          <w:p w14:paraId="5ACB220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(.00635)</w:t>
            </w:r>
          </w:p>
        </w:tc>
      </w:tr>
      <w:tr w:rsidR="006751BB" w:rsidRPr="00B672D5" w14:paraId="2C4C6AE9"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B76B94B"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0" w:type="auto"/>
            <w:tcBorders>
              <w:top w:val="nil"/>
              <w:left w:val="nil"/>
              <w:bottom w:val="nil"/>
              <w:right w:val="nil"/>
            </w:tcBorders>
            <w:shd w:val="clear" w:color="auto" w:fill="auto"/>
            <w:noWrap/>
            <w:vAlign w:val="bottom"/>
          </w:tcPr>
          <w:p w14:paraId="14AF6EC8"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-.0380***</w:t>
            </w:r>
          </w:p>
        </w:tc>
        <w:tc>
          <w:tcPr>
            <w:tcW w:w="0" w:type="auto"/>
            <w:tcBorders>
              <w:top w:val="nil"/>
              <w:left w:val="nil"/>
              <w:bottom w:val="nil"/>
              <w:right w:val="nil"/>
            </w:tcBorders>
            <w:shd w:val="clear" w:color="auto" w:fill="auto"/>
            <w:noWrap/>
            <w:vAlign w:val="bottom"/>
          </w:tcPr>
          <w:p w14:paraId="29399DF0"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-.00759***</w:t>
            </w:r>
          </w:p>
        </w:tc>
        <w:tc>
          <w:tcPr>
            <w:tcW w:w="0" w:type="auto"/>
            <w:tcBorders>
              <w:top w:val="nil"/>
              <w:left w:val="nil"/>
              <w:bottom w:val="nil"/>
              <w:right w:val="nil"/>
            </w:tcBorders>
            <w:shd w:val="clear" w:color="auto" w:fill="auto"/>
            <w:noWrap/>
            <w:vAlign w:val="bottom"/>
          </w:tcPr>
          <w:p w14:paraId="226CCB45"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-.00362***</w:t>
            </w:r>
          </w:p>
        </w:tc>
        <w:tc>
          <w:tcPr>
            <w:tcW w:w="0" w:type="auto"/>
            <w:tcBorders>
              <w:top w:val="nil"/>
              <w:left w:val="nil"/>
              <w:bottom w:val="nil"/>
              <w:right w:val="nil"/>
            </w:tcBorders>
            <w:shd w:val="clear" w:color="auto" w:fill="auto"/>
            <w:noWrap/>
            <w:vAlign w:val="bottom"/>
          </w:tcPr>
          <w:p w14:paraId="42BEC9B1"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-.00189***</w:t>
            </w:r>
          </w:p>
        </w:tc>
      </w:tr>
      <w:tr w:rsidR="00DF2657" w:rsidRPr="00B672D5" w14:paraId="5267F4A7"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AAE3DCC"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98563B8"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(.00389)</w:t>
            </w:r>
          </w:p>
        </w:tc>
        <w:tc>
          <w:tcPr>
            <w:tcW w:w="0" w:type="auto"/>
            <w:tcBorders>
              <w:top w:val="nil"/>
              <w:left w:val="nil"/>
              <w:bottom w:val="nil"/>
              <w:right w:val="nil"/>
            </w:tcBorders>
            <w:shd w:val="clear" w:color="auto" w:fill="auto"/>
            <w:noWrap/>
            <w:vAlign w:val="bottom"/>
          </w:tcPr>
          <w:p w14:paraId="6D4F74E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(.000631)</w:t>
            </w:r>
          </w:p>
        </w:tc>
        <w:tc>
          <w:tcPr>
            <w:tcW w:w="0" w:type="auto"/>
            <w:tcBorders>
              <w:top w:val="nil"/>
              <w:left w:val="nil"/>
              <w:bottom w:val="nil"/>
              <w:right w:val="nil"/>
            </w:tcBorders>
            <w:shd w:val="clear" w:color="auto" w:fill="auto"/>
            <w:noWrap/>
            <w:vAlign w:val="bottom"/>
          </w:tcPr>
          <w:p w14:paraId="1C45248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(.00026</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396272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(.000137)</w:t>
            </w:r>
          </w:p>
        </w:tc>
      </w:tr>
      <w:tr w:rsidR="00DF2657" w:rsidRPr="00B672D5" w14:paraId="6B509E78"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921986F"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0" w:type="auto"/>
            <w:tcBorders>
              <w:top w:val="nil"/>
              <w:left w:val="nil"/>
              <w:bottom w:val="nil"/>
              <w:right w:val="nil"/>
            </w:tcBorders>
            <w:shd w:val="clear" w:color="auto" w:fill="auto"/>
            <w:noWrap/>
            <w:vAlign w:val="bottom"/>
          </w:tcPr>
          <w:p w14:paraId="18E1DE8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-.465</w:t>
            </w:r>
          </w:p>
        </w:tc>
        <w:tc>
          <w:tcPr>
            <w:tcW w:w="0" w:type="auto"/>
            <w:tcBorders>
              <w:top w:val="nil"/>
              <w:left w:val="nil"/>
              <w:bottom w:val="nil"/>
              <w:right w:val="nil"/>
            </w:tcBorders>
            <w:shd w:val="clear" w:color="auto" w:fill="auto"/>
            <w:noWrap/>
            <w:vAlign w:val="bottom"/>
          </w:tcPr>
          <w:p w14:paraId="2C2197D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-.485</w:t>
            </w:r>
          </w:p>
        </w:tc>
        <w:tc>
          <w:tcPr>
            <w:tcW w:w="0" w:type="auto"/>
            <w:tcBorders>
              <w:top w:val="nil"/>
              <w:left w:val="nil"/>
              <w:bottom w:val="nil"/>
              <w:right w:val="nil"/>
            </w:tcBorders>
            <w:shd w:val="clear" w:color="auto" w:fill="auto"/>
            <w:noWrap/>
            <w:vAlign w:val="bottom"/>
          </w:tcPr>
          <w:p w14:paraId="1FCBB81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-.429</w:t>
            </w:r>
          </w:p>
        </w:tc>
        <w:tc>
          <w:tcPr>
            <w:tcW w:w="0" w:type="auto"/>
            <w:tcBorders>
              <w:top w:val="nil"/>
              <w:left w:val="nil"/>
              <w:bottom w:val="nil"/>
              <w:right w:val="nil"/>
            </w:tcBorders>
            <w:shd w:val="clear" w:color="auto" w:fill="auto"/>
            <w:noWrap/>
            <w:vAlign w:val="bottom"/>
          </w:tcPr>
          <w:p w14:paraId="656192F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-.347</w:t>
            </w:r>
          </w:p>
        </w:tc>
      </w:tr>
      <w:tr w:rsidR="00DF2657" w:rsidRPr="00B672D5" w14:paraId="591E55E7"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EDC4208"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2DDD7B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(.698)</w:t>
            </w:r>
          </w:p>
        </w:tc>
        <w:tc>
          <w:tcPr>
            <w:tcW w:w="0" w:type="auto"/>
            <w:tcBorders>
              <w:top w:val="nil"/>
              <w:left w:val="nil"/>
              <w:bottom w:val="nil"/>
              <w:right w:val="nil"/>
            </w:tcBorders>
            <w:shd w:val="clear" w:color="auto" w:fill="auto"/>
            <w:noWrap/>
            <w:vAlign w:val="bottom"/>
          </w:tcPr>
          <w:p w14:paraId="03A8704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(.388)</w:t>
            </w:r>
          </w:p>
        </w:tc>
        <w:tc>
          <w:tcPr>
            <w:tcW w:w="0" w:type="auto"/>
            <w:tcBorders>
              <w:top w:val="nil"/>
              <w:left w:val="nil"/>
              <w:bottom w:val="nil"/>
              <w:right w:val="nil"/>
            </w:tcBorders>
            <w:shd w:val="clear" w:color="auto" w:fill="auto"/>
            <w:noWrap/>
            <w:vAlign w:val="bottom"/>
          </w:tcPr>
          <w:p w14:paraId="6FE8188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(.323)</w:t>
            </w:r>
          </w:p>
        </w:tc>
        <w:tc>
          <w:tcPr>
            <w:tcW w:w="0" w:type="auto"/>
            <w:tcBorders>
              <w:top w:val="nil"/>
              <w:left w:val="nil"/>
              <w:bottom w:val="nil"/>
              <w:right w:val="nil"/>
            </w:tcBorders>
            <w:shd w:val="clear" w:color="auto" w:fill="auto"/>
            <w:noWrap/>
            <w:vAlign w:val="bottom"/>
          </w:tcPr>
          <w:p w14:paraId="3600D5F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(.297)</w:t>
            </w:r>
          </w:p>
        </w:tc>
      </w:tr>
      <w:tr w:rsidR="00DF2657" w:rsidRPr="00B672D5" w14:paraId="5DD95498"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BD25695"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0" w:type="auto"/>
            <w:tcBorders>
              <w:top w:val="nil"/>
              <w:left w:val="nil"/>
              <w:bottom w:val="nil"/>
              <w:right w:val="nil"/>
            </w:tcBorders>
            <w:shd w:val="clear" w:color="auto" w:fill="auto"/>
            <w:noWrap/>
            <w:vAlign w:val="bottom"/>
          </w:tcPr>
          <w:p w14:paraId="4F507FE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.551***</w:t>
            </w:r>
          </w:p>
        </w:tc>
        <w:tc>
          <w:tcPr>
            <w:tcW w:w="0" w:type="auto"/>
            <w:tcBorders>
              <w:top w:val="nil"/>
              <w:left w:val="nil"/>
              <w:bottom w:val="nil"/>
              <w:right w:val="nil"/>
            </w:tcBorders>
            <w:shd w:val="clear" w:color="auto" w:fill="auto"/>
            <w:noWrap/>
            <w:vAlign w:val="bottom"/>
          </w:tcPr>
          <w:p w14:paraId="5E47787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.497***</w:t>
            </w:r>
          </w:p>
        </w:tc>
        <w:tc>
          <w:tcPr>
            <w:tcW w:w="0" w:type="auto"/>
            <w:tcBorders>
              <w:top w:val="nil"/>
              <w:left w:val="nil"/>
              <w:bottom w:val="nil"/>
              <w:right w:val="nil"/>
            </w:tcBorders>
            <w:shd w:val="clear" w:color="auto" w:fill="auto"/>
            <w:noWrap/>
            <w:vAlign w:val="bottom"/>
          </w:tcPr>
          <w:p w14:paraId="76E4516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.478***</w:t>
            </w:r>
          </w:p>
        </w:tc>
        <w:tc>
          <w:tcPr>
            <w:tcW w:w="0" w:type="auto"/>
            <w:tcBorders>
              <w:top w:val="nil"/>
              <w:left w:val="nil"/>
              <w:bottom w:val="nil"/>
              <w:right w:val="nil"/>
            </w:tcBorders>
            <w:shd w:val="clear" w:color="auto" w:fill="auto"/>
            <w:noWrap/>
            <w:vAlign w:val="bottom"/>
          </w:tcPr>
          <w:p w14:paraId="3012D74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.465***</w:t>
            </w:r>
          </w:p>
        </w:tc>
      </w:tr>
      <w:tr w:rsidR="00DF2657" w:rsidRPr="00B672D5" w14:paraId="7BF35405"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58F45F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147B695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(.0462)</w:t>
            </w:r>
          </w:p>
        </w:tc>
        <w:tc>
          <w:tcPr>
            <w:tcW w:w="0" w:type="auto"/>
            <w:tcBorders>
              <w:top w:val="nil"/>
              <w:left w:val="nil"/>
              <w:bottom w:val="nil"/>
              <w:right w:val="nil"/>
            </w:tcBorders>
            <w:shd w:val="clear" w:color="auto" w:fill="auto"/>
            <w:noWrap/>
            <w:vAlign w:val="bottom"/>
          </w:tcPr>
          <w:p w14:paraId="5D854EB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(.0368)</w:t>
            </w:r>
          </w:p>
        </w:tc>
        <w:tc>
          <w:tcPr>
            <w:tcW w:w="0" w:type="auto"/>
            <w:tcBorders>
              <w:top w:val="nil"/>
              <w:left w:val="nil"/>
              <w:bottom w:val="nil"/>
              <w:right w:val="nil"/>
            </w:tcBorders>
            <w:shd w:val="clear" w:color="auto" w:fill="auto"/>
            <w:noWrap/>
            <w:vAlign w:val="bottom"/>
          </w:tcPr>
          <w:p w14:paraId="5E2A15C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(.0339)</w:t>
            </w:r>
          </w:p>
        </w:tc>
        <w:tc>
          <w:tcPr>
            <w:tcW w:w="0" w:type="auto"/>
            <w:tcBorders>
              <w:top w:val="nil"/>
              <w:left w:val="nil"/>
              <w:bottom w:val="nil"/>
              <w:right w:val="nil"/>
            </w:tcBorders>
            <w:shd w:val="clear" w:color="auto" w:fill="auto"/>
            <w:noWrap/>
            <w:vAlign w:val="bottom"/>
          </w:tcPr>
          <w:p w14:paraId="0F9255D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(.0333)</w:t>
            </w:r>
          </w:p>
        </w:tc>
      </w:tr>
      <w:tr w:rsidR="00DF2657" w:rsidRPr="00B672D5" w14:paraId="537931A5"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40EB31E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tcPr>
          <w:p w14:paraId="19E5A4D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.181</w:t>
            </w:r>
          </w:p>
        </w:tc>
        <w:tc>
          <w:tcPr>
            <w:tcW w:w="0" w:type="auto"/>
            <w:tcBorders>
              <w:top w:val="nil"/>
              <w:left w:val="nil"/>
              <w:bottom w:val="nil"/>
              <w:right w:val="nil"/>
            </w:tcBorders>
            <w:shd w:val="clear" w:color="auto" w:fill="auto"/>
            <w:noWrap/>
            <w:vAlign w:val="bottom"/>
          </w:tcPr>
          <w:p w14:paraId="19F26C2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.18</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42B108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.194**</w:t>
            </w:r>
          </w:p>
        </w:tc>
        <w:tc>
          <w:tcPr>
            <w:tcW w:w="0" w:type="auto"/>
            <w:tcBorders>
              <w:top w:val="nil"/>
              <w:left w:val="nil"/>
              <w:bottom w:val="nil"/>
              <w:right w:val="nil"/>
            </w:tcBorders>
            <w:shd w:val="clear" w:color="auto" w:fill="auto"/>
            <w:noWrap/>
            <w:vAlign w:val="bottom"/>
          </w:tcPr>
          <w:p w14:paraId="032592B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.178**</w:t>
            </w:r>
          </w:p>
        </w:tc>
      </w:tr>
      <w:tr w:rsidR="00DF2657" w:rsidRPr="00B672D5" w14:paraId="43FC97FD"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6B725A4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lastRenderedPageBreak/>
              <w:t> </w:t>
            </w:r>
          </w:p>
        </w:tc>
        <w:tc>
          <w:tcPr>
            <w:tcW w:w="0" w:type="auto"/>
            <w:tcBorders>
              <w:top w:val="nil"/>
              <w:left w:val="nil"/>
              <w:bottom w:val="nil"/>
              <w:right w:val="nil"/>
            </w:tcBorders>
            <w:shd w:val="clear" w:color="auto" w:fill="auto"/>
            <w:noWrap/>
            <w:vAlign w:val="bottom"/>
          </w:tcPr>
          <w:p w14:paraId="1CFDAC9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(.135)</w:t>
            </w:r>
          </w:p>
        </w:tc>
        <w:tc>
          <w:tcPr>
            <w:tcW w:w="0" w:type="auto"/>
            <w:tcBorders>
              <w:top w:val="nil"/>
              <w:left w:val="nil"/>
              <w:bottom w:val="nil"/>
              <w:right w:val="nil"/>
            </w:tcBorders>
            <w:shd w:val="clear" w:color="auto" w:fill="auto"/>
            <w:noWrap/>
            <w:vAlign w:val="bottom"/>
          </w:tcPr>
          <w:p w14:paraId="4AD2ADD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(.0874)</w:t>
            </w:r>
          </w:p>
        </w:tc>
        <w:tc>
          <w:tcPr>
            <w:tcW w:w="0" w:type="auto"/>
            <w:tcBorders>
              <w:top w:val="nil"/>
              <w:left w:val="nil"/>
              <w:bottom w:val="nil"/>
              <w:right w:val="nil"/>
            </w:tcBorders>
            <w:shd w:val="clear" w:color="auto" w:fill="auto"/>
            <w:noWrap/>
            <w:vAlign w:val="bottom"/>
          </w:tcPr>
          <w:p w14:paraId="0F64DA0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(.0762)</w:t>
            </w:r>
          </w:p>
        </w:tc>
        <w:tc>
          <w:tcPr>
            <w:tcW w:w="0" w:type="auto"/>
            <w:tcBorders>
              <w:top w:val="nil"/>
              <w:left w:val="nil"/>
              <w:bottom w:val="nil"/>
              <w:right w:val="nil"/>
            </w:tcBorders>
            <w:shd w:val="clear" w:color="auto" w:fill="auto"/>
            <w:noWrap/>
            <w:vAlign w:val="bottom"/>
          </w:tcPr>
          <w:p w14:paraId="2B0D9AE9"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(.0715)</w:t>
            </w:r>
          </w:p>
        </w:tc>
      </w:tr>
      <w:tr w:rsidR="00DF2657" w:rsidRPr="00B672D5" w14:paraId="14341B92"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4C5F995B"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0" w:type="auto"/>
            <w:tcBorders>
              <w:top w:val="nil"/>
              <w:left w:val="nil"/>
              <w:bottom w:val="nil"/>
              <w:right w:val="nil"/>
            </w:tcBorders>
            <w:shd w:val="clear" w:color="auto" w:fill="auto"/>
            <w:noWrap/>
            <w:vAlign w:val="bottom"/>
          </w:tcPr>
          <w:p w14:paraId="0A8B06B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-.0288</w:t>
            </w:r>
          </w:p>
        </w:tc>
        <w:tc>
          <w:tcPr>
            <w:tcW w:w="0" w:type="auto"/>
            <w:tcBorders>
              <w:top w:val="nil"/>
              <w:left w:val="nil"/>
              <w:bottom w:val="nil"/>
              <w:right w:val="nil"/>
            </w:tcBorders>
            <w:shd w:val="clear" w:color="auto" w:fill="auto"/>
            <w:noWrap/>
            <w:vAlign w:val="bottom"/>
          </w:tcPr>
          <w:p w14:paraId="128E298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-.00501</w:t>
            </w:r>
          </w:p>
        </w:tc>
        <w:tc>
          <w:tcPr>
            <w:tcW w:w="0" w:type="auto"/>
            <w:tcBorders>
              <w:top w:val="nil"/>
              <w:left w:val="nil"/>
              <w:bottom w:val="nil"/>
              <w:right w:val="nil"/>
            </w:tcBorders>
            <w:shd w:val="clear" w:color="auto" w:fill="auto"/>
            <w:noWrap/>
            <w:vAlign w:val="bottom"/>
          </w:tcPr>
          <w:p w14:paraId="72DAC6C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.0144</w:t>
            </w:r>
          </w:p>
        </w:tc>
        <w:tc>
          <w:tcPr>
            <w:tcW w:w="0" w:type="auto"/>
            <w:tcBorders>
              <w:top w:val="nil"/>
              <w:left w:val="nil"/>
              <w:bottom w:val="nil"/>
              <w:right w:val="nil"/>
            </w:tcBorders>
            <w:shd w:val="clear" w:color="auto" w:fill="auto"/>
            <w:noWrap/>
            <w:vAlign w:val="bottom"/>
          </w:tcPr>
          <w:p w14:paraId="4E0796E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.0277***</w:t>
            </w:r>
          </w:p>
        </w:tc>
      </w:tr>
      <w:tr w:rsidR="00DF2657" w:rsidRPr="00B672D5" w14:paraId="666CE669"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2E125DBF"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11A33A9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(.0224)</w:t>
            </w:r>
          </w:p>
        </w:tc>
        <w:tc>
          <w:tcPr>
            <w:tcW w:w="0" w:type="auto"/>
            <w:tcBorders>
              <w:top w:val="nil"/>
              <w:left w:val="nil"/>
              <w:bottom w:val="nil"/>
              <w:right w:val="nil"/>
            </w:tcBorders>
            <w:shd w:val="clear" w:color="auto" w:fill="auto"/>
            <w:noWrap/>
            <w:vAlign w:val="bottom"/>
          </w:tcPr>
          <w:p w14:paraId="3E0B49E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(.0128)</w:t>
            </w:r>
          </w:p>
        </w:tc>
        <w:tc>
          <w:tcPr>
            <w:tcW w:w="0" w:type="auto"/>
            <w:tcBorders>
              <w:top w:val="nil"/>
              <w:left w:val="nil"/>
              <w:bottom w:val="nil"/>
              <w:right w:val="nil"/>
            </w:tcBorders>
            <w:shd w:val="clear" w:color="auto" w:fill="auto"/>
            <w:noWrap/>
            <w:vAlign w:val="bottom"/>
          </w:tcPr>
          <w:p w14:paraId="52202D9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(.00996)</w:t>
            </w:r>
          </w:p>
        </w:tc>
        <w:tc>
          <w:tcPr>
            <w:tcW w:w="0" w:type="auto"/>
            <w:tcBorders>
              <w:top w:val="nil"/>
              <w:left w:val="nil"/>
              <w:bottom w:val="nil"/>
              <w:right w:val="nil"/>
            </w:tcBorders>
            <w:shd w:val="clear" w:color="auto" w:fill="auto"/>
            <w:noWrap/>
            <w:vAlign w:val="bottom"/>
          </w:tcPr>
          <w:p w14:paraId="3780E20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(.00857)</w:t>
            </w:r>
          </w:p>
        </w:tc>
      </w:tr>
      <w:tr w:rsidR="00DF2657" w:rsidRPr="00B672D5" w14:paraId="3DBD5C34"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AD0343D"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0" w:type="auto"/>
            <w:tcBorders>
              <w:top w:val="nil"/>
              <w:left w:val="nil"/>
              <w:bottom w:val="nil"/>
              <w:right w:val="nil"/>
            </w:tcBorders>
            <w:shd w:val="clear" w:color="auto" w:fill="auto"/>
            <w:noWrap/>
            <w:vAlign w:val="bottom"/>
          </w:tcPr>
          <w:p w14:paraId="20711028"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-.0334**</w:t>
            </w:r>
          </w:p>
        </w:tc>
        <w:tc>
          <w:tcPr>
            <w:tcW w:w="0" w:type="auto"/>
            <w:tcBorders>
              <w:top w:val="nil"/>
              <w:left w:val="nil"/>
              <w:bottom w:val="nil"/>
              <w:right w:val="nil"/>
            </w:tcBorders>
            <w:shd w:val="clear" w:color="auto" w:fill="auto"/>
            <w:noWrap/>
            <w:vAlign w:val="bottom"/>
          </w:tcPr>
          <w:p w14:paraId="2C859C1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.00167</w:t>
            </w:r>
          </w:p>
        </w:tc>
        <w:tc>
          <w:tcPr>
            <w:tcW w:w="0" w:type="auto"/>
            <w:tcBorders>
              <w:top w:val="nil"/>
              <w:left w:val="nil"/>
              <w:bottom w:val="nil"/>
              <w:right w:val="nil"/>
            </w:tcBorders>
            <w:shd w:val="clear" w:color="auto" w:fill="auto"/>
            <w:noWrap/>
            <w:vAlign w:val="bottom"/>
          </w:tcPr>
          <w:p w14:paraId="1CC1AB6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.000228</w:t>
            </w:r>
          </w:p>
        </w:tc>
        <w:tc>
          <w:tcPr>
            <w:tcW w:w="0" w:type="auto"/>
            <w:tcBorders>
              <w:top w:val="nil"/>
              <w:left w:val="nil"/>
              <w:bottom w:val="nil"/>
              <w:right w:val="nil"/>
            </w:tcBorders>
            <w:shd w:val="clear" w:color="auto" w:fill="auto"/>
            <w:noWrap/>
            <w:vAlign w:val="bottom"/>
          </w:tcPr>
          <w:p w14:paraId="4CD90C6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-.00129</w:t>
            </w:r>
          </w:p>
        </w:tc>
      </w:tr>
      <w:tr w:rsidR="00DF2657" w:rsidRPr="00B672D5" w14:paraId="67293EDB"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248704BE"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6ACDBC4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(.0144)</w:t>
            </w:r>
          </w:p>
        </w:tc>
        <w:tc>
          <w:tcPr>
            <w:tcW w:w="0" w:type="auto"/>
            <w:tcBorders>
              <w:top w:val="nil"/>
              <w:left w:val="nil"/>
              <w:bottom w:val="nil"/>
              <w:right w:val="nil"/>
            </w:tcBorders>
            <w:shd w:val="clear" w:color="auto" w:fill="auto"/>
            <w:noWrap/>
            <w:vAlign w:val="bottom"/>
          </w:tcPr>
          <w:p w14:paraId="71BD903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(.0053</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105186E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(.00349)</w:t>
            </w:r>
          </w:p>
        </w:tc>
        <w:tc>
          <w:tcPr>
            <w:tcW w:w="0" w:type="auto"/>
            <w:tcBorders>
              <w:top w:val="nil"/>
              <w:left w:val="nil"/>
              <w:bottom w:val="nil"/>
              <w:right w:val="nil"/>
            </w:tcBorders>
            <w:shd w:val="clear" w:color="auto" w:fill="auto"/>
            <w:noWrap/>
            <w:vAlign w:val="bottom"/>
          </w:tcPr>
          <w:p w14:paraId="22B0794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(.00271)</w:t>
            </w:r>
          </w:p>
        </w:tc>
      </w:tr>
      <w:tr w:rsidR="00DF2657" w:rsidRPr="00B672D5" w14:paraId="4770993A"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45D3BE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0" w:type="auto"/>
            <w:tcBorders>
              <w:top w:val="nil"/>
              <w:left w:val="nil"/>
              <w:bottom w:val="nil"/>
              <w:right w:val="nil"/>
            </w:tcBorders>
            <w:shd w:val="clear" w:color="auto" w:fill="auto"/>
            <w:noWrap/>
            <w:vAlign w:val="bottom"/>
          </w:tcPr>
          <w:p w14:paraId="77CF559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w:t>
            </w:r>
            <w:r w:rsidR="005F3401">
              <w:rPr>
                <w:rFonts w:ascii="Calibri" w:hAnsi="Calibri" w:cs="Calibri"/>
                <w:sz w:val="20"/>
                <w:szCs w:val="20"/>
              </w:rPr>
              <w:t>0</w:t>
            </w:r>
          </w:p>
        </w:tc>
        <w:tc>
          <w:tcPr>
            <w:tcW w:w="0" w:type="auto"/>
            <w:tcBorders>
              <w:top w:val="nil"/>
              <w:left w:val="nil"/>
              <w:bottom w:val="nil"/>
              <w:right w:val="nil"/>
            </w:tcBorders>
            <w:shd w:val="clear" w:color="auto" w:fill="auto"/>
            <w:noWrap/>
            <w:vAlign w:val="bottom"/>
          </w:tcPr>
          <w:p w14:paraId="68148CA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-.153**</w:t>
            </w:r>
          </w:p>
        </w:tc>
        <w:tc>
          <w:tcPr>
            <w:tcW w:w="0" w:type="auto"/>
            <w:tcBorders>
              <w:top w:val="nil"/>
              <w:left w:val="nil"/>
              <w:bottom w:val="nil"/>
              <w:right w:val="nil"/>
            </w:tcBorders>
            <w:shd w:val="clear" w:color="auto" w:fill="auto"/>
            <w:noWrap/>
            <w:vAlign w:val="bottom"/>
          </w:tcPr>
          <w:p w14:paraId="7764BF0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-.126**</w:t>
            </w:r>
          </w:p>
        </w:tc>
        <w:tc>
          <w:tcPr>
            <w:tcW w:w="0" w:type="auto"/>
            <w:tcBorders>
              <w:top w:val="nil"/>
              <w:left w:val="nil"/>
              <w:bottom w:val="nil"/>
              <w:right w:val="nil"/>
            </w:tcBorders>
            <w:shd w:val="clear" w:color="auto" w:fill="auto"/>
            <w:noWrap/>
            <w:vAlign w:val="bottom"/>
          </w:tcPr>
          <w:p w14:paraId="6F02548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-.141***</w:t>
            </w:r>
          </w:p>
        </w:tc>
      </w:tr>
      <w:tr w:rsidR="00DF2657" w:rsidRPr="00B672D5" w14:paraId="4F61CA37"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45B3211C" w14:textId="77777777" w:rsidR="00DF2657" w:rsidRPr="00B672D5" w:rsidRDefault="00DF2657"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409FD4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(.099</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E453E1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(.0638)</w:t>
            </w:r>
          </w:p>
        </w:tc>
        <w:tc>
          <w:tcPr>
            <w:tcW w:w="0" w:type="auto"/>
            <w:tcBorders>
              <w:top w:val="nil"/>
              <w:left w:val="nil"/>
              <w:bottom w:val="nil"/>
              <w:right w:val="nil"/>
            </w:tcBorders>
            <w:shd w:val="clear" w:color="auto" w:fill="auto"/>
            <w:noWrap/>
            <w:vAlign w:val="bottom"/>
          </w:tcPr>
          <w:p w14:paraId="116AE66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(.054</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4D1590D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(.0503)</w:t>
            </w:r>
          </w:p>
        </w:tc>
      </w:tr>
      <w:tr w:rsidR="00DF2657" w:rsidRPr="00B672D5" w14:paraId="3B6DCABA" w14:textId="77777777" w:rsidTr="00E775FA">
        <w:trPr>
          <w:trHeight w:val="255"/>
          <w:jc w:val="center"/>
        </w:trPr>
        <w:tc>
          <w:tcPr>
            <w:tcW w:w="0" w:type="auto"/>
            <w:tcBorders>
              <w:top w:val="single" w:sz="4" w:space="0" w:color="auto"/>
              <w:left w:val="nil"/>
              <w:bottom w:val="nil"/>
              <w:right w:val="nil"/>
            </w:tcBorders>
            <w:shd w:val="clear" w:color="auto" w:fill="auto"/>
            <w:noWrap/>
            <w:vAlign w:val="bottom"/>
            <w:hideMark/>
          </w:tcPr>
          <w:p w14:paraId="75977878" w14:textId="77777777" w:rsidR="00DF2657" w:rsidRPr="00B672D5" w:rsidRDefault="00DF2657"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gridSpan w:val="4"/>
            <w:tcBorders>
              <w:top w:val="single" w:sz="4" w:space="0" w:color="auto"/>
              <w:left w:val="nil"/>
              <w:bottom w:val="nil"/>
              <w:right w:val="nil"/>
            </w:tcBorders>
            <w:shd w:val="clear" w:color="auto" w:fill="auto"/>
            <w:noWrap/>
            <w:vAlign w:val="bottom"/>
            <w:hideMark/>
          </w:tcPr>
          <w:p w14:paraId="4EF5814A"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xml:space="preserve">Probability of </w:t>
            </w:r>
            <w:r>
              <w:rPr>
                <w:rFonts w:ascii="Calibri" w:eastAsia="Times New Roman" w:hAnsi="Calibri" w:cs="Calibri"/>
                <w:sz w:val="20"/>
                <w:szCs w:val="20"/>
              </w:rPr>
              <w:t>p</w:t>
            </w:r>
            <w:r w:rsidRPr="00B672D5">
              <w:rPr>
                <w:rFonts w:ascii="Calibri" w:eastAsia="Times New Roman" w:hAnsi="Calibri" w:cs="Calibri"/>
                <w:sz w:val="20"/>
                <w:szCs w:val="20"/>
              </w:rPr>
              <w:t>repayment</w:t>
            </w:r>
          </w:p>
        </w:tc>
      </w:tr>
      <w:tr w:rsidR="00DF2657" w:rsidRPr="00B672D5" w14:paraId="34270319" w14:textId="77777777" w:rsidTr="00E775FA">
        <w:trPr>
          <w:trHeight w:val="255"/>
          <w:jc w:val="center"/>
        </w:trPr>
        <w:tc>
          <w:tcPr>
            <w:tcW w:w="0" w:type="auto"/>
            <w:tcBorders>
              <w:top w:val="nil"/>
              <w:left w:val="nil"/>
              <w:right w:val="nil"/>
            </w:tcBorders>
            <w:shd w:val="clear" w:color="auto" w:fill="auto"/>
            <w:noWrap/>
            <w:vAlign w:val="bottom"/>
            <w:hideMark/>
          </w:tcPr>
          <w:p w14:paraId="7E07090C" w14:textId="77777777" w:rsidR="00DF2657" w:rsidRPr="00B672D5" w:rsidRDefault="00DF2657" w:rsidP="009D6779">
            <w:pPr>
              <w:spacing w:after="0" w:line="240" w:lineRule="auto"/>
              <w:contextualSpacing/>
              <w:jc w:val="center"/>
              <w:rPr>
                <w:rFonts w:ascii="Calibri" w:eastAsia="Times New Roman" w:hAnsi="Calibri" w:cs="Calibri"/>
                <w:sz w:val="18"/>
                <w:szCs w:val="18"/>
              </w:rPr>
            </w:pPr>
            <w:r w:rsidRPr="00B672D5">
              <w:rPr>
                <w:rFonts w:ascii="Calibri" w:eastAsia="Times New Roman" w:hAnsi="Calibri" w:cs="Calibri"/>
                <w:sz w:val="18"/>
                <w:szCs w:val="18"/>
              </w:rPr>
              <w:t> </w:t>
            </w:r>
          </w:p>
        </w:tc>
        <w:tc>
          <w:tcPr>
            <w:tcW w:w="0" w:type="auto"/>
            <w:tcBorders>
              <w:top w:val="nil"/>
              <w:left w:val="nil"/>
              <w:right w:val="nil"/>
            </w:tcBorders>
            <w:shd w:val="clear" w:color="auto" w:fill="auto"/>
            <w:noWrap/>
            <w:vAlign w:val="bottom"/>
            <w:hideMark/>
          </w:tcPr>
          <w:p w14:paraId="6EF31C80"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One year</w:t>
            </w:r>
          </w:p>
        </w:tc>
        <w:tc>
          <w:tcPr>
            <w:tcW w:w="0" w:type="auto"/>
            <w:tcBorders>
              <w:top w:val="nil"/>
              <w:left w:val="nil"/>
              <w:right w:val="nil"/>
            </w:tcBorders>
            <w:shd w:val="clear" w:color="auto" w:fill="auto"/>
            <w:noWrap/>
            <w:vAlign w:val="bottom"/>
            <w:hideMark/>
          </w:tcPr>
          <w:p w14:paraId="7F99402D"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Two years</w:t>
            </w:r>
          </w:p>
        </w:tc>
        <w:tc>
          <w:tcPr>
            <w:tcW w:w="0" w:type="auto"/>
            <w:tcBorders>
              <w:top w:val="nil"/>
              <w:left w:val="nil"/>
              <w:right w:val="nil"/>
            </w:tcBorders>
            <w:shd w:val="clear" w:color="auto" w:fill="auto"/>
            <w:noWrap/>
            <w:vAlign w:val="bottom"/>
            <w:hideMark/>
          </w:tcPr>
          <w:p w14:paraId="353FEAEB"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Three years</w:t>
            </w:r>
          </w:p>
        </w:tc>
        <w:tc>
          <w:tcPr>
            <w:tcW w:w="0" w:type="auto"/>
            <w:tcBorders>
              <w:top w:val="nil"/>
              <w:left w:val="nil"/>
              <w:right w:val="nil"/>
            </w:tcBorders>
            <w:shd w:val="clear" w:color="auto" w:fill="auto"/>
            <w:noWrap/>
            <w:vAlign w:val="bottom"/>
            <w:hideMark/>
          </w:tcPr>
          <w:p w14:paraId="70241ADA"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Four years</w:t>
            </w:r>
          </w:p>
        </w:tc>
      </w:tr>
      <w:tr w:rsidR="00DF2657" w:rsidRPr="00B672D5" w14:paraId="581250FE" w14:textId="77777777" w:rsidTr="00E775FA">
        <w:trPr>
          <w:trHeight w:val="255"/>
          <w:jc w:val="center"/>
        </w:trPr>
        <w:tc>
          <w:tcPr>
            <w:tcW w:w="0" w:type="auto"/>
            <w:tcBorders>
              <w:top w:val="nil"/>
              <w:left w:val="nil"/>
              <w:bottom w:val="single" w:sz="4" w:space="0" w:color="auto"/>
              <w:right w:val="nil"/>
            </w:tcBorders>
            <w:shd w:val="clear" w:color="auto" w:fill="auto"/>
            <w:noWrap/>
            <w:vAlign w:val="bottom"/>
            <w:hideMark/>
          </w:tcPr>
          <w:p w14:paraId="57AEB11E"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hideMark/>
          </w:tcPr>
          <w:p w14:paraId="63CDC056"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bottom"/>
            <w:hideMark/>
          </w:tcPr>
          <w:p w14:paraId="6758876B"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bottom"/>
            <w:hideMark/>
          </w:tcPr>
          <w:p w14:paraId="4A500E74"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(3)</w:t>
            </w:r>
          </w:p>
        </w:tc>
        <w:tc>
          <w:tcPr>
            <w:tcW w:w="0" w:type="auto"/>
            <w:tcBorders>
              <w:top w:val="nil"/>
              <w:left w:val="nil"/>
              <w:bottom w:val="single" w:sz="4" w:space="0" w:color="auto"/>
              <w:right w:val="nil"/>
            </w:tcBorders>
            <w:shd w:val="clear" w:color="auto" w:fill="auto"/>
            <w:noWrap/>
            <w:vAlign w:val="bottom"/>
            <w:hideMark/>
          </w:tcPr>
          <w:p w14:paraId="7C475845"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w:t>
            </w:r>
            <w:r w:rsidR="00152138">
              <w:rPr>
                <w:rFonts w:ascii="Calibri" w:eastAsia="Times New Roman" w:hAnsi="Calibri" w:cs="Calibri"/>
                <w:sz w:val="20"/>
                <w:szCs w:val="20"/>
              </w:rPr>
              <w:t>4</w:t>
            </w:r>
            <w:r w:rsidRPr="00B672D5">
              <w:rPr>
                <w:rFonts w:ascii="Calibri" w:eastAsia="Times New Roman" w:hAnsi="Calibri" w:cs="Calibri"/>
                <w:sz w:val="20"/>
                <w:szCs w:val="20"/>
              </w:rPr>
              <w:t>)</w:t>
            </w:r>
          </w:p>
        </w:tc>
      </w:tr>
      <w:tr w:rsidR="00DF2657" w:rsidRPr="00B672D5" w14:paraId="70879F59" w14:textId="77777777" w:rsidTr="00E775FA">
        <w:trPr>
          <w:trHeight w:val="255"/>
          <w:jc w:val="center"/>
        </w:trPr>
        <w:tc>
          <w:tcPr>
            <w:tcW w:w="0" w:type="auto"/>
            <w:tcBorders>
              <w:top w:val="single" w:sz="4" w:space="0" w:color="auto"/>
              <w:left w:val="nil"/>
              <w:bottom w:val="nil"/>
              <w:right w:val="nil"/>
            </w:tcBorders>
            <w:shd w:val="clear" w:color="auto" w:fill="auto"/>
            <w:noWrap/>
            <w:vAlign w:val="bottom"/>
            <w:hideMark/>
          </w:tcPr>
          <w:p w14:paraId="51B9F8EA"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single" w:sz="4" w:space="0" w:color="auto"/>
              <w:left w:val="nil"/>
              <w:bottom w:val="nil"/>
              <w:right w:val="nil"/>
            </w:tcBorders>
            <w:shd w:val="clear" w:color="auto" w:fill="auto"/>
            <w:noWrap/>
            <w:vAlign w:val="bottom"/>
          </w:tcPr>
          <w:p w14:paraId="668EFE4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.0492</w:t>
            </w:r>
          </w:p>
        </w:tc>
        <w:tc>
          <w:tcPr>
            <w:tcW w:w="0" w:type="auto"/>
            <w:tcBorders>
              <w:top w:val="single" w:sz="4" w:space="0" w:color="auto"/>
              <w:left w:val="nil"/>
              <w:bottom w:val="nil"/>
              <w:right w:val="nil"/>
            </w:tcBorders>
            <w:shd w:val="clear" w:color="auto" w:fill="auto"/>
            <w:noWrap/>
            <w:vAlign w:val="bottom"/>
          </w:tcPr>
          <w:p w14:paraId="16BDB86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.00398</w:t>
            </w:r>
          </w:p>
        </w:tc>
        <w:tc>
          <w:tcPr>
            <w:tcW w:w="0" w:type="auto"/>
            <w:tcBorders>
              <w:top w:val="single" w:sz="4" w:space="0" w:color="auto"/>
              <w:left w:val="nil"/>
              <w:bottom w:val="nil"/>
              <w:right w:val="nil"/>
            </w:tcBorders>
            <w:shd w:val="clear" w:color="auto" w:fill="auto"/>
            <w:noWrap/>
            <w:vAlign w:val="bottom"/>
          </w:tcPr>
          <w:p w14:paraId="0757C2E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-.00252</w:t>
            </w:r>
          </w:p>
        </w:tc>
        <w:tc>
          <w:tcPr>
            <w:tcW w:w="0" w:type="auto"/>
            <w:tcBorders>
              <w:top w:val="single" w:sz="4" w:space="0" w:color="auto"/>
              <w:left w:val="nil"/>
              <w:bottom w:val="nil"/>
              <w:right w:val="nil"/>
            </w:tcBorders>
            <w:shd w:val="clear" w:color="auto" w:fill="auto"/>
            <w:noWrap/>
            <w:vAlign w:val="bottom"/>
          </w:tcPr>
          <w:p w14:paraId="4CDDB578"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.0147</w:t>
            </w:r>
          </w:p>
        </w:tc>
      </w:tr>
      <w:tr w:rsidR="00DF2657" w:rsidRPr="00B672D5" w14:paraId="2C3C12FC"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DF9029C"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4E5D61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(.0491)</w:t>
            </w:r>
          </w:p>
        </w:tc>
        <w:tc>
          <w:tcPr>
            <w:tcW w:w="0" w:type="auto"/>
            <w:tcBorders>
              <w:top w:val="nil"/>
              <w:left w:val="nil"/>
              <w:bottom w:val="nil"/>
              <w:right w:val="nil"/>
            </w:tcBorders>
            <w:shd w:val="clear" w:color="auto" w:fill="auto"/>
            <w:noWrap/>
            <w:vAlign w:val="bottom"/>
          </w:tcPr>
          <w:p w14:paraId="30530BC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(.0318)</w:t>
            </w:r>
          </w:p>
        </w:tc>
        <w:tc>
          <w:tcPr>
            <w:tcW w:w="0" w:type="auto"/>
            <w:tcBorders>
              <w:top w:val="nil"/>
              <w:left w:val="nil"/>
              <w:bottom w:val="nil"/>
              <w:right w:val="nil"/>
            </w:tcBorders>
            <w:shd w:val="clear" w:color="auto" w:fill="auto"/>
            <w:noWrap/>
            <w:vAlign w:val="bottom"/>
          </w:tcPr>
          <w:p w14:paraId="7CF74F1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(.0285)</w:t>
            </w:r>
          </w:p>
        </w:tc>
        <w:tc>
          <w:tcPr>
            <w:tcW w:w="0" w:type="auto"/>
            <w:tcBorders>
              <w:top w:val="nil"/>
              <w:left w:val="nil"/>
              <w:bottom w:val="nil"/>
              <w:right w:val="nil"/>
            </w:tcBorders>
            <w:shd w:val="clear" w:color="auto" w:fill="auto"/>
            <w:noWrap/>
            <w:vAlign w:val="bottom"/>
          </w:tcPr>
          <w:p w14:paraId="36A327D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(.0276)</w:t>
            </w:r>
          </w:p>
        </w:tc>
      </w:tr>
      <w:tr w:rsidR="00DF2657" w:rsidRPr="00B672D5" w14:paraId="3701BDAE"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7B12A0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tcPr>
          <w:p w14:paraId="02A56E1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-12.31***</w:t>
            </w:r>
          </w:p>
        </w:tc>
        <w:tc>
          <w:tcPr>
            <w:tcW w:w="0" w:type="auto"/>
            <w:tcBorders>
              <w:top w:val="nil"/>
              <w:left w:val="nil"/>
              <w:bottom w:val="nil"/>
              <w:right w:val="nil"/>
            </w:tcBorders>
            <w:shd w:val="clear" w:color="auto" w:fill="auto"/>
            <w:noWrap/>
            <w:vAlign w:val="bottom"/>
          </w:tcPr>
          <w:p w14:paraId="1F7E0AC8"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-.358</w:t>
            </w:r>
          </w:p>
        </w:tc>
        <w:tc>
          <w:tcPr>
            <w:tcW w:w="0" w:type="auto"/>
            <w:tcBorders>
              <w:top w:val="nil"/>
              <w:left w:val="nil"/>
              <w:bottom w:val="nil"/>
              <w:right w:val="nil"/>
            </w:tcBorders>
            <w:shd w:val="clear" w:color="auto" w:fill="auto"/>
            <w:noWrap/>
            <w:vAlign w:val="bottom"/>
          </w:tcPr>
          <w:p w14:paraId="41704FA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-.0676</w:t>
            </w:r>
          </w:p>
        </w:tc>
        <w:tc>
          <w:tcPr>
            <w:tcW w:w="0" w:type="auto"/>
            <w:tcBorders>
              <w:top w:val="nil"/>
              <w:left w:val="nil"/>
              <w:bottom w:val="nil"/>
              <w:right w:val="nil"/>
            </w:tcBorders>
            <w:shd w:val="clear" w:color="auto" w:fill="auto"/>
            <w:noWrap/>
            <w:vAlign w:val="bottom"/>
          </w:tcPr>
          <w:p w14:paraId="0CABD47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w:t>
            </w:r>
            <w:r w:rsidR="005F3401">
              <w:rPr>
                <w:rFonts w:ascii="Calibri" w:hAnsi="Calibri" w:cs="Calibri"/>
                <w:sz w:val="20"/>
                <w:szCs w:val="20"/>
              </w:rPr>
              <w:t>0</w:t>
            </w:r>
          </w:p>
        </w:tc>
      </w:tr>
      <w:tr w:rsidR="00DF2657" w:rsidRPr="00B672D5" w14:paraId="0A78EB3C"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58D692C0"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AC8C81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(1.018)</w:t>
            </w:r>
          </w:p>
        </w:tc>
        <w:tc>
          <w:tcPr>
            <w:tcW w:w="0" w:type="auto"/>
            <w:tcBorders>
              <w:top w:val="nil"/>
              <w:left w:val="nil"/>
              <w:bottom w:val="nil"/>
              <w:right w:val="nil"/>
            </w:tcBorders>
            <w:shd w:val="clear" w:color="auto" w:fill="auto"/>
            <w:noWrap/>
            <w:vAlign w:val="bottom"/>
          </w:tcPr>
          <w:p w14:paraId="43B0C2E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(1.123)</w:t>
            </w:r>
          </w:p>
        </w:tc>
        <w:tc>
          <w:tcPr>
            <w:tcW w:w="0" w:type="auto"/>
            <w:tcBorders>
              <w:top w:val="nil"/>
              <w:left w:val="nil"/>
              <w:bottom w:val="nil"/>
              <w:right w:val="nil"/>
            </w:tcBorders>
            <w:shd w:val="clear" w:color="auto" w:fill="auto"/>
            <w:noWrap/>
            <w:vAlign w:val="bottom"/>
          </w:tcPr>
          <w:p w14:paraId="6F3188E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(.504)</w:t>
            </w:r>
          </w:p>
        </w:tc>
        <w:tc>
          <w:tcPr>
            <w:tcW w:w="0" w:type="auto"/>
            <w:tcBorders>
              <w:top w:val="nil"/>
              <w:left w:val="nil"/>
              <w:bottom w:val="nil"/>
              <w:right w:val="nil"/>
            </w:tcBorders>
            <w:shd w:val="clear" w:color="auto" w:fill="auto"/>
            <w:noWrap/>
            <w:vAlign w:val="bottom"/>
          </w:tcPr>
          <w:p w14:paraId="5A5F061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(.277)</w:t>
            </w:r>
          </w:p>
        </w:tc>
      </w:tr>
      <w:tr w:rsidR="00DF2657" w:rsidRPr="00B672D5" w14:paraId="624D504B"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5BE5189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tcPr>
          <w:p w14:paraId="7EED30B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.882***</w:t>
            </w:r>
          </w:p>
        </w:tc>
        <w:tc>
          <w:tcPr>
            <w:tcW w:w="0" w:type="auto"/>
            <w:tcBorders>
              <w:top w:val="nil"/>
              <w:left w:val="nil"/>
              <w:bottom w:val="nil"/>
              <w:right w:val="nil"/>
            </w:tcBorders>
            <w:shd w:val="clear" w:color="auto" w:fill="auto"/>
            <w:noWrap/>
            <w:vAlign w:val="bottom"/>
          </w:tcPr>
          <w:p w14:paraId="6C73EBB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.475***</w:t>
            </w:r>
          </w:p>
        </w:tc>
        <w:tc>
          <w:tcPr>
            <w:tcW w:w="0" w:type="auto"/>
            <w:tcBorders>
              <w:top w:val="nil"/>
              <w:left w:val="nil"/>
              <w:bottom w:val="nil"/>
              <w:right w:val="nil"/>
            </w:tcBorders>
            <w:shd w:val="clear" w:color="auto" w:fill="auto"/>
            <w:noWrap/>
            <w:vAlign w:val="bottom"/>
          </w:tcPr>
          <w:p w14:paraId="3626037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.367***</w:t>
            </w:r>
          </w:p>
        </w:tc>
        <w:tc>
          <w:tcPr>
            <w:tcW w:w="0" w:type="auto"/>
            <w:tcBorders>
              <w:top w:val="nil"/>
              <w:left w:val="nil"/>
              <w:bottom w:val="nil"/>
              <w:right w:val="nil"/>
            </w:tcBorders>
            <w:shd w:val="clear" w:color="auto" w:fill="auto"/>
            <w:noWrap/>
            <w:vAlign w:val="bottom"/>
          </w:tcPr>
          <w:p w14:paraId="6B6023E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.35</w:t>
            </w:r>
            <w:r w:rsidR="005F3401">
              <w:rPr>
                <w:rFonts w:ascii="Calibri" w:hAnsi="Calibri" w:cs="Calibri"/>
                <w:sz w:val="20"/>
                <w:szCs w:val="20"/>
              </w:rPr>
              <w:t>0</w:t>
            </w:r>
            <w:r>
              <w:rPr>
                <w:rFonts w:ascii="Calibri" w:hAnsi="Calibri" w:cs="Calibri"/>
                <w:sz w:val="20"/>
                <w:szCs w:val="20"/>
              </w:rPr>
              <w:t>***</w:t>
            </w:r>
          </w:p>
        </w:tc>
      </w:tr>
      <w:tr w:rsidR="00DF2657" w:rsidRPr="00B672D5" w14:paraId="39A79E50"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4B0E3A44"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BDE278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(.292)</w:t>
            </w:r>
          </w:p>
        </w:tc>
        <w:tc>
          <w:tcPr>
            <w:tcW w:w="0" w:type="auto"/>
            <w:tcBorders>
              <w:top w:val="nil"/>
              <w:left w:val="nil"/>
              <w:bottom w:val="nil"/>
              <w:right w:val="nil"/>
            </w:tcBorders>
            <w:shd w:val="clear" w:color="auto" w:fill="auto"/>
            <w:noWrap/>
            <w:vAlign w:val="bottom"/>
          </w:tcPr>
          <w:p w14:paraId="14A05F29"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676F630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(.117)</w:t>
            </w:r>
          </w:p>
        </w:tc>
        <w:tc>
          <w:tcPr>
            <w:tcW w:w="0" w:type="auto"/>
            <w:tcBorders>
              <w:top w:val="nil"/>
              <w:left w:val="nil"/>
              <w:bottom w:val="nil"/>
              <w:right w:val="nil"/>
            </w:tcBorders>
            <w:shd w:val="clear" w:color="auto" w:fill="auto"/>
            <w:noWrap/>
            <w:vAlign w:val="bottom"/>
          </w:tcPr>
          <w:p w14:paraId="37364FF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(.0907)</w:t>
            </w:r>
          </w:p>
        </w:tc>
      </w:tr>
      <w:tr w:rsidR="00DF2657" w:rsidRPr="00B672D5" w14:paraId="6D8242D3"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6E71312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tcPr>
          <w:p w14:paraId="0776EFE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8DDF87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.000887</w:t>
            </w:r>
          </w:p>
        </w:tc>
        <w:tc>
          <w:tcPr>
            <w:tcW w:w="0" w:type="auto"/>
            <w:tcBorders>
              <w:top w:val="nil"/>
              <w:left w:val="nil"/>
              <w:bottom w:val="nil"/>
              <w:right w:val="nil"/>
            </w:tcBorders>
            <w:shd w:val="clear" w:color="auto" w:fill="auto"/>
            <w:noWrap/>
            <w:vAlign w:val="bottom"/>
          </w:tcPr>
          <w:p w14:paraId="7692942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.000889*</w:t>
            </w:r>
          </w:p>
        </w:tc>
        <w:tc>
          <w:tcPr>
            <w:tcW w:w="0" w:type="auto"/>
            <w:tcBorders>
              <w:top w:val="nil"/>
              <w:left w:val="nil"/>
              <w:bottom w:val="nil"/>
              <w:right w:val="nil"/>
            </w:tcBorders>
            <w:shd w:val="clear" w:color="auto" w:fill="auto"/>
            <w:noWrap/>
            <w:vAlign w:val="bottom"/>
          </w:tcPr>
          <w:p w14:paraId="704A4D3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.000864*</w:t>
            </w:r>
          </w:p>
        </w:tc>
      </w:tr>
      <w:tr w:rsidR="00DF2657" w:rsidRPr="00B672D5" w14:paraId="02CFB19E"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94A89DF"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B97F52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(.000861)</w:t>
            </w:r>
          </w:p>
        </w:tc>
        <w:tc>
          <w:tcPr>
            <w:tcW w:w="0" w:type="auto"/>
            <w:tcBorders>
              <w:top w:val="nil"/>
              <w:left w:val="nil"/>
              <w:bottom w:val="nil"/>
              <w:right w:val="nil"/>
            </w:tcBorders>
            <w:shd w:val="clear" w:color="auto" w:fill="auto"/>
            <w:noWrap/>
            <w:vAlign w:val="bottom"/>
          </w:tcPr>
          <w:p w14:paraId="0FA5659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(.000579)</w:t>
            </w:r>
          </w:p>
        </w:tc>
        <w:tc>
          <w:tcPr>
            <w:tcW w:w="0" w:type="auto"/>
            <w:tcBorders>
              <w:top w:val="nil"/>
              <w:left w:val="nil"/>
              <w:bottom w:val="nil"/>
              <w:right w:val="nil"/>
            </w:tcBorders>
            <w:shd w:val="clear" w:color="auto" w:fill="auto"/>
            <w:noWrap/>
            <w:vAlign w:val="bottom"/>
          </w:tcPr>
          <w:p w14:paraId="5736115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(.000515)</w:t>
            </w:r>
          </w:p>
        </w:tc>
        <w:tc>
          <w:tcPr>
            <w:tcW w:w="0" w:type="auto"/>
            <w:tcBorders>
              <w:top w:val="nil"/>
              <w:left w:val="nil"/>
              <w:bottom w:val="nil"/>
              <w:right w:val="nil"/>
            </w:tcBorders>
            <w:shd w:val="clear" w:color="auto" w:fill="auto"/>
            <w:noWrap/>
            <w:vAlign w:val="bottom"/>
          </w:tcPr>
          <w:p w14:paraId="504504A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(.00049</w:t>
            </w:r>
            <w:r w:rsidR="005F3401">
              <w:rPr>
                <w:rFonts w:ascii="Calibri" w:hAnsi="Calibri" w:cs="Calibri"/>
                <w:sz w:val="20"/>
                <w:szCs w:val="20"/>
              </w:rPr>
              <w:t>0</w:t>
            </w:r>
            <w:r>
              <w:rPr>
                <w:rFonts w:ascii="Calibri" w:hAnsi="Calibri" w:cs="Calibri"/>
                <w:sz w:val="20"/>
                <w:szCs w:val="20"/>
              </w:rPr>
              <w:t>)</w:t>
            </w:r>
          </w:p>
        </w:tc>
      </w:tr>
      <w:tr w:rsidR="00DF2657" w:rsidRPr="00B672D5" w14:paraId="5EF1B14A"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4DDAA0D"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CLTV</w:t>
            </w:r>
          </w:p>
        </w:tc>
        <w:tc>
          <w:tcPr>
            <w:tcW w:w="0" w:type="auto"/>
            <w:tcBorders>
              <w:top w:val="nil"/>
              <w:left w:val="nil"/>
              <w:bottom w:val="nil"/>
              <w:right w:val="nil"/>
            </w:tcBorders>
            <w:shd w:val="clear" w:color="auto" w:fill="auto"/>
            <w:noWrap/>
            <w:vAlign w:val="bottom"/>
          </w:tcPr>
          <w:p w14:paraId="76D1A2A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-.00631**</w:t>
            </w:r>
          </w:p>
        </w:tc>
        <w:tc>
          <w:tcPr>
            <w:tcW w:w="0" w:type="auto"/>
            <w:tcBorders>
              <w:top w:val="nil"/>
              <w:left w:val="nil"/>
              <w:bottom w:val="nil"/>
              <w:right w:val="nil"/>
            </w:tcBorders>
            <w:shd w:val="clear" w:color="auto" w:fill="auto"/>
            <w:noWrap/>
            <w:vAlign w:val="bottom"/>
          </w:tcPr>
          <w:p w14:paraId="6359705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-.00407**</w:t>
            </w:r>
          </w:p>
        </w:tc>
        <w:tc>
          <w:tcPr>
            <w:tcW w:w="0" w:type="auto"/>
            <w:tcBorders>
              <w:top w:val="nil"/>
              <w:left w:val="nil"/>
              <w:bottom w:val="nil"/>
              <w:right w:val="nil"/>
            </w:tcBorders>
            <w:shd w:val="clear" w:color="auto" w:fill="auto"/>
            <w:noWrap/>
            <w:vAlign w:val="bottom"/>
          </w:tcPr>
          <w:p w14:paraId="79371F0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-.00506***</w:t>
            </w:r>
          </w:p>
        </w:tc>
        <w:tc>
          <w:tcPr>
            <w:tcW w:w="0" w:type="auto"/>
            <w:tcBorders>
              <w:top w:val="nil"/>
              <w:left w:val="nil"/>
              <w:bottom w:val="nil"/>
              <w:right w:val="nil"/>
            </w:tcBorders>
            <w:shd w:val="clear" w:color="auto" w:fill="auto"/>
            <w:noWrap/>
            <w:vAlign w:val="bottom"/>
          </w:tcPr>
          <w:p w14:paraId="52AD570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-.00784***</w:t>
            </w:r>
          </w:p>
        </w:tc>
      </w:tr>
      <w:tr w:rsidR="00DF2657" w:rsidRPr="00B672D5" w14:paraId="3E6A0D92"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92B51B9"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0DEB315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(.00269)</w:t>
            </w:r>
          </w:p>
        </w:tc>
        <w:tc>
          <w:tcPr>
            <w:tcW w:w="0" w:type="auto"/>
            <w:tcBorders>
              <w:top w:val="nil"/>
              <w:left w:val="nil"/>
              <w:bottom w:val="nil"/>
              <w:right w:val="nil"/>
            </w:tcBorders>
            <w:shd w:val="clear" w:color="auto" w:fill="auto"/>
            <w:noWrap/>
            <w:vAlign w:val="bottom"/>
          </w:tcPr>
          <w:p w14:paraId="12D1090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(.00174)</w:t>
            </w:r>
          </w:p>
        </w:tc>
        <w:tc>
          <w:tcPr>
            <w:tcW w:w="0" w:type="auto"/>
            <w:tcBorders>
              <w:top w:val="nil"/>
              <w:left w:val="nil"/>
              <w:bottom w:val="nil"/>
              <w:right w:val="nil"/>
            </w:tcBorders>
            <w:shd w:val="clear" w:color="auto" w:fill="auto"/>
            <w:noWrap/>
            <w:vAlign w:val="bottom"/>
          </w:tcPr>
          <w:p w14:paraId="78537E38"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(.00142)</w:t>
            </w:r>
          </w:p>
        </w:tc>
        <w:tc>
          <w:tcPr>
            <w:tcW w:w="0" w:type="auto"/>
            <w:tcBorders>
              <w:top w:val="nil"/>
              <w:left w:val="nil"/>
              <w:bottom w:val="nil"/>
              <w:right w:val="nil"/>
            </w:tcBorders>
            <w:shd w:val="clear" w:color="auto" w:fill="auto"/>
            <w:noWrap/>
            <w:vAlign w:val="bottom"/>
          </w:tcPr>
          <w:p w14:paraId="361E2B2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(.00128)</w:t>
            </w:r>
          </w:p>
        </w:tc>
      </w:tr>
      <w:tr w:rsidR="006751BB" w:rsidRPr="00B672D5" w14:paraId="1F1D066F"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5977FCC"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w:t>
            </w:r>
          </w:p>
        </w:tc>
        <w:tc>
          <w:tcPr>
            <w:tcW w:w="0" w:type="auto"/>
            <w:tcBorders>
              <w:top w:val="nil"/>
              <w:left w:val="nil"/>
              <w:bottom w:val="nil"/>
              <w:right w:val="nil"/>
            </w:tcBorders>
            <w:shd w:val="clear" w:color="auto" w:fill="auto"/>
            <w:noWrap/>
            <w:vAlign w:val="bottom"/>
          </w:tcPr>
          <w:p w14:paraId="200E5BD9"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.450***</w:t>
            </w:r>
          </w:p>
        </w:tc>
        <w:tc>
          <w:tcPr>
            <w:tcW w:w="0" w:type="auto"/>
            <w:tcBorders>
              <w:top w:val="nil"/>
              <w:left w:val="nil"/>
              <w:bottom w:val="nil"/>
              <w:right w:val="nil"/>
            </w:tcBorders>
            <w:shd w:val="clear" w:color="auto" w:fill="auto"/>
            <w:noWrap/>
            <w:vAlign w:val="bottom"/>
          </w:tcPr>
          <w:p w14:paraId="61E66A26"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.309***</w:t>
            </w:r>
          </w:p>
        </w:tc>
        <w:tc>
          <w:tcPr>
            <w:tcW w:w="0" w:type="auto"/>
            <w:tcBorders>
              <w:top w:val="nil"/>
              <w:left w:val="nil"/>
              <w:bottom w:val="nil"/>
              <w:right w:val="nil"/>
            </w:tcBorders>
            <w:shd w:val="clear" w:color="auto" w:fill="auto"/>
            <w:noWrap/>
            <w:vAlign w:val="bottom"/>
          </w:tcPr>
          <w:p w14:paraId="5F83173C"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.185***</w:t>
            </w:r>
          </w:p>
        </w:tc>
        <w:tc>
          <w:tcPr>
            <w:tcW w:w="0" w:type="auto"/>
            <w:tcBorders>
              <w:top w:val="nil"/>
              <w:left w:val="nil"/>
              <w:bottom w:val="nil"/>
              <w:right w:val="nil"/>
            </w:tcBorders>
            <w:shd w:val="clear" w:color="auto" w:fill="auto"/>
            <w:noWrap/>
            <w:vAlign w:val="bottom"/>
          </w:tcPr>
          <w:p w14:paraId="431F340F"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.126***</w:t>
            </w:r>
          </w:p>
        </w:tc>
      </w:tr>
      <w:tr w:rsidR="006751BB" w:rsidRPr="00B672D5" w14:paraId="7AC97750"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78C81C7"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45B84A3"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(.0324)</w:t>
            </w:r>
          </w:p>
        </w:tc>
        <w:tc>
          <w:tcPr>
            <w:tcW w:w="0" w:type="auto"/>
            <w:tcBorders>
              <w:top w:val="nil"/>
              <w:left w:val="nil"/>
              <w:bottom w:val="nil"/>
              <w:right w:val="nil"/>
            </w:tcBorders>
            <w:shd w:val="clear" w:color="auto" w:fill="auto"/>
            <w:noWrap/>
            <w:vAlign w:val="bottom"/>
          </w:tcPr>
          <w:p w14:paraId="65FC36C8"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(.0111)</w:t>
            </w:r>
          </w:p>
        </w:tc>
        <w:tc>
          <w:tcPr>
            <w:tcW w:w="0" w:type="auto"/>
            <w:tcBorders>
              <w:top w:val="nil"/>
              <w:left w:val="nil"/>
              <w:bottom w:val="nil"/>
              <w:right w:val="nil"/>
            </w:tcBorders>
            <w:shd w:val="clear" w:color="auto" w:fill="auto"/>
            <w:noWrap/>
            <w:vAlign w:val="bottom"/>
          </w:tcPr>
          <w:p w14:paraId="17CE8122"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(.00602)</w:t>
            </w:r>
          </w:p>
        </w:tc>
        <w:tc>
          <w:tcPr>
            <w:tcW w:w="0" w:type="auto"/>
            <w:tcBorders>
              <w:top w:val="nil"/>
              <w:left w:val="nil"/>
              <w:bottom w:val="nil"/>
              <w:right w:val="nil"/>
            </w:tcBorders>
            <w:shd w:val="clear" w:color="auto" w:fill="auto"/>
            <w:noWrap/>
            <w:vAlign w:val="bottom"/>
          </w:tcPr>
          <w:p w14:paraId="683CAD19"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(.00421)</w:t>
            </w:r>
          </w:p>
        </w:tc>
      </w:tr>
      <w:tr w:rsidR="006751BB" w:rsidRPr="00B672D5" w14:paraId="40C2B08A"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DF33319"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Loan</w:t>
            </w:r>
            <w:r w:rsidRPr="004961A2">
              <w:rPr>
                <w:rFonts w:ascii="Calibri" w:eastAsia="Times New Roman" w:hAnsi="Calibri" w:cs="Calibri"/>
                <w:i/>
                <w:sz w:val="20"/>
                <w:szCs w:val="20"/>
              </w:rPr>
              <w:t>Age^2</w:t>
            </w:r>
          </w:p>
        </w:tc>
        <w:tc>
          <w:tcPr>
            <w:tcW w:w="0" w:type="auto"/>
            <w:tcBorders>
              <w:top w:val="nil"/>
              <w:left w:val="nil"/>
              <w:bottom w:val="nil"/>
              <w:right w:val="nil"/>
            </w:tcBorders>
            <w:shd w:val="clear" w:color="auto" w:fill="auto"/>
            <w:noWrap/>
            <w:vAlign w:val="bottom"/>
          </w:tcPr>
          <w:p w14:paraId="15FC0374"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-.0179***</w:t>
            </w:r>
          </w:p>
        </w:tc>
        <w:tc>
          <w:tcPr>
            <w:tcW w:w="0" w:type="auto"/>
            <w:tcBorders>
              <w:top w:val="nil"/>
              <w:left w:val="nil"/>
              <w:bottom w:val="nil"/>
              <w:right w:val="nil"/>
            </w:tcBorders>
            <w:shd w:val="clear" w:color="auto" w:fill="auto"/>
            <w:noWrap/>
            <w:vAlign w:val="bottom"/>
          </w:tcPr>
          <w:p w14:paraId="001D238E"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-.00970***</w:t>
            </w:r>
          </w:p>
        </w:tc>
        <w:tc>
          <w:tcPr>
            <w:tcW w:w="0" w:type="auto"/>
            <w:tcBorders>
              <w:top w:val="nil"/>
              <w:left w:val="nil"/>
              <w:bottom w:val="nil"/>
              <w:right w:val="nil"/>
            </w:tcBorders>
            <w:shd w:val="clear" w:color="auto" w:fill="auto"/>
            <w:noWrap/>
            <w:vAlign w:val="bottom"/>
          </w:tcPr>
          <w:p w14:paraId="78E9AAB7"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-.00468***</w:t>
            </w:r>
          </w:p>
        </w:tc>
        <w:tc>
          <w:tcPr>
            <w:tcW w:w="0" w:type="auto"/>
            <w:tcBorders>
              <w:top w:val="nil"/>
              <w:left w:val="nil"/>
              <w:bottom w:val="nil"/>
              <w:right w:val="nil"/>
            </w:tcBorders>
            <w:shd w:val="clear" w:color="auto" w:fill="auto"/>
            <w:noWrap/>
            <w:vAlign w:val="bottom"/>
          </w:tcPr>
          <w:p w14:paraId="37472E29" w14:textId="77777777" w:rsidR="006751BB" w:rsidRPr="00533AA5"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-.00269***</w:t>
            </w:r>
          </w:p>
        </w:tc>
      </w:tr>
      <w:tr w:rsidR="00DF2657" w:rsidRPr="00B672D5" w14:paraId="7AD1661A"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7FB693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300169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(.00218)</w:t>
            </w:r>
          </w:p>
        </w:tc>
        <w:tc>
          <w:tcPr>
            <w:tcW w:w="0" w:type="auto"/>
            <w:tcBorders>
              <w:top w:val="nil"/>
              <w:left w:val="nil"/>
              <w:bottom w:val="nil"/>
              <w:right w:val="nil"/>
            </w:tcBorders>
            <w:shd w:val="clear" w:color="auto" w:fill="auto"/>
            <w:noWrap/>
            <w:vAlign w:val="bottom"/>
          </w:tcPr>
          <w:p w14:paraId="457017E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(.000398)</w:t>
            </w:r>
          </w:p>
        </w:tc>
        <w:tc>
          <w:tcPr>
            <w:tcW w:w="0" w:type="auto"/>
            <w:tcBorders>
              <w:top w:val="nil"/>
              <w:left w:val="nil"/>
              <w:bottom w:val="nil"/>
              <w:right w:val="nil"/>
            </w:tcBorders>
            <w:shd w:val="clear" w:color="auto" w:fill="auto"/>
            <w:noWrap/>
            <w:vAlign w:val="bottom"/>
          </w:tcPr>
          <w:p w14:paraId="7852638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(.000161)</w:t>
            </w:r>
          </w:p>
        </w:tc>
        <w:tc>
          <w:tcPr>
            <w:tcW w:w="0" w:type="auto"/>
            <w:tcBorders>
              <w:top w:val="nil"/>
              <w:left w:val="nil"/>
              <w:bottom w:val="nil"/>
              <w:right w:val="nil"/>
            </w:tcBorders>
            <w:shd w:val="clear" w:color="auto" w:fill="auto"/>
            <w:noWrap/>
            <w:vAlign w:val="bottom"/>
          </w:tcPr>
          <w:p w14:paraId="0BC0B44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(.0000931)</w:t>
            </w:r>
          </w:p>
        </w:tc>
      </w:tr>
      <w:tr w:rsidR="00DF2657" w:rsidRPr="00B672D5" w14:paraId="474770E2"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4E46F0E0"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RefiPenalty</w:t>
            </w:r>
          </w:p>
        </w:tc>
        <w:tc>
          <w:tcPr>
            <w:tcW w:w="0" w:type="auto"/>
            <w:tcBorders>
              <w:top w:val="nil"/>
              <w:left w:val="nil"/>
              <w:bottom w:val="nil"/>
              <w:right w:val="nil"/>
            </w:tcBorders>
            <w:shd w:val="clear" w:color="auto" w:fill="auto"/>
            <w:noWrap/>
            <w:vAlign w:val="bottom"/>
          </w:tcPr>
          <w:p w14:paraId="12939DE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-2.637***</w:t>
            </w:r>
          </w:p>
        </w:tc>
        <w:tc>
          <w:tcPr>
            <w:tcW w:w="0" w:type="auto"/>
            <w:tcBorders>
              <w:top w:val="nil"/>
              <w:left w:val="nil"/>
              <w:bottom w:val="nil"/>
              <w:right w:val="nil"/>
            </w:tcBorders>
            <w:shd w:val="clear" w:color="auto" w:fill="auto"/>
            <w:noWrap/>
            <w:vAlign w:val="bottom"/>
          </w:tcPr>
          <w:p w14:paraId="441DD9F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-3.399***</w:t>
            </w:r>
          </w:p>
        </w:tc>
        <w:tc>
          <w:tcPr>
            <w:tcW w:w="0" w:type="auto"/>
            <w:tcBorders>
              <w:top w:val="nil"/>
              <w:left w:val="nil"/>
              <w:bottom w:val="nil"/>
              <w:right w:val="nil"/>
            </w:tcBorders>
            <w:shd w:val="clear" w:color="auto" w:fill="auto"/>
            <w:noWrap/>
            <w:vAlign w:val="bottom"/>
          </w:tcPr>
          <w:p w14:paraId="4840EA1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-3.08</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D6282F8"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-2.767***</w:t>
            </w:r>
          </w:p>
        </w:tc>
      </w:tr>
      <w:tr w:rsidR="00DF2657" w:rsidRPr="00B672D5" w14:paraId="5CC9F085"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AC273A2"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0DAC60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(.422)</w:t>
            </w:r>
          </w:p>
        </w:tc>
        <w:tc>
          <w:tcPr>
            <w:tcW w:w="0" w:type="auto"/>
            <w:tcBorders>
              <w:top w:val="nil"/>
              <w:left w:val="nil"/>
              <w:bottom w:val="nil"/>
              <w:right w:val="nil"/>
            </w:tcBorders>
            <w:shd w:val="clear" w:color="auto" w:fill="auto"/>
            <w:noWrap/>
            <w:vAlign w:val="bottom"/>
          </w:tcPr>
          <w:p w14:paraId="53EC9D0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(.24</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7516AF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(.201)</w:t>
            </w:r>
          </w:p>
        </w:tc>
        <w:tc>
          <w:tcPr>
            <w:tcW w:w="0" w:type="auto"/>
            <w:tcBorders>
              <w:top w:val="nil"/>
              <w:left w:val="nil"/>
              <w:bottom w:val="nil"/>
              <w:right w:val="nil"/>
            </w:tcBorders>
            <w:shd w:val="clear" w:color="auto" w:fill="auto"/>
            <w:noWrap/>
            <w:vAlign w:val="bottom"/>
          </w:tcPr>
          <w:p w14:paraId="49805F04"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(.181)</w:t>
            </w:r>
          </w:p>
        </w:tc>
      </w:tr>
      <w:tr w:rsidR="00DF2657" w:rsidRPr="00B672D5" w14:paraId="0767F96C"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4A1D16E0"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InterestGap</w:t>
            </w:r>
          </w:p>
        </w:tc>
        <w:tc>
          <w:tcPr>
            <w:tcW w:w="0" w:type="auto"/>
            <w:tcBorders>
              <w:top w:val="nil"/>
              <w:left w:val="nil"/>
              <w:bottom w:val="nil"/>
              <w:right w:val="nil"/>
            </w:tcBorders>
            <w:shd w:val="clear" w:color="auto" w:fill="auto"/>
            <w:noWrap/>
            <w:vAlign w:val="bottom"/>
          </w:tcPr>
          <w:p w14:paraId="5903732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.498***</w:t>
            </w:r>
          </w:p>
        </w:tc>
        <w:tc>
          <w:tcPr>
            <w:tcW w:w="0" w:type="auto"/>
            <w:tcBorders>
              <w:top w:val="nil"/>
              <w:left w:val="nil"/>
              <w:bottom w:val="nil"/>
              <w:right w:val="nil"/>
            </w:tcBorders>
            <w:shd w:val="clear" w:color="auto" w:fill="auto"/>
            <w:noWrap/>
            <w:vAlign w:val="bottom"/>
          </w:tcPr>
          <w:p w14:paraId="7466837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.425***</w:t>
            </w:r>
          </w:p>
        </w:tc>
        <w:tc>
          <w:tcPr>
            <w:tcW w:w="0" w:type="auto"/>
            <w:tcBorders>
              <w:top w:val="nil"/>
              <w:left w:val="nil"/>
              <w:bottom w:val="nil"/>
              <w:right w:val="nil"/>
            </w:tcBorders>
            <w:shd w:val="clear" w:color="auto" w:fill="auto"/>
            <w:noWrap/>
            <w:vAlign w:val="bottom"/>
          </w:tcPr>
          <w:p w14:paraId="1BCDC78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.395***</w:t>
            </w:r>
          </w:p>
        </w:tc>
        <w:tc>
          <w:tcPr>
            <w:tcW w:w="0" w:type="auto"/>
            <w:tcBorders>
              <w:top w:val="nil"/>
              <w:left w:val="nil"/>
              <w:bottom w:val="nil"/>
              <w:right w:val="nil"/>
            </w:tcBorders>
            <w:shd w:val="clear" w:color="auto" w:fill="auto"/>
            <w:noWrap/>
            <w:vAlign w:val="bottom"/>
          </w:tcPr>
          <w:p w14:paraId="406BECCB"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w:t>
            </w:r>
            <w:r w:rsidR="005F3401">
              <w:rPr>
                <w:rFonts w:ascii="Calibri" w:hAnsi="Calibri" w:cs="Calibri"/>
                <w:sz w:val="20"/>
                <w:szCs w:val="20"/>
              </w:rPr>
              <w:t>0</w:t>
            </w:r>
            <w:r>
              <w:rPr>
                <w:rFonts w:ascii="Calibri" w:hAnsi="Calibri" w:cs="Calibri"/>
                <w:sz w:val="20"/>
                <w:szCs w:val="20"/>
              </w:rPr>
              <w:t>***</w:t>
            </w:r>
          </w:p>
        </w:tc>
      </w:tr>
      <w:tr w:rsidR="00DF2657" w:rsidRPr="00B672D5" w14:paraId="595D3F0F"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AD8574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1898739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(.032</w:t>
            </w:r>
            <w:r w:rsidR="005F3401">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B964D6E"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(.0263)</w:t>
            </w:r>
          </w:p>
        </w:tc>
        <w:tc>
          <w:tcPr>
            <w:tcW w:w="0" w:type="auto"/>
            <w:tcBorders>
              <w:top w:val="nil"/>
              <w:left w:val="nil"/>
              <w:bottom w:val="nil"/>
              <w:right w:val="nil"/>
            </w:tcBorders>
            <w:shd w:val="clear" w:color="auto" w:fill="auto"/>
            <w:noWrap/>
            <w:vAlign w:val="bottom"/>
          </w:tcPr>
          <w:p w14:paraId="402540F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(.0255)</w:t>
            </w:r>
          </w:p>
        </w:tc>
        <w:tc>
          <w:tcPr>
            <w:tcW w:w="0" w:type="auto"/>
            <w:tcBorders>
              <w:top w:val="nil"/>
              <w:left w:val="nil"/>
              <w:bottom w:val="nil"/>
              <w:right w:val="nil"/>
            </w:tcBorders>
            <w:shd w:val="clear" w:color="auto" w:fill="auto"/>
            <w:noWrap/>
            <w:vAlign w:val="bottom"/>
          </w:tcPr>
          <w:p w14:paraId="7039181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(.0238)</w:t>
            </w:r>
          </w:p>
        </w:tc>
      </w:tr>
      <w:tr w:rsidR="00DF2657" w:rsidRPr="00B672D5" w14:paraId="5D213AC0"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6948F81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tcPr>
          <w:p w14:paraId="2F627BC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.436***</w:t>
            </w:r>
          </w:p>
        </w:tc>
        <w:tc>
          <w:tcPr>
            <w:tcW w:w="0" w:type="auto"/>
            <w:tcBorders>
              <w:top w:val="nil"/>
              <w:left w:val="nil"/>
              <w:bottom w:val="nil"/>
              <w:right w:val="nil"/>
            </w:tcBorders>
            <w:shd w:val="clear" w:color="auto" w:fill="auto"/>
            <w:noWrap/>
            <w:vAlign w:val="bottom"/>
          </w:tcPr>
          <w:p w14:paraId="70341B18"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.429***</w:t>
            </w:r>
          </w:p>
        </w:tc>
        <w:tc>
          <w:tcPr>
            <w:tcW w:w="0" w:type="auto"/>
            <w:tcBorders>
              <w:top w:val="nil"/>
              <w:left w:val="nil"/>
              <w:bottom w:val="nil"/>
              <w:right w:val="nil"/>
            </w:tcBorders>
            <w:shd w:val="clear" w:color="auto" w:fill="auto"/>
            <w:noWrap/>
            <w:vAlign w:val="bottom"/>
          </w:tcPr>
          <w:p w14:paraId="1A006DB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.337***</w:t>
            </w:r>
          </w:p>
        </w:tc>
        <w:tc>
          <w:tcPr>
            <w:tcW w:w="0" w:type="auto"/>
            <w:tcBorders>
              <w:top w:val="nil"/>
              <w:left w:val="nil"/>
              <w:bottom w:val="nil"/>
              <w:right w:val="nil"/>
            </w:tcBorders>
            <w:shd w:val="clear" w:color="auto" w:fill="auto"/>
            <w:noWrap/>
            <w:vAlign w:val="bottom"/>
          </w:tcPr>
          <w:p w14:paraId="1D7CF07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.336***</w:t>
            </w:r>
          </w:p>
        </w:tc>
      </w:tr>
      <w:tr w:rsidR="00DF2657" w:rsidRPr="00B672D5" w14:paraId="28F85E48"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5ED7C2D2"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1659E1C9"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(.0657)</w:t>
            </w:r>
          </w:p>
        </w:tc>
        <w:tc>
          <w:tcPr>
            <w:tcW w:w="0" w:type="auto"/>
            <w:tcBorders>
              <w:top w:val="nil"/>
              <w:left w:val="nil"/>
              <w:bottom w:val="nil"/>
              <w:right w:val="nil"/>
            </w:tcBorders>
            <w:shd w:val="clear" w:color="auto" w:fill="auto"/>
            <w:noWrap/>
            <w:vAlign w:val="bottom"/>
          </w:tcPr>
          <w:p w14:paraId="11379A4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(.0419)</w:t>
            </w:r>
          </w:p>
        </w:tc>
        <w:tc>
          <w:tcPr>
            <w:tcW w:w="0" w:type="auto"/>
            <w:tcBorders>
              <w:top w:val="nil"/>
              <w:left w:val="nil"/>
              <w:bottom w:val="nil"/>
              <w:right w:val="nil"/>
            </w:tcBorders>
            <w:shd w:val="clear" w:color="auto" w:fill="auto"/>
            <w:noWrap/>
            <w:vAlign w:val="bottom"/>
          </w:tcPr>
          <w:p w14:paraId="1D26BA3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(.0381)</w:t>
            </w:r>
          </w:p>
        </w:tc>
        <w:tc>
          <w:tcPr>
            <w:tcW w:w="0" w:type="auto"/>
            <w:tcBorders>
              <w:top w:val="nil"/>
              <w:left w:val="nil"/>
              <w:bottom w:val="nil"/>
              <w:right w:val="nil"/>
            </w:tcBorders>
            <w:shd w:val="clear" w:color="auto" w:fill="auto"/>
            <w:noWrap/>
            <w:vAlign w:val="bottom"/>
          </w:tcPr>
          <w:p w14:paraId="71C18AD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(.0366)</w:t>
            </w:r>
          </w:p>
        </w:tc>
      </w:tr>
      <w:tr w:rsidR="00DF2657" w:rsidRPr="00B672D5" w14:paraId="4FCAD225"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5B45B384"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Unemployment</w:t>
            </w:r>
          </w:p>
        </w:tc>
        <w:tc>
          <w:tcPr>
            <w:tcW w:w="0" w:type="auto"/>
            <w:tcBorders>
              <w:top w:val="nil"/>
              <w:left w:val="nil"/>
              <w:bottom w:val="nil"/>
              <w:right w:val="nil"/>
            </w:tcBorders>
            <w:shd w:val="clear" w:color="auto" w:fill="auto"/>
            <w:noWrap/>
            <w:vAlign w:val="bottom"/>
          </w:tcPr>
          <w:p w14:paraId="1C04B41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.00955</w:t>
            </w:r>
          </w:p>
        </w:tc>
        <w:tc>
          <w:tcPr>
            <w:tcW w:w="0" w:type="auto"/>
            <w:tcBorders>
              <w:top w:val="nil"/>
              <w:left w:val="nil"/>
              <w:bottom w:val="nil"/>
              <w:right w:val="nil"/>
            </w:tcBorders>
            <w:shd w:val="clear" w:color="auto" w:fill="auto"/>
            <w:noWrap/>
            <w:vAlign w:val="bottom"/>
          </w:tcPr>
          <w:p w14:paraId="7B7E51E3"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-.00889</w:t>
            </w:r>
          </w:p>
        </w:tc>
        <w:tc>
          <w:tcPr>
            <w:tcW w:w="0" w:type="auto"/>
            <w:tcBorders>
              <w:top w:val="nil"/>
              <w:left w:val="nil"/>
              <w:bottom w:val="nil"/>
              <w:right w:val="nil"/>
            </w:tcBorders>
            <w:shd w:val="clear" w:color="auto" w:fill="auto"/>
            <w:noWrap/>
            <w:vAlign w:val="bottom"/>
          </w:tcPr>
          <w:p w14:paraId="381868C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-.0168**</w:t>
            </w:r>
          </w:p>
        </w:tc>
        <w:tc>
          <w:tcPr>
            <w:tcW w:w="0" w:type="auto"/>
            <w:tcBorders>
              <w:top w:val="nil"/>
              <w:left w:val="nil"/>
              <w:bottom w:val="nil"/>
              <w:right w:val="nil"/>
            </w:tcBorders>
            <w:shd w:val="clear" w:color="auto" w:fill="auto"/>
            <w:noWrap/>
            <w:vAlign w:val="bottom"/>
          </w:tcPr>
          <w:p w14:paraId="1B776E2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-.028</w:t>
            </w:r>
            <w:r w:rsidR="005F3401">
              <w:rPr>
                <w:rFonts w:ascii="Calibri" w:hAnsi="Calibri" w:cs="Calibri"/>
                <w:sz w:val="20"/>
                <w:szCs w:val="20"/>
              </w:rPr>
              <w:t>0</w:t>
            </w:r>
            <w:r>
              <w:rPr>
                <w:rFonts w:ascii="Calibri" w:hAnsi="Calibri" w:cs="Calibri"/>
                <w:sz w:val="20"/>
                <w:szCs w:val="20"/>
              </w:rPr>
              <w:t>***</w:t>
            </w:r>
          </w:p>
        </w:tc>
      </w:tr>
      <w:tr w:rsidR="00DF2657" w:rsidRPr="00B672D5" w14:paraId="3B96B707"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2ECC3D0"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020CB6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(.0155)</w:t>
            </w:r>
          </w:p>
        </w:tc>
        <w:tc>
          <w:tcPr>
            <w:tcW w:w="0" w:type="auto"/>
            <w:tcBorders>
              <w:top w:val="nil"/>
              <w:left w:val="nil"/>
              <w:bottom w:val="nil"/>
              <w:right w:val="nil"/>
            </w:tcBorders>
            <w:shd w:val="clear" w:color="auto" w:fill="auto"/>
            <w:noWrap/>
            <w:vAlign w:val="bottom"/>
          </w:tcPr>
          <w:p w14:paraId="4527AA72"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(.00926)</w:t>
            </w:r>
          </w:p>
        </w:tc>
        <w:tc>
          <w:tcPr>
            <w:tcW w:w="0" w:type="auto"/>
            <w:tcBorders>
              <w:top w:val="nil"/>
              <w:left w:val="nil"/>
              <w:bottom w:val="nil"/>
              <w:right w:val="nil"/>
            </w:tcBorders>
            <w:shd w:val="clear" w:color="auto" w:fill="auto"/>
            <w:noWrap/>
            <w:vAlign w:val="bottom"/>
          </w:tcPr>
          <w:p w14:paraId="1DC2BF9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(.00762)</w:t>
            </w:r>
          </w:p>
        </w:tc>
        <w:tc>
          <w:tcPr>
            <w:tcW w:w="0" w:type="auto"/>
            <w:tcBorders>
              <w:top w:val="nil"/>
              <w:left w:val="nil"/>
              <w:bottom w:val="nil"/>
              <w:right w:val="nil"/>
            </w:tcBorders>
            <w:shd w:val="clear" w:color="auto" w:fill="auto"/>
            <w:noWrap/>
            <w:vAlign w:val="bottom"/>
          </w:tcPr>
          <w:p w14:paraId="533BE395"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(.00684)</w:t>
            </w:r>
          </w:p>
        </w:tc>
      </w:tr>
      <w:tr w:rsidR="00DF2657" w:rsidRPr="00B672D5" w14:paraId="16F389C4"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FF8509A"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HPI</w:t>
            </w:r>
          </w:p>
        </w:tc>
        <w:tc>
          <w:tcPr>
            <w:tcW w:w="0" w:type="auto"/>
            <w:tcBorders>
              <w:top w:val="nil"/>
              <w:left w:val="nil"/>
              <w:bottom w:val="nil"/>
              <w:right w:val="nil"/>
            </w:tcBorders>
            <w:shd w:val="clear" w:color="auto" w:fill="auto"/>
            <w:noWrap/>
            <w:vAlign w:val="bottom"/>
          </w:tcPr>
          <w:p w14:paraId="1438DB3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.0226***</w:t>
            </w:r>
          </w:p>
        </w:tc>
        <w:tc>
          <w:tcPr>
            <w:tcW w:w="0" w:type="auto"/>
            <w:tcBorders>
              <w:top w:val="nil"/>
              <w:left w:val="nil"/>
              <w:bottom w:val="nil"/>
              <w:right w:val="nil"/>
            </w:tcBorders>
            <w:shd w:val="clear" w:color="auto" w:fill="auto"/>
            <w:noWrap/>
            <w:vAlign w:val="bottom"/>
          </w:tcPr>
          <w:p w14:paraId="643FB54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.0227***</w:t>
            </w:r>
          </w:p>
        </w:tc>
        <w:tc>
          <w:tcPr>
            <w:tcW w:w="0" w:type="auto"/>
            <w:tcBorders>
              <w:top w:val="nil"/>
              <w:left w:val="nil"/>
              <w:bottom w:val="nil"/>
              <w:right w:val="nil"/>
            </w:tcBorders>
            <w:shd w:val="clear" w:color="auto" w:fill="auto"/>
            <w:noWrap/>
            <w:vAlign w:val="bottom"/>
          </w:tcPr>
          <w:p w14:paraId="7B1B851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.0185***</w:t>
            </w:r>
          </w:p>
        </w:tc>
        <w:tc>
          <w:tcPr>
            <w:tcW w:w="0" w:type="auto"/>
            <w:tcBorders>
              <w:top w:val="nil"/>
              <w:left w:val="nil"/>
              <w:bottom w:val="nil"/>
              <w:right w:val="nil"/>
            </w:tcBorders>
            <w:shd w:val="clear" w:color="auto" w:fill="auto"/>
            <w:noWrap/>
            <w:vAlign w:val="bottom"/>
          </w:tcPr>
          <w:p w14:paraId="69CDCB0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.0102***</w:t>
            </w:r>
          </w:p>
        </w:tc>
      </w:tr>
      <w:tr w:rsidR="00DF2657" w:rsidRPr="00B672D5" w14:paraId="02DEA5C1"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7F8E81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2EC8390"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(.00797)</w:t>
            </w:r>
          </w:p>
        </w:tc>
        <w:tc>
          <w:tcPr>
            <w:tcW w:w="0" w:type="auto"/>
            <w:tcBorders>
              <w:top w:val="nil"/>
              <w:left w:val="nil"/>
              <w:bottom w:val="nil"/>
              <w:right w:val="nil"/>
            </w:tcBorders>
            <w:shd w:val="clear" w:color="auto" w:fill="auto"/>
            <w:noWrap/>
            <w:vAlign w:val="bottom"/>
          </w:tcPr>
          <w:p w14:paraId="067FF08D"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(.00316)</w:t>
            </w:r>
          </w:p>
        </w:tc>
        <w:tc>
          <w:tcPr>
            <w:tcW w:w="0" w:type="auto"/>
            <w:tcBorders>
              <w:top w:val="nil"/>
              <w:left w:val="nil"/>
              <w:bottom w:val="nil"/>
              <w:right w:val="nil"/>
            </w:tcBorders>
            <w:shd w:val="clear" w:color="auto" w:fill="auto"/>
            <w:noWrap/>
            <w:vAlign w:val="bottom"/>
          </w:tcPr>
          <w:p w14:paraId="753BFE6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(.00201)</w:t>
            </w:r>
          </w:p>
        </w:tc>
        <w:tc>
          <w:tcPr>
            <w:tcW w:w="0" w:type="auto"/>
            <w:tcBorders>
              <w:top w:val="nil"/>
              <w:left w:val="nil"/>
              <w:bottom w:val="nil"/>
              <w:right w:val="nil"/>
            </w:tcBorders>
            <w:shd w:val="clear" w:color="auto" w:fill="auto"/>
            <w:noWrap/>
            <w:vAlign w:val="bottom"/>
          </w:tcPr>
          <w:p w14:paraId="199BA39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(.00155)</w:t>
            </w:r>
          </w:p>
        </w:tc>
      </w:tr>
      <w:tr w:rsidR="00DF2657" w:rsidRPr="00B672D5" w14:paraId="082E088B"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28999CE"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Condo</w:t>
            </w:r>
          </w:p>
        </w:tc>
        <w:tc>
          <w:tcPr>
            <w:tcW w:w="0" w:type="auto"/>
            <w:tcBorders>
              <w:top w:val="nil"/>
              <w:left w:val="nil"/>
              <w:bottom w:val="nil"/>
              <w:right w:val="nil"/>
            </w:tcBorders>
            <w:shd w:val="clear" w:color="auto" w:fill="auto"/>
            <w:noWrap/>
            <w:vAlign w:val="bottom"/>
          </w:tcPr>
          <w:p w14:paraId="63DE529F"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.201***</w:t>
            </w:r>
          </w:p>
        </w:tc>
        <w:tc>
          <w:tcPr>
            <w:tcW w:w="0" w:type="auto"/>
            <w:tcBorders>
              <w:top w:val="nil"/>
              <w:left w:val="nil"/>
              <w:bottom w:val="nil"/>
              <w:right w:val="nil"/>
            </w:tcBorders>
            <w:shd w:val="clear" w:color="auto" w:fill="auto"/>
            <w:noWrap/>
            <w:vAlign w:val="bottom"/>
          </w:tcPr>
          <w:p w14:paraId="631485F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.124***</w:t>
            </w:r>
          </w:p>
        </w:tc>
        <w:tc>
          <w:tcPr>
            <w:tcW w:w="0" w:type="auto"/>
            <w:tcBorders>
              <w:top w:val="nil"/>
              <w:left w:val="nil"/>
              <w:bottom w:val="nil"/>
              <w:right w:val="nil"/>
            </w:tcBorders>
            <w:shd w:val="clear" w:color="auto" w:fill="auto"/>
            <w:noWrap/>
            <w:vAlign w:val="bottom"/>
          </w:tcPr>
          <w:p w14:paraId="256507CA"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.0895***</w:t>
            </w:r>
          </w:p>
        </w:tc>
        <w:tc>
          <w:tcPr>
            <w:tcW w:w="0" w:type="auto"/>
            <w:tcBorders>
              <w:top w:val="nil"/>
              <w:left w:val="nil"/>
              <w:bottom w:val="nil"/>
              <w:right w:val="nil"/>
            </w:tcBorders>
            <w:shd w:val="clear" w:color="auto" w:fill="auto"/>
            <w:noWrap/>
            <w:vAlign w:val="bottom"/>
          </w:tcPr>
          <w:p w14:paraId="2FE891C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.0726**</w:t>
            </w:r>
          </w:p>
        </w:tc>
      </w:tr>
      <w:tr w:rsidR="00DF2657" w:rsidRPr="00B672D5" w14:paraId="3C178627"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690A7045" w14:textId="77777777" w:rsidR="00DF2657" w:rsidRPr="00B672D5" w:rsidRDefault="00DF2657"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081F49C"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(.0529)</w:t>
            </w:r>
          </w:p>
        </w:tc>
        <w:tc>
          <w:tcPr>
            <w:tcW w:w="0" w:type="auto"/>
            <w:tcBorders>
              <w:top w:val="nil"/>
              <w:left w:val="nil"/>
              <w:bottom w:val="nil"/>
              <w:right w:val="nil"/>
            </w:tcBorders>
            <w:shd w:val="clear" w:color="auto" w:fill="auto"/>
            <w:noWrap/>
            <w:vAlign w:val="bottom"/>
          </w:tcPr>
          <w:p w14:paraId="2491F3F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(.0344)</w:t>
            </w:r>
          </w:p>
        </w:tc>
        <w:tc>
          <w:tcPr>
            <w:tcW w:w="0" w:type="auto"/>
            <w:tcBorders>
              <w:top w:val="nil"/>
              <w:left w:val="nil"/>
              <w:bottom w:val="nil"/>
              <w:right w:val="nil"/>
            </w:tcBorders>
            <w:shd w:val="clear" w:color="auto" w:fill="auto"/>
            <w:noWrap/>
            <w:vAlign w:val="bottom"/>
          </w:tcPr>
          <w:p w14:paraId="0E48344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(.0306)</w:t>
            </w:r>
          </w:p>
        </w:tc>
        <w:tc>
          <w:tcPr>
            <w:tcW w:w="0" w:type="auto"/>
            <w:tcBorders>
              <w:top w:val="nil"/>
              <w:left w:val="nil"/>
              <w:bottom w:val="nil"/>
              <w:right w:val="nil"/>
            </w:tcBorders>
            <w:shd w:val="clear" w:color="auto" w:fill="auto"/>
            <w:noWrap/>
            <w:vAlign w:val="bottom"/>
          </w:tcPr>
          <w:p w14:paraId="030A457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(.0294)</w:t>
            </w:r>
          </w:p>
        </w:tc>
      </w:tr>
      <w:tr w:rsidR="00DF2657" w:rsidRPr="00B672D5" w14:paraId="4813C918"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6D82482E" w14:textId="77777777" w:rsidR="00DF2657" w:rsidRPr="00B672D5" w:rsidRDefault="00DF2657" w:rsidP="009D6779">
            <w:pPr>
              <w:spacing w:after="0" w:line="240" w:lineRule="auto"/>
              <w:contextualSpacing/>
              <w:jc w:val="center"/>
              <w:rPr>
                <w:rFonts w:ascii="Calibri" w:eastAsia="Times New Roman" w:hAnsi="Calibri" w:cs="Calibri"/>
                <w:sz w:val="20"/>
                <w:szCs w:val="20"/>
              </w:rPr>
            </w:pPr>
            <w:r w:rsidRPr="00B672D5">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A17FE8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58C5796" w14:textId="77777777" w:rsidR="00DF2657" w:rsidRPr="00533AA5"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408E777" w14:textId="77777777" w:rsidR="00DF2657" w:rsidRPr="00533AA5"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4A48F21" w14:textId="77777777" w:rsidR="00DF2657" w:rsidRPr="00533AA5" w:rsidRDefault="00DF2657" w:rsidP="009D6779">
            <w:pPr>
              <w:spacing w:after="0" w:line="240" w:lineRule="auto"/>
              <w:contextualSpacing/>
              <w:jc w:val="center"/>
              <w:rPr>
                <w:rFonts w:ascii="Calibri" w:eastAsia="Times New Roman" w:hAnsi="Calibri" w:cs="Calibri"/>
                <w:sz w:val="20"/>
                <w:szCs w:val="20"/>
              </w:rPr>
            </w:pPr>
          </w:p>
        </w:tc>
      </w:tr>
      <w:tr w:rsidR="00DF2657" w:rsidRPr="00B672D5" w14:paraId="330BC01C"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A166AF8" w14:textId="77777777" w:rsidR="00DF2657" w:rsidRPr="00B672D5" w:rsidRDefault="00DF2657"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Observations</w:t>
            </w:r>
          </w:p>
        </w:tc>
        <w:tc>
          <w:tcPr>
            <w:tcW w:w="0" w:type="auto"/>
            <w:tcBorders>
              <w:top w:val="nil"/>
              <w:left w:val="nil"/>
              <w:bottom w:val="nil"/>
              <w:right w:val="nil"/>
            </w:tcBorders>
            <w:shd w:val="clear" w:color="auto" w:fill="auto"/>
            <w:noWrap/>
            <w:vAlign w:val="bottom"/>
          </w:tcPr>
          <w:p w14:paraId="0912905A"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162,646</w:t>
            </w:r>
          </w:p>
        </w:tc>
        <w:tc>
          <w:tcPr>
            <w:tcW w:w="0" w:type="auto"/>
            <w:tcBorders>
              <w:top w:val="nil"/>
              <w:left w:val="nil"/>
              <w:bottom w:val="nil"/>
              <w:right w:val="nil"/>
            </w:tcBorders>
            <w:shd w:val="clear" w:color="auto" w:fill="auto"/>
            <w:noWrap/>
            <w:vAlign w:val="bottom"/>
          </w:tcPr>
          <w:p w14:paraId="28388186"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260,730</w:t>
            </w:r>
          </w:p>
        </w:tc>
        <w:tc>
          <w:tcPr>
            <w:tcW w:w="0" w:type="auto"/>
            <w:tcBorders>
              <w:top w:val="nil"/>
              <w:left w:val="nil"/>
              <w:bottom w:val="nil"/>
              <w:right w:val="nil"/>
            </w:tcBorders>
            <w:shd w:val="clear" w:color="auto" w:fill="auto"/>
            <w:noWrap/>
            <w:vAlign w:val="bottom"/>
          </w:tcPr>
          <w:p w14:paraId="1ACDA755"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323,523</w:t>
            </w:r>
          </w:p>
        </w:tc>
        <w:tc>
          <w:tcPr>
            <w:tcW w:w="0" w:type="auto"/>
            <w:tcBorders>
              <w:top w:val="nil"/>
              <w:left w:val="nil"/>
              <w:bottom w:val="nil"/>
              <w:right w:val="nil"/>
            </w:tcBorders>
            <w:shd w:val="clear" w:color="auto" w:fill="auto"/>
            <w:noWrap/>
            <w:vAlign w:val="bottom"/>
          </w:tcPr>
          <w:p w14:paraId="5E991D73"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366,110</w:t>
            </w:r>
          </w:p>
        </w:tc>
      </w:tr>
      <w:tr w:rsidR="00DF2657" w:rsidRPr="00B672D5" w14:paraId="406DD4C2"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4D5CB42" w14:textId="77777777" w:rsidR="00DF2657" w:rsidRPr="00B672D5" w:rsidRDefault="00DF2657" w:rsidP="009D6779">
            <w:pPr>
              <w:spacing w:after="0" w:line="240" w:lineRule="auto"/>
              <w:contextualSpacing/>
              <w:rPr>
                <w:rFonts w:ascii="Calibri" w:eastAsia="Times New Roman" w:hAnsi="Calibri" w:cs="Calibri"/>
                <w:sz w:val="20"/>
                <w:szCs w:val="20"/>
              </w:rPr>
            </w:pPr>
            <w:r w:rsidRPr="00B672D5">
              <w:rPr>
                <w:rFonts w:ascii="Calibri" w:eastAsia="Times New Roman" w:hAnsi="Calibri" w:cs="Calibri"/>
                <w:sz w:val="20"/>
                <w:szCs w:val="20"/>
              </w:rPr>
              <w:t>Clusters</w:t>
            </w:r>
          </w:p>
        </w:tc>
        <w:tc>
          <w:tcPr>
            <w:tcW w:w="0" w:type="auto"/>
            <w:tcBorders>
              <w:top w:val="nil"/>
              <w:left w:val="nil"/>
              <w:bottom w:val="nil"/>
              <w:right w:val="nil"/>
            </w:tcBorders>
            <w:shd w:val="clear" w:color="auto" w:fill="auto"/>
            <w:noWrap/>
            <w:vAlign w:val="bottom"/>
          </w:tcPr>
          <w:p w14:paraId="78E3A20D"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13,813</w:t>
            </w:r>
          </w:p>
        </w:tc>
        <w:tc>
          <w:tcPr>
            <w:tcW w:w="0" w:type="auto"/>
            <w:tcBorders>
              <w:top w:val="nil"/>
              <w:left w:val="nil"/>
              <w:bottom w:val="nil"/>
              <w:right w:val="nil"/>
            </w:tcBorders>
            <w:shd w:val="clear" w:color="auto" w:fill="auto"/>
            <w:noWrap/>
            <w:vAlign w:val="bottom"/>
          </w:tcPr>
          <w:p w14:paraId="4FCCCF52"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13,813</w:t>
            </w:r>
          </w:p>
        </w:tc>
        <w:tc>
          <w:tcPr>
            <w:tcW w:w="0" w:type="auto"/>
            <w:tcBorders>
              <w:top w:val="nil"/>
              <w:left w:val="nil"/>
              <w:bottom w:val="nil"/>
              <w:right w:val="nil"/>
            </w:tcBorders>
            <w:shd w:val="clear" w:color="auto" w:fill="auto"/>
            <w:noWrap/>
            <w:vAlign w:val="bottom"/>
          </w:tcPr>
          <w:p w14:paraId="7F3A6DB4"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13,813</w:t>
            </w:r>
          </w:p>
        </w:tc>
        <w:tc>
          <w:tcPr>
            <w:tcW w:w="0" w:type="auto"/>
            <w:tcBorders>
              <w:top w:val="nil"/>
              <w:left w:val="nil"/>
              <w:bottom w:val="nil"/>
              <w:right w:val="nil"/>
            </w:tcBorders>
            <w:shd w:val="clear" w:color="auto" w:fill="auto"/>
            <w:noWrap/>
            <w:vAlign w:val="bottom"/>
          </w:tcPr>
          <w:p w14:paraId="7F8F8853"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13,813</w:t>
            </w:r>
          </w:p>
        </w:tc>
      </w:tr>
      <w:tr w:rsidR="00DF2657" w:rsidRPr="00B672D5" w14:paraId="562054B3"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hideMark/>
          </w:tcPr>
          <w:p w14:paraId="5087F303" w14:textId="77777777" w:rsidR="00DF2657" w:rsidRPr="00B672D5" w:rsidRDefault="00DF2657" w:rsidP="009D6779">
            <w:pPr>
              <w:spacing w:after="0" w:line="240" w:lineRule="auto"/>
              <w:contextualSpacing/>
              <w:rPr>
                <w:rFonts w:ascii="Calibri" w:eastAsia="Times New Roman" w:hAnsi="Calibri" w:cs="Calibri"/>
                <w:sz w:val="20"/>
                <w:szCs w:val="20"/>
                <w:vertAlign w:val="superscript"/>
              </w:rPr>
            </w:pPr>
            <w:r w:rsidRPr="00B672D5">
              <w:rPr>
                <w:rFonts w:ascii="Calibri" w:eastAsia="Times New Roman" w:hAnsi="Calibri" w:cs="Calibri"/>
                <w:sz w:val="20"/>
                <w:szCs w:val="20"/>
              </w:rPr>
              <w:t>Pseudo R</w:t>
            </w:r>
            <w:r>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tcPr>
          <w:p w14:paraId="0A82A072"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0.102</w:t>
            </w:r>
          </w:p>
        </w:tc>
        <w:tc>
          <w:tcPr>
            <w:tcW w:w="0" w:type="auto"/>
            <w:tcBorders>
              <w:top w:val="nil"/>
              <w:left w:val="nil"/>
              <w:bottom w:val="single" w:sz="4" w:space="0" w:color="auto"/>
              <w:right w:val="nil"/>
            </w:tcBorders>
            <w:shd w:val="clear" w:color="auto" w:fill="auto"/>
            <w:noWrap/>
            <w:vAlign w:val="bottom"/>
          </w:tcPr>
          <w:p w14:paraId="5051ED89"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0.093</w:t>
            </w:r>
          </w:p>
        </w:tc>
        <w:tc>
          <w:tcPr>
            <w:tcW w:w="0" w:type="auto"/>
            <w:tcBorders>
              <w:top w:val="nil"/>
              <w:left w:val="nil"/>
              <w:bottom w:val="single" w:sz="4" w:space="0" w:color="auto"/>
              <w:right w:val="nil"/>
            </w:tcBorders>
            <w:shd w:val="clear" w:color="auto" w:fill="auto"/>
            <w:noWrap/>
            <w:vAlign w:val="bottom"/>
          </w:tcPr>
          <w:p w14:paraId="72127C7B"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0.082</w:t>
            </w:r>
          </w:p>
        </w:tc>
        <w:tc>
          <w:tcPr>
            <w:tcW w:w="0" w:type="auto"/>
            <w:tcBorders>
              <w:top w:val="nil"/>
              <w:left w:val="nil"/>
              <w:bottom w:val="single" w:sz="4" w:space="0" w:color="auto"/>
              <w:right w:val="nil"/>
            </w:tcBorders>
            <w:shd w:val="clear" w:color="auto" w:fill="auto"/>
            <w:noWrap/>
            <w:vAlign w:val="bottom"/>
          </w:tcPr>
          <w:p w14:paraId="4A3E611C" w14:textId="77777777" w:rsidR="00DF2657" w:rsidRPr="00533AA5"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0.072</w:t>
            </w:r>
          </w:p>
        </w:tc>
      </w:tr>
    </w:tbl>
    <w:p w14:paraId="315E3597" w14:textId="77777777" w:rsidR="009D6779" w:rsidRDefault="009D6779" w:rsidP="009D6779">
      <w:pPr>
        <w:spacing w:after="0"/>
        <w:contextualSpacing/>
      </w:pPr>
    </w:p>
    <w:p w14:paraId="063A9E2D" w14:textId="77777777" w:rsidR="00FD4CDF" w:rsidRDefault="00FD4CDF" w:rsidP="009D6779">
      <w:pPr>
        <w:spacing w:after="0"/>
        <w:contextualSpacing/>
      </w:pPr>
      <w:r>
        <w:br w:type="page"/>
      </w:r>
    </w:p>
    <w:p w14:paraId="11D2E04B" w14:textId="37FAC969" w:rsidR="00FD4CDF" w:rsidRDefault="00B43B68" w:rsidP="009D6779">
      <w:pPr>
        <w:spacing w:after="0"/>
        <w:contextualSpacing/>
      </w:pPr>
      <w:r>
        <w:rPr>
          <w:b/>
        </w:rPr>
        <w:lastRenderedPageBreak/>
        <w:t>Table A</w:t>
      </w:r>
      <w:r w:rsidR="00DC4756">
        <w:rPr>
          <w:b/>
        </w:rPr>
        <w:t>11</w:t>
      </w:r>
    </w:p>
    <w:p w14:paraId="61F35CB5" w14:textId="454987A1" w:rsidR="003520CC" w:rsidRDefault="00FF4EC3" w:rsidP="003520CC">
      <w:pPr>
        <w:contextualSpacing/>
      </w:pPr>
      <w:r>
        <w:t xml:space="preserve">Two-stage least squares regressions based on loan-level observations of first-lien, conventional, amortizing (non-balloon, non-interest only), fixed-rate mortgages for purchases of single-family residences or condominiums in Maryland and Virginia originated by nonbank originators between 2000 and 2015.  The sample is restricted to only prime mortgages (defined as those originated to borrowers with a FICO score greater than 660).  </w:t>
      </w:r>
      <w:r w:rsidR="00847A0D">
        <w:t>T</w:t>
      </w:r>
      <w:r>
        <w:t xml:space="preserve">he sample is restricted to only mortgages originated by lenders that originated at least one mortgage before the policy change and at least one mortgage after the policy change (as in Table </w:t>
      </w:r>
      <w:r w:rsidR="005C7B9C">
        <w:t>A3</w:t>
      </w:r>
      <w:r>
        <w:t xml:space="preserve">).  </w:t>
      </w:r>
      <w:r w:rsidRPr="006A5966">
        <w:rPr>
          <w:i/>
        </w:rPr>
        <w:t>InitialRate</w:t>
      </w:r>
      <w:r>
        <w:t xml:space="preserve"> is the mortgage interest rate at origination.  </w:t>
      </w:r>
      <w:r w:rsidRPr="006A5966">
        <w:rPr>
          <w:i/>
        </w:rPr>
        <w:t>LTV</w:t>
      </w:r>
      <w:r>
        <w:t xml:space="preserve"> is the mortgage loan-to-value ratio at origination.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003520CC" w:rsidRPr="00EB01F8">
        <w:rPr>
          <w:i/>
        </w:rPr>
        <w:t>FICO</w:t>
      </w:r>
      <w:r w:rsidR="003520CC">
        <w:t xml:space="preserve"> is the borrower’s FICO score at origination.  </w:t>
      </w:r>
      <w:r w:rsidR="003520CC" w:rsidRPr="006879D3">
        <w:rPr>
          <w:i/>
        </w:rPr>
        <w:t>RelLoanSize</w:t>
      </w:r>
      <w:r w:rsidR="003520CC">
        <w:t xml:space="preserve"> is the loan amount at origination divided by the average loan amount for originations in the same vintage year and county.  </w:t>
      </w:r>
      <w:r w:rsidR="003520CC" w:rsidRPr="005339F7">
        <w:rPr>
          <w:i/>
        </w:rPr>
        <w:t>OwnerOcc</w:t>
      </w:r>
      <w:r w:rsidR="003520CC">
        <w:t xml:space="preserve"> equals 1 if the mortgage is associated with an owner-occupied property, 0 otherwise.  </w:t>
      </w:r>
      <w:r w:rsidR="003520CC" w:rsidRPr="005339F7">
        <w:rPr>
          <w:i/>
        </w:rPr>
        <w:t>Term30</w:t>
      </w:r>
      <w:r w:rsidR="003520CC">
        <w:t xml:space="preserve"> equals 1 if the mortgage has a thirty-year maturity and equals 0 if the mortgage has a fifteen-year maturity.  </w:t>
      </w:r>
      <w:r w:rsidR="003520CC" w:rsidRPr="005339F7">
        <w:rPr>
          <w:i/>
        </w:rPr>
        <w:t>Prime</w:t>
      </w:r>
      <w:r w:rsidR="003520CC">
        <w:t xml:space="preserve"> is the monthly average bank prime lending rate at the time of origination from the Federal Reserve.  </w:t>
      </w:r>
      <w:r w:rsidR="003520CC" w:rsidRPr="00407E6D">
        <w:rPr>
          <w:i/>
        </w:rPr>
        <w:t>CensusAge15-34</w:t>
      </w:r>
      <w:r w:rsidR="003520CC">
        <w:t xml:space="preserve"> is the percentage of residents in the borrower’s census tract between the ages of 15 and 34 years old.  </w:t>
      </w:r>
      <w:r w:rsidR="003520CC" w:rsidRPr="00407E6D">
        <w:rPr>
          <w:i/>
        </w:rPr>
        <w:t>Census</w:t>
      </w:r>
      <w:r w:rsidR="003520CC" w:rsidRPr="00562A33">
        <w:rPr>
          <w:i/>
        </w:rPr>
        <w:t>Age35-54</w:t>
      </w:r>
      <w:r w:rsidR="003520CC">
        <w:t xml:space="preserve">, </w:t>
      </w:r>
      <w:r w:rsidR="003520CC" w:rsidRPr="00407E6D">
        <w:rPr>
          <w:i/>
        </w:rPr>
        <w:t>Census</w:t>
      </w:r>
      <w:r w:rsidR="003520CC" w:rsidRPr="00562A33">
        <w:rPr>
          <w:i/>
        </w:rPr>
        <w:t>Age55-69</w:t>
      </w:r>
      <w:r w:rsidR="003520CC">
        <w:t xml:space="preserve">, and </w:t>
      </w:r>
      <w:r w:rsidR="003520CC" w:rsidRPr="00407E6D">
        <w:rPr>
          <w:i/>
        </w:rPr>
        <w:t>Census</w:t>
      </w:r>
      <w:r w:rsidR="003520CC" w:rsidRPr="00562A33">
        <w:rPr>
          <w:i/>
        </w:rPr>
        <w:t>Age70plus</w:t>
      </w:r>
      <w:r w:rsidR="003520CC">
        <w:t xml:space="preserve"> are defined similarly for other age ranges.  </w:t>
      </w:r>
      <w:r w:rsidR="003520CC" w:rsidRPr="000520C4">
        <w:rPr>
          <w:i/>
        </w:rPr>
        <w:t>Value$1-$2</w:t>
      </w:r>
      <w:r w:rsidR="003520CC">
        <w:t xml:space="preserve"> is the percentage of owner-occupied residences in the borrower’s census tract valued between $100,000 and $200,000.  </w:t>
      </w:r>
      <w:r w:rsidR="003520CC" w:rsidRPr="00562A33">
        <w:rPr>
          <w:i/>
        </w:rPr>
        <w:t>Value$2-$3</w:t>
      </w:r>
      <w:r w:rsidR="003520CC">
        <w:t xml:space="preserve">, </w:t>
      </w:r>
      <w:r w:rsidR="003520CC" w:rsidRPr="00562A33">
        <w:rPr>
          <w:i/>
        </w:rPr>
        <w:t>Value$3-$5</w:t>
      </w:r>
      <w:r w:rsidR="003520CC">
        <w:t xml:space="preserve">, and </w:t>
      </w:r>
      <w:r w:rsidR="003520CC" w:rsidRPr="00562A33">
        <w:rPr>
          <w:i/>
        </w:rPr>
        <w:t>Value$5plus</w:t>
      </w:r>
      <w:r w:rsidR="003520CC">
        <w:t xml:space="preserve"> are defined similarly for other price ranges.  Vintage year indicators and a constant term are included in each specification.  Standard errors appear in parentheses</w:t>
      </w:r>
      <w:r w:rsidR="003520CC" w:rsidRPr="00957138">
        <w:t xml:space="preserve">.  </w:t>
      </w:r>
      <w:r w:rsidR="003520CC">
        <w:t>Levels of significance are indicated by *, **, and *** for 10%, 5%, and 1%, respectively.</w:t>
      </w:r>
    </w:p>
    <w:p w14:paraId="50388630" w14:textId="77777777" w:rsidR="00FF4EC3" w:rsidRDefault="00FF4EC3" w:rsidP="009D6779">
      <w:pPr>
        <w:spacing w:after="0"/>
        <w:contextualSpacing/>
      </w:pPr>
    </w:p>
    <w:tbl>
      <w:tblPr>
        <w:tblW w:w="0" w:type="auto"/>
        <w:jc w:val="center"/>
        <w:tblLook w:val="04A0" w:firstRow="1" w:lastRow="0" w:firstColumn="1" w:lastColumn="0" w:noHBand="0" w:noVBand="1"/>
      </w:tblPr>
      <w:tblGrid>
        <w:gridCol w:w="1624"/>
        <w:gridCol w:w="262"/>
        <w:gridCol w:w="1235"/>
        <w:gridCol w:w="1235"/>
        <w:gridCol w:w="1235"/>
        <w:gridCol w:w="262"/>
        <w:gridCol w:w="1033"/>
        <w:gridCol w:w="1033"/>
        <w:gridCol w:w="1033"/>
      </w:tblGrid>
      <w:tr w:rsidR="00626866" w:rsidRPr="00351E73" w14:paraId="6020B705"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hideMark/>
          </w:tcPr>
          <w:p w14:paraId="2380B1A3"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single" w:sz="4" w:space="0" w:color="auto"/>
              <w:left w:val="nil"/>
              <w:bottom w:val="nil"/>
              <w:right w:val="nil"/>
            </w:tcBorders>
            <w:shd w:val="clear" w:color="auto" w:fill="auto"/>
            <w:noWrap/>
            <w:vAlign w:val="bottom"/>
            <w:hideMark/>
          </w:tcPr>
          <w:p w14:paraId="1B2B77A9"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gridSpan w:val="3"/>
            <w:tcBorders>
              <w:top w:val="single" w:sz="4" w:space="0" w:color="auto"/>
              <w:left w:val="nil"/>
              <w:right w:val="nil"/>
            </w:tcBorders>
            <w:shd w:val="clear" w:color="auto" w:fill="auto"/>
            <w:noWrap/>
            <w:vAlign w:val="bottom"/>
            <w:hideMark/>
          </w:tcPr>
          <w:p w14:paraId="6D9A3FC5" w14:textId="77777777" w:rsidR="00626866" w:rsidRPr="00351E73" w:rsidRDefault="00626866" w:rsidP="009D6779">
            <w:pPr>
              <w:spacing w:after="0" w:line="240" w:lineRule="auto"/>
              <w:contextualSpacing/>
              <w:jc w:val="center"/>
              <w:rPr>
                <w:rFonts w:ascii="Calibri" w:eastAsia="Times New Roman" w:hAnsi="Calibri" w:cs="Calibri"/>
              </w:rPr>
            </w:pPr>
            <w:r w:rsidRPr="00351E73">
              <w:rPr>
                <w:rFonts w:ascii="Calibri" w:eastAsia="Times New Roman" w:hAnsi="Calibri" w:cs="Calibri"/>
              </w:rPr>
              <w:t xml:space="preserve">Dependent variable: </w:t>
            </w:r>
            <w:r w:rsidRPr="004961A2">
              <w:rPr>
                <w:rFonts w:ascii="Calibri" w:eastAsia="Times New Roman" w:hAnsi="Calibri" w:cs="Calibri"/>
                <w:i/>
              </w:rPr>
              <w:t>InitialRate</w:t>
            </w:r>
          </w:p>
        </w:tc>
        <w:tc>
          <w:tcPr>
            <w:tcW w:w="0" w:type="auto"/>
            <w:tcBorders>
              <w:top w:val="single" w:sz="4" w:space="0" w:color="auto"/>
              <w:left w:val="nil"/>
              <w:bottom w:val="nil"/>
              <w:right w:val="nil"/>
            </w:tcBorders>
            <w:shd w:val="clear" w:color="auto" w:fill="auto"/>
            <w:noWrap/>
            <w:vAlign w:val="bottom"/>
            <w:hideMark/>
          </w:tcPr>
          <w:p w14:paraId="518D5D4E"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gridSpan w:val="3"/>
            <w:tcBorders>
              <w:top w:val="single" w:sz="4" w:space="0" w:color="auto"/>
              <w:left w:val="nil"/>
              <w:right w:val="nil"/>
            </w:tcBorders>
            <w:shd w:val="clear" w:color="auto" w:fill="auto"/>
            <w:noWrap/>
            <w:vAlign w:val="bottom"/>
            <w:hideMark/>
          </w:tcPr>
          <w:p w14:paraId="3741532D" w14:textId="77777777" w:rsidR="00626866" w:rsidRPr="00351E73" w:rsidRDefault="00626866" w:rsidP="009D6779">
            <w:pPr>
              <w:spacing w:after="0" w:line="240" w:lineRule="auto"/>
              <w:contextualSpacing/>
              <w:jc w:val="center"/>
              <w:rPr>
                <w:rFonts w:ascii="Calibri" w:eastAsia="Times New Roman" w:hAnsi="Calibri" w:cs="Calibri"/>
              </w:rPr>
            </w:pPr>
            <w:r w:rsidRPr="00351E73">
              <w:rPr>
                <w:rFonts w:ascii="Calibri" w:eastAsia="Times New Roman" w:hAnsi="Calibri" w:cs="Calibri"/>
              </w:rPr>
              <w:t xml:space="preserve">Dependent variable: </w:t>
            </w:r>
            <w:r w:rsidRPr="004961A2">
              <w:rPr>
                <w:rFonts w:ascii="Calibri" w:eastAsia="Times New Roman" w:hAnsi="Calibri" w:cs="Calibri"/>
                <w:i/>
              </w:rPr>
              <w:t>LTV</w:t>
            </w:r>
          </w:p>
        </w:tc>
      </w:tr>
      <w:tr w:rsidR="00626866" w:rsidRPr="00351E73" w14:paraId="09D0373A"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hideMark/>
          </w:tcPr>
          <w:p w14:paraId="621A1434"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1D86037B"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hideMark/>
          </w:tcPr>
          <w:p w14:paraId="39405170"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center"/>
            <w:hideMark/>
          </w:tcPr>
          <w:p w14:paraId="738101A9"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center"/>
            <w:hideMark/>
          </w:tcPr>
          <w:p w14:paraId="3729B7A4"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(3)</w:t>
            </w:r>
          </w:p>
        </w:tc>
        <w:tc>
          <w:tcPr>
            <w:tcW w:w="0" w:type="auto"/>
            <w:tcBorders>
              <w:top w:val="nil"/>
              <w:left w:val="nil"/>
              <w:bottom w:val="nil"/>
              <w:right w:val="nil"/>
            </w:tcBorders>
            <w:shd w:val="clear" w:color="auto" w:fill="auto"/>
            <w:noWrap/>
            <w:vAlign w:val="center"/>
            <w:hideMark/>
          </w:tcPr>
          <w:p w14:paraId="5676E32C"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center"/>
            <w:hideMark/>
          </w:tcPr>
          <w:p w14:paraId="29F5EB99"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(4)</w:t>
            </w:r>
          </w:p>
        </w:tc>
        <w:tc>
          <w:tcPr>
            <w:tcW w:w="0" w:type="auto"/>
            <w:tcBorders>
              <w:top w:val="nil"/>
              <w:left w:val="nil"/>
              <w:bottom w:val="single" w:sz="4" w:space="0" w:color="auto"/>
              <w:right w:val="nil"/>
            </w:tcBorders>
            <w:shd w:val="clear" w:color="auto" w:fill="auto"/>
            <w:noWrap/>
            <w:vAlign w:val="center"/>
            <w:hideMark/>
          </w:tcPr>
          <w:p w14:paraId="5A5C138A"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(5)</w:t>
            </w:r>
          </w:p>
        </w:tc>
        <w:tc>
          <w:tcPr>
            <w:tcW w:w="0" w:type="auto"/>
            <w:tcBorders>
              <w:top w:val="nil"/>
              <w:left w:val="nil"/>
              <w:bottom w:val="single" w:sz="4" w:space="0" w:color="auto"/>
              <w:right w:val="nil"/>
            </w:tcBorders>
            <w:shd w:val="clear" w:color="auto" w:fill="auto"/>
            <w:noWrap/>
            <w:vAlign w:val="center"/>
            <w:hideMark/>
          </w:tcPr>
          <w:p w14:paraId="19666F80"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(6)</w:t>
            </w:r>
          </w:p>
        </w:tc>
      </w:tr>
      <w:tr w:rsidR="00DF2657" w:rsidRPr="00351E73" w14:paraId="7E736E5A"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hideMark/>
          </w:tcPr>
          <w:p w14:paraId="13E3689E"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nil"/>
              <w:left w:val="nil"/>
              <w:bottom w:val="nil"/>
              <w:right w:val="nil"/>
            </w:tcBorders>
            <w:shd w:val="clear" w:color="auto" w:fill="auto"/>
            <w:noWrap/>
            <w:vAlign w:val="bottom"/>
            <w:hideMark/>
          </w:tcPr>
          <w:p w14:paraId="16311FE3"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single" w:sz="4" w:space="0" w:color="auto"/>
              <w:left w:val="nil"/>
              <w:bottom w:val="nil"/>
              <w:right w:val="nil"/>
            </w:tcBorders>
            <w:shd w:val="clear" w:color="auto" w:fill="auto"/>
            <w:noWrap/>
            <w:vAlign w:val="bottom"/>
          </w:tcPr>
          <w:p w14:paraId="75A0FA9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single" w:sz="4" w:space="0" w:color="auto"/>
              <w:left w:val="nil"/>
              <w:bottom w:val="nil"/>
              <w:right w:val="nil"/>
            </w:tcBorders>
            <w:shd w:val="clear" w:color="auto" w:fill="auto"/>
            <w:noWrap/>
            <w:vAlign w:val="bottom"/>
          </w:tcPr>
          <w:p w14:paraId="3BB961D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.00805**</w:t>
            </w:r>
          </w:p>
        </w:tc>
        <w:tc>
          <w:tcPr>
            <w:tcW w:w="0" w:type="auto"/>
            <w:tcBorders>
              <w:top w:val="single" w:sz="4" w:space="0" w:color="auto"/>
              <w:left w:val="nil"/>
              <w:bottom w:val="nil"/>
              <w:right w:val="nil"/>
            </w:tcBorders>
            <w:shd w:val="clear" w:color="auto" w:fill="auto"/>
            <w:noWrap/>
            <w:vAlign w:val="bottom"/>
          </w:tcPr>
          <w:p w14:paraId="51EC6FB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.0227***</w:t>
            </w:r>
          </w:p>
        </w:tc>
        <w:tc>
          <w:tcPr>
            <w:tcW w:w="0" w:type="auto"/>
            <w:tcBorders>
              <w:top w:val="nil"/>
              <w:left w:val="nil"/>
              <w:bottom w:val="nil"/>
              <w:right w:val="nil"/>
            </w:tcBorders>
            <w:shd w:val="clear" w:color="auto" w:fill="auto"/>
            <w:noWrap/>
            <w:vAlign w:val="bottom"/>
          </w:tcPr>
          <w:p w14:paraId="7686B92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97A598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5C843D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w:t>
            </w:r>
            <w:r w:rsidR="00E61DBF">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EE0503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-1.296***</w:t>
            </w:r>
          </w:p>
        </w:tc>
      </w:tr>
      <w:tr w:rsidR="00DF2657" w:rsidRPr="00351E73" w14:paraId="6847D901"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D5D816F"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773B5A36"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B00B01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4715B5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(.00342)</w:t>
            </w:r>
          </w:p>
        </w:tc>
        <w:tc>
          <w:tcPr>
            <w:tcW w:w="0" w:type="auto"/>
            <w:tcBorders>
              <w:top w:val="nil"/>
              <w:left w:val="nil"/>
              <w:bottom w:val="nil"/>
              <w:right w:val="nil"/>
            </w:tcBorders>
            <w:shd w:val="clear" w:color="auto" w:fill="auto"/>
            <w:noWrap/>
            <w:vAlign w:val="bottom"/>
          </w:tcPr>
          <w:p w14:paraId="2BC92C4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(.00432)</w:t>
            </w:r>
          </w:p>
        </w:tc>
        <w:tc>
          <w:tcPr>
            <w:tcW w:w="0" w:type="auto"/>
            <w:tcBorders>
              <w:top w:val="nil"/>
              <w:left w:val="nil"/>
              <w:bottom w:val="nil"/>
              <w:right w:val="nil"/>
            </w:tcBorders>
            <w:shd w:val="clear" w:color="auto" w:fill="auto"/>
            <w:noWrap/>
            <w:vAlign w:val="bottom"/>
          </w:tcPr>
          <w:p w14:paraId="5FB3C72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EEC019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F055F8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(.137)</w:t>
            </w:r>
          </w:p>
        </w:tc>
        <w:tc>
          <w:tcPr>
            <w:tcW w:w="0" w:type="auto"/>
            <w:tcBorders>
              <w:top w:val="nil"/>
              <w:left w:val="nil"/>
              <w:bottom w:val="nil"/>
              <w:right w:val="nil"/>
            </w:tcBorders>
            <w:shd w:val="clear" w:color="auto" w:fill="auto"/>
            <w:noWrap/>
            <w:vAlign w:val="bottom"/>
          </w:tcPr>
          <w:p w14:paraId="5C2DE8C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(.174)</w:t>
            </w:r>
          </w:p>
        </w:tc>
      </w:tr>
      <w:tr w:rsidR="00DF2657" w:rsidRPr="00351E73" w14:paraId="45C8E681"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75CFCD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hideMark/>
          </w:tcPr>
          <w:p w14:paraId="355C9926"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C6C26D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C1BC0E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6FC3545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.0445***</w:t>
            </w:r>
          </w:p>
        </w:tc>
        <w:tc>
          <w:tcPr>
            <w:tcW w:w="0" w:type="auto"/>
            <w:tcBorders>
              <w:top w:val="nil"/>
              <w:left w:val="nil"/>
              <w:bottom w:val="nil"/>
              <w:right w:val="nil"/>
            </w:tcBorders>
            <w:shd w:val="clear" w:color="auto" w:fill="auto"/>
            <w:noWrap/>
            <w:vAlign w:val="bottom"/>
          </w:tcPr>
          <w:p w14:paraId="3387C7A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B032C1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3BFEAD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-.618</w:t>
            </w:r>
          </w:p>
        </w:tc>
        <w:tc>
          <w:tcPr>
            <w:tcW w:w="0" w:type="auto"/>
            <w:tcBorders>
              <w:top w:val="nil"/>
              <w:left w:val="nil"/>
              <w:bottom w:val="nil"/>
              <w:right w:val="nil"/>
            </w:tcBorders>
            <w:shd w:val="clear" w:color="auto" w:fill="auto"/>
            <w:noWrap/>
            <w:vAlign w:val="bottom"/>
          </w:tcPr>
          <w:p w14:paraId="34A1FF3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-.457</w:t>
            </w:r>
          </w:p>
        </w:tc>
      </w:tr>
      <w:tr w:rsidR="00DF2657" w:rsidRPr="00351E73" w14:paraId="5101B3B4"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73FB090"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71656C03"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AED97E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7E9CA5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(.0141)</w:t>
            </w:r>
          </w:p>
        </w:tc>
        <w:tc>
          <w:tcPr>
            <w:tcW w:w="0" w:type="auto"/>
            <w:tcBorders>
              <w:top w:val="nil"/>
              <w:left w:val="nil"/>
              <w:bottom w:val="nil"/>
              <w:right w:val="nil"/>
            </w:tcBorders>
            <w:shd w:val="clear" w:color="auto" w:fill="auto"/>
            <w:noWrap/>
            <w:vAlign w:val="bottom"/>
          </w:tcPr>
          <w:p w14:paraId="0F045FB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(.0143)</w:t>
            </w:r>
          </w:p>
        </w:tc>
        <w:tc>
          <w:tcPr>
            <w:tcW w:w="0" w:type="auto"/>
            <w:tcBorders>
              <w:top w:val="nil"/>
              <w:left w:val="nil"/>
              <w:bottom w:val="nil"/>
              <w:right w:val="nil"/>
            </w:tcBorders>
            <w:shd w:val="clear" w:color="auto" w:fill="auto"/>
            <w:noWrap/>
            <w:vAlign w:val="bottom"/>
          </w:tcPr>
          <w:p w14:paraId="35D9EAB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40D6D0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21B9E0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(.57</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4889294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(.578)</w:t>
            </w:r>
          </w:p>
        </w:tc>
      </w:tr>
      <w:tr w:rsidR="00DF2657" w:rsidRPr="00351E73" w14:paraId="740D95D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957E698"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hideMark/>
          </w:tcPr>
          <w:p w14:paraId="4C3625C4"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453B42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A33483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C6605C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-.0385***</w:t>
            </w:r>
          </w:p>
        </w:tc>
        <w:tc>
          <w:tcPr>
            <w:tcW w:w="0" w:type="auto"/>
            <w:tcBorders>
              <w:top w:val="nil"/>
              <w:left w:val="nil"/>
              <w:bottom w:val="nil"/>
              <w:right w:val="nil"/>
            </w:tcBorders>
            <w:shd w:val="clear" w:color="auto" w:fill="auto"/>
            <w:noWrap/>
            <w:vAlign w:val="bottom"/>
          </w:tcPr>
          <w:p w14:paraId="40F7713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FBE217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C17BD8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5CFE83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-.535*</w:t>
            </w:r>
          </w:p>
        </w:tc>
      </w:tr>
      <w:tr w:rsidR="00DF2657" w:rsidRPr="00351E73" w14:paraId="5B57A162"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83B75CF"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2C237253"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6E591B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015440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AE05D4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(.00697)</w:t>
            </w:r>
          </w:p>
        </w:tc>
        <w:tc>
          <w:tcPr>
            <w:tcW w:w="0" w:type="auto"/>
            <w:tcBorders>
              <w:top w:val="nil"/>
              <w:left w:val="nil"/>
              <w:bottom w:val="nil"/>
              <w:right w:val="nil"/>
            </w:tcBorders>
            <w:shd w:val="clear" w:color="auto" w:fill="auto"/>
            <w:noWrap/>
            <w:vAlign w:val="bottom"/>
          </w:tcPr>
          <w:p w14:paraId="2C6702E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6E6FB7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648AEE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D6AF57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(.286)</w:t>
            </w:r>
          </w:p>
        </w:tc>
      </w:tr>
      <w:tr w:rsidR="00FC7167" w:rsidRPr="00351E73" w14:paraId="751B730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BD70D8F"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LTV</w:t>
            </w:r>
          </w:p>
        </w:tc>
        <w:tc>
          <w:tcPr>
            <w:tcW w:w="0" w:type="auto"/>
            <w:tcBorders>
              <w:top w:val="nil"/>
              <w:left w:val="nil"/>
              <w:bottom w:val="nil"/>
              <w:right w:val="nil"/>
            </w:tcBorders>
            <w:shd w:val="clear" w:color="auto" w:fill="auto"/>
            <w:noWrap/>
            <w:vAlign w:val="bottom"/>
            <w:hideMark/>
          </w:tcPr>
          <w:p w14:paraId="14300271"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0DA543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.0126***</w:t>
            </w:r>
          </w:p>
        </w:tc>
        <w:tc>
          <w:tcPr>
            <w:tcW w:w="0" w:type="auto"/>
            <w:tcBorders>
              <w:top w:val="nil"/>
              <w:left w:val="nil"/>
              <w:bottom w:val="nil"/>
              <w:right w:val="nil"/>
            </w:tcBorders>
            <w:shd w:val="clear" w:color="auto" w:fill="auto"/>
            <w:noWrap/>
            <w:vAlign w:val="bottom"/>
          </w:tcPr>
          <w:p w14:paraId="22DD671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.0126***</w:t>
            </w:r>
          </w:p>
        </w:tc>
        <w:tc>
          <w:tcPr>
            <w:tcW w:w="0" w:type="auto"/>
            <w:tcBorders>
              <w:top w:val="nil"/>
              <w:left w:val="nil"/>
              <w:bottom w:val="nil"/>
              <w:right w:val="nil"/>
            </w:tcBorders>
            <w:shd w:val="clear" w:color="auto" w:fill="auto"/>
            <w:noWrap/>
            <w:vAlign w:val="bottom"/>
          </w:tcPr>
          <w:p w14:paraId="22C7F40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.0126***</w:t>
            </w:r>
          </w:p>
        </w:tc>
        <w:tc>
          <w:tcPr>
            <w:tcW w:w="0" w:type="auto"/>
            <w:tcBorders>
              <w:top w:val="nil"/>
              <w:left w:val="nil"/>
              <w:bottom w:val="nil"/>
              <w:right w:val="nil"/>
            </w:tcBorders>
            <w:shd w:val="clear" w:color="auto" w:fill="auto"/>
            <w:noWrap/>
            <w:vAlign w:val="bottom"/>
          </w:tcPr>
          <w:p w14:paraId="6BE8BBB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A76C7F4"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9E1BF5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477704A" w14:textId="77777777" w:rsidR="00FC7167" w:rsidRPr="00C72371" w:rsidRDefault="00FC7167" w:rsidP="009D6779">
            <w:pPr>
              <w:spacing w:after="0" w:line="240" w:lineRule="auto"/>
              <w:contextualSpacing/>
              <w:jc w:val="center"/>
              <w:rPr>
                <w:rFonts w:ascii="Times New Roman" w:eastAsia="Times New Roman" w:hAnsi="Times New Roman" w:cs="Times New Roman"/>
                <w:sz w:val="20"/>
                <w:szCs w:val="20"/>
              </w:rPr>
            </w:pPr>
          </w:p>
        </w:tc>
      </w:tr>
      <w:tr w:rsidR="00FC7167" w:rsidRPr="00351E73" w14:paraId="21957F3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91839C5"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716D01D2"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DEBCB8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(.000402)</w:t>
            </w:r>
          </w:p>
        </w:tc>
        <w:tc>
          <w:tcPr>
            <w:tcW w:w="0" w:type="auto"/>
            <w:tcBorders>
              <w:top w:val="nil"/>
              <w:left w:val="nil"/>
              <w:bottom w:val="nil"/>
              <w:right w:val="nil"/>
            </w:tcBorders>
            <w:shd w:val="clear" w:color="auto" w:fill="auto"/>
            <w:noWrap/>
            <w:vAlign w:val="bottom"/>
          </w:tcPr>
          <w:p w14:paraId="59EBC5C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w:t>
            </w:r>
            <w:r w:rsidR="00E61DBF">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450FEF29"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w:t>
            </w:r>
            <w:r w:rsidR="00E61DBF">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F56DFC0"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2D272C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E8A5F0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D6CCA31" w14:textId="77777777" w:rsidR="00FC7167" w:rsidRPr="00C72371" w:rsidRDefault="00FC7167" w:rsidP="009D6779">
            <w:pPr>
              <w:spacing w:after="0" w:line="240" w:lineRule="auto"/>
              <w:contextualSpacing/>
              <w:jc w:val="center"/>
              <w:rPr>
                <w:rFonts w:ascii="Times New Roman" w:eastAsia="Times New Roman" w:hAnsi="Times New Roman" w:cs="Times New Roman"/>
                <w:sz w:val="20"/>
                <w:szCs w:val="20"/>
              </w:rPr>
            </w:pPr>
          </w:p>
        </w:tc>
      </w:tr>
      <w:tr w:rsidR="00FC7167" w:rsidRPr="00351E73" w14:paraId="35BF9A8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F3D0F8D"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InitialRate</w:t>
            </w:r>
          </w:p>
        </w:tc>
        <w:tc>
          <w:tcPr>
            <w:tcW w:w="0" w:type="auto"/>
            <w:tcBorders>
              <w:top w:val="nil"/>
              <w:left w:val="nil"/>
              <w:bottom w:val="nil"/>
              <w:right w:val="nil"/>
            </w:tcBorders>
            <w:shd w:val="clear" w:color="auto" w:fill="auto"/>
            <w:noWrap/>
            <w:vAlign w:val="bottom"/>
            <w:hideMark/>
          </w:tcPr>
          <w:p w14:paraId="648AA07D"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53BB673"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ED327D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5ACBA6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E76C919"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E0D7DD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-6.062***</w:t>
            </w:r>
          </w:p>
        </w:tc>
        <w:tc>
          <w:tcPr>
            <w:tcW w:w="0" w:type="auto"/>
            <w:tcBorders>
              <w:top w:val="nil"/>
              <w:left w:val="nil"/>
              <w:bottom w:val="nil"/>
              <w:right w:val="nil"/>
            </w:tcBorders>
            <w:shd w:val="clear" w:color="auto" w:fill="auto"/>
            <w:noWrap/>
            <w:vAlign w:val="bottom"/>
          </w:tcPr>
          <w:p w14:paraId="76A1EFC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-5.75</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D77BDF8"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-5.792***</w:t>
            </w:r>
          </w:p>
        </w:tc>
      </w:tr>
      <w:tr w:rsidR="00FC7167" w:rsidRPr="00351E73" w14:paraId="34F88E5B"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296FE50"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45A7066C"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3AE4263"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F35B20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9FC4749"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E477597"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676F2E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(1.357)</w:t>
            </w:r>
          </w:p>
        </w:tc>
        <w:tc>
          <w:tcPr>
            <w:tcW w:w="0" w:type="auto"/>
            <w:tcBorders>
              <w:top w:val="nil"/>
              <w:left w:val="nil"/>
              <w:bottom w:val="nil"/>
              <w:right w:val="nil"/>
            </w:tcBorders>
            <w:shd w:val="clear" w:color="auto" w:fill="auto"/>
            <w:noWrap/>
            <w:vAlign w:val="bottom"/>
          </w:tcPr>
          <w:p w14:paraId="1C525C78"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(1.351)</w:t>
            </w:r>
          </w:p>
        </w:tc>
        <w:tc>
          <w:tcPr>
            <w:tcW w:w="0" w:type="auto"/>
            <w:tcBorders>
              <w:top w:val="nil"/>
              <w:left w:val="nil"/>
              <w:bottom w:val="nil"/>
              <w:right w:val="nil"/>
            </w:tcBorders>
            <w:shd w:val="clear" w:color="auto" w:fill="auto"/>
            <w:noWrap/>
            <w:vAlign w:val="bottom"/>
          </w:tcPr>
          <w:p w14:paraId="1EB2306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(1.356)</w:t>
            </w:r>
          </w:p>
        </w:tc>
      </w:tr>
      <w:tr w:rsidR="00FC7167" w:rsidRPr="00351E73" w14:paraId="66B8BA5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E79FAD9"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hideMark/>
          </w:tcPr>
          <w:p w14:paraId="68991CBD"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4F06A8E"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-.000814***</w:t>
            </w:r>
          </w:p>
        </w:tc>
        <w:tc>
          <w:tcPr>
            <w:tcW w:w="0" w:type="auto"/>
            <w:tcBorders>
              <w:top w:val="nil"/>
              <w:left w:val="nil"/>
              <w:bottom w:val="nil"/>
              <w:right w:val="nil"/>
            </w:tcBorders>
            <w:shd w:val="clear" w:color="auto" w:fill="auto"/>
            <w:noWrap/>
            <w:vAlign w:val="bottom"/>
          </w:tcPr>
          <w:p w14:paraId="2634B90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-.000813***</w:t>
            </w:r>
          </w:p>
        </w:tc>
        <w:tc>
          <w:tcPr>
            <w:tcW w:w="0" w:type="auto"/>
            <w:tcBorders>
              <w:top w:val="nil"/>
              <w:left w:val="nil"/>
              <w:bottom w:val="nil"/>
              <w:right w:val="nil"/>
            </w:tcBorders>
            <w:shd w:val="clear" w:color="auto" w:fill="auto"/>
            <w:noWrap/>
            <w:vAlign w:val="bottom"/>
          </w:tcPr>
          <w:p w14:paraId="4FAA390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-.000805***</w:t>
            </w:r>
          </w:p>
        </w:tc>
        <w:tc>
          <w:tcPr>
            <w:tcW w:w="0" w:type="auto"/>
            <w:tcBorders>
              <w:top w:val="nil"/>
              <w:left w:val="nil"/>
              <w:bottom w:val="nil"/>
              <w:right w:val="nil"/>
            </w:tcBorders>
            <w:shd w:val="clear" w:color="auto" w:fill="auto"/>
            <w:noWrap/>
            <w:vAlign w:val="bottom"/>
          </w:tcPr>
          <w:p w14:paraId="505A76F7"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992CF20"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-.075</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020DFF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-.0746***</w:t>
            </w:r>
          </w:p>
        </w:tc>
        <w:tc>
          <w:tcPr>
            <w:tcW w:w="0" w:type="auto"/>
            <w:tcBorders>
              <w:top w:val="nil"/>
              <w:left w:val="nil"/>
              <w:bottom w:val="nil"/>
              <w:right w:val="nil"/>
            </w:tcBorders>
            <w:shd w:val="clear" w:color="auto" w:fill="auto"/>
            <w:noWrap/>
            <w:vAlign w:val="bottom"/>
          </w:tcPr>
          <w:p w14:paraId="183C91F9"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-.0746***</w:t>
            </w:r>
          </w:p>
        </w:tc>
      </w:tr>
      <w:tr w:rsidR="00FC7167" w:rsidRPr="00351E73" w14:paraId="0087688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7D2C233"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4B7109C0"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A8FE1D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(.0000525)</w:t>
            </w:r>
          </w:p>
        </w:tc>
        <w:tc>
          <w:tcPr>
            <w:tcW w:w="0" w:type="auto"/>
            <w:tcBorders>
              <w:top w:val="nil"/>
              <w:left w:val="nil"/>
              <w:bottom w:val="nil"/>
              <w:right w:val="nil"/>
            </w:tcBorders>
            <w:shd w:val="clear" w:color="auto" w:fill="auto"/>
            <w:noWrap/>
            <w:vAlign w:val="bottom"/>
          </w:tcPr>
          <w:p w14:paraId="0CD6EB5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(.0000524)</w:t>
            </w:r>
          </w:p>
        </w:tc>
        <w:tc>
          <w:tcPr>
            <w:tcW w:w="0" w:type="auto"/>
            <w:tcBorders>
              <w:top w:val="nil"/>
              <w:left w:val="nil"/>
              <w:bottom w:val="nil"/>
              <w:right w:val="nil"/>
            </w:tcBorders>
            <w:shd w:val="clear" w:color="auto" w:fill="auto"/>
            <w:noWrap/>
            <w:vAlign w:val="bottom"/>
          </w:tcPr>
          <w:p w14:paraId="2C0E347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(.0000524)</w:t>
            </w:r>
          </w:p>
        </w:tc>
        <w:tc>
          <w:tcPr>
            <w:tcW w:w="0" w:type="auto"/>
            <w:tcBorders>
              <w:top w:val="nil"/>
              <w:left w:val="nil"/>
              <w:bottom w:val="nil"/>
              <w:right w:val="nil"/>
            </w:tcBorders>
            <w:shd w:val="clear" w:color="auto" w:fill="auto"/>
            <w:noWrap/>
            <w:vAlign w:val="bottom"/>
          </w:tcPr>
          <w:p w14:paraId="3800130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5E78E5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(.00275)</w:t>
            </w:r>
          </w:p>
        </w:tc>
        <w:tc>
          <w:tcPr>
            <w:tcW w:w="0" w:type="auto"/>
            <w:tcBorders>
              <w:top w:val="nil"/>
              <w:left w:val="nil"/>
              <w:bottom w:val="nil"/>
              <w:right w:val="nil"/>
            </w:tcBorders>
            <w:shd w:val="clear" w:color="auto" w:fill="auto"/>
            <w:noWrap/>
            <w:vAlign w:val="bottom"/>
          </w:tcPr>
          <w:p w14:paraId="4F4BCD4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(.00274)</w:t>
            </w:r>
          </w:p>
        </w:tc>
        <w:tc>
          <w:tcPr>
            <w:tcW w:w="0" w:type="auto"/>
            <w:tcBorders>
              <w:top w:val="nil"/>
              <w:left w:val="nil"/>
              <w:bottom w:val="nil"/>
              <w:right w:val="nil"/>
            </w:tcBorders>
            <w:shd w:val="clear" w:color="auto" w:fill="auto"/>
            <w:noWrap/>
            <w:vAlign w:val="bottom"/>
          </w:tcPr>
          <w:p w14:paraId="2A0E455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(.00274)</w:t>
            </w:r>
          </w:p>
        </w:tc>
      </w:tr>
      <w:tr w:rsidR="00FC7167" w:rsidRPr="00351E73" w14:paraId="3A527F2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5C122C2"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hideMark/>
          </w:tcPr>
          <w:p w14:paraId="3D5F5D05"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E80676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-.198***</w:t>
            </w:r>
          </w:p>
        </w:tc>
        <w:tc>
          <w:tcPr>
            <w:tcW w:w="0" w:type="auto"/>
            <w:tcBorders>
              <w:top w:val="nil"/>
              <w:left w:val="nil"/>
              <w:bottom w:val="nil"/>
              <w:right w:val="nil"/>
            </w:tcBorders>
            <w:shd w:val="clear" w:color="auto" w:fill="auto"/>
            <w:noWrap/>
            <w:vAlign w:val="bottom"/>
          </w:tcPr>
          <w:p w14:paraId="6F0AB08E"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-.197***</w:t>
            </w:r>
          </w:p>
        </w:tc>
        <w:tc>
          <w:tcPr>
            <w:tcW w:w="0" w:type="auto"/>
            <w:tcBorders>
              <w:top w:val="nil"/>
              <w:left w:val="nil"/>
              <w:bottom w:val="nil"/>
              <w:right w:val="nil"/>
            </w:tcBorders>
            <w:shd w:val="clear" w:color="auto" w:fill="auto"/>
            <w:noWrap/>
            <w:vAlign w:val="bottom"/>
          </w:tcPr>
          <w:p w14:paraId="082419E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-.197***</w:t>
            </w:r>
          </w:p>
        </w:tc>
        <w:tc>
          <w:tcPr>
            <w:tcW w:w="0" w:type="auto"/>
            <w:tcBorders>
              <w:top w:val="nil"/>
              <w:left w:val="nil"/>
              <w:bottom w:val="nil"/>
              <w:right w:val="nil"/>
            </w:tcBorders>
            <w:shd w:val="clear" w:color="auto" w:fill="auto"/>
            <w:noWrap/>
            <w:vAlign w:val="bottom"/>
          </w:tcPr>
          <w:p w14:paraId="6C0225A7"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96B721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7.97</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1A0521C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7.995***</w:t>
            </w:r>
          </w:p>
        </w:tc>
        <w:tc>
          <w:tcPr>
            <w:tcW w:w="0" w:type="auto"/>
            <w:tcBorders>
              <w:top w:val="nil"/>
              <w:left w:val="nil"/>
              <w:bottom w:val="nil"/>
              <w:right w:val="nil"/>
            </w:tcBorders>
            <w:shd w:val="clear" w:color="auto" w:fill="auto"/>
            <w:noWrap/>
            <w:vAlign w:val="bottom"/>
          </w:tcPr>
          <w:p w14:paraId="51EE3420"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8.002***</w:t>
            </w:r>
          </w:p>
        </w:tc>
      </w:tr>
      <w:tr w:rsidR="00FC7167" w:rsidRPr="00351E73" w14:paraId="1B9530A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9E3BDC1"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00F34166"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F20A6F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(.00478)</w:t>
            </w:r>
          </w:p>
        </w:tc>
        <w:tc>
          <w:tcPr>
            <w:tcW w:w="0" w:type="auto"/>
            <w:tcBorders>
              <w:top w:val="nil"/>
              <w:left w:val="nil"/>
              <w:bottom w:val="nil"/>
              <w:right w:val="nil"/>
            </w:tcBorders>
            <w:shd w:val="clear" w:color="auto" w:fill="auto"/>
            <w:noWrap/>
            <w:vAlign w:val="bottom"/>
          </w:tcPr>
          <w:p w14:paraId="72B150E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(.00478)</w:t>
            </w:r>
          </w:p>
        </w:tc>
        <w:tc>
          <w:tcPr>
            <w:tcW w:w="0" w:type="auto"/>
            <w:tcBorders>
              <w:top w:val="nil"/>
              <w:left w:val="nil"/>
              <w:bottom w:val="nil"/>
              <w:right w:val="nil"/>
            </w:tcBorders>
            <w:shd w:val="clear" w:color="auto" w:fill="auto"/>
            <w:noWrap/>
            <w:vAlign w:val="bottom"/>
          </w:tcPr>
          <w:p w14:paraId="177A9697"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(.00478)</w:t>
            </w:r>
          </w:p>
        </w:tc>
        <w:tc>
          <w:tcPr>
            <w:tcW w:w="0" w:type="auto"/>
            <w:tcBorders>
              <w:top w:val="nil"/>
              <w:left w:val="nil"/>
              <w:bottom w:val="nil"/>
              <w:right w:val="nil"/>
            </w:tcBorders>
            <w:shd w:val="clear" w:color="auto" w:fill="auto"/>
            <w:noWrap/>
            <w:vAlign w:val="bottom"/>
          </w:tcPr>
          <w:p w14:paraId="54EFCBB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E67E3E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(.217)</w:t>
            </w:r>
          </w:p>
        </w:tc>
        <w:tc>
          <w:tcPr>
            <w:tcW w:w="0" w:type="auto"/>
            <w:tcBorders>
              <w:top w:val="nil"/>
              <w:left w:val="nil"/>
              <w:bottom w:val="nil"/>
              <w:right w:val="nil"/>
            </w:tcBorders>
            <w:shd w:val="clear" w:color="auto" w:fill="auto"/>
            <w:noWrap/>
            <w:vAlign w:val="bottom"/>
          </w:tcPr>
          <w:p w14:paraId="42A00C3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(.217)</w:t>
            </w:r>
          </w:p>
        </w:tc>
        <w:tc>
          <w:tcPr>
            <w:tcW w:w="0" w:type="auto"/>
            <w:tcBorders>
              <w:top w:val="nil"/>
              <w:left w:val="nil"/>
              <w:bottom w:val="nil"/>
              <w:right w:val="nil"/>
            </w:tcBorders>
            <w:shd w:val="clear" w:color="auto" w:fill="auto"/>
            <w:noWrap/>
            <w:vAlign w:val="bottom"/>
          </w:tcPr>
          <w:p w14:paraId="11022D6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(.216)</w:t>
            </w:r>
          </w:p>
        </w:tc>
      </w:tr>
      <w:tr w:rsidR="00FC7167" w:rsidRPr="00351E73" w14:paraId="3C3365C8"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57719EE"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OwnerOcc</w:t>
            </w:r>
          </w:p>
        </w:tc>
        <w:tc>
          <w:tcPr>
            <w:tcW w:w="0" w:type="auto"/>
            <w:tcBorders>
              <w:top w:val="nil"/>
              <w:left w:val="nil"/>
              <w:bottom w:val="nil"/>
              <w:right w:val="nil"/>
            </w:tcBorders>
            <w:shd w:val="clear" w:color="auto" w:fill="auto"/>
            <w:noWrap/>
            <w:vAlign w:val="bottom"/>
            <w:hideMark/>
          </w:tcPr>
          <w:p w14:paraId="052A94F5"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DA1382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-.282***</w:t>
            </w:r>
          </w:p>
        </w:tc>
        <w:tc>
          <w:tcPr>
            <w:tcW w:w="0" w:type="auto"/>
            <w:tcBorders>
              <w:top w:val="nil"/>
              <w:left w:val="nil"/>
              <w:bottom w:val="nil"/>
              <w:right w:val="nil"/>
            </w:tcBorders>
            <w:shd w:val="clear" w:color="auto" w:fill="auto"/>
            <w:noWrap/>
            <w:vAlign w:val="bottom"/>
          </w:tcPr>
          <w:p w14:paraId="3CF3C5A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-.282***</w:t>
            </w:r>
          </w:p>
        </w:tc>
        <w:tc>
          <w:tcPr>
            <w:tcW w:w="0" w:type="auto"/>
            <w:tcBorders>
              <w:top w:val="nil"/>
              <w:left w:val="nil"/>
              <w:bottom w:val="nil"/>
              <w:right w:val="nil"/>
            </w:tcBorders>
            <w:shd w:val="clear" w:color="auto" w:fill="auto"/>
            <w:noWrap/>
            <w:vAlign w:val="bottom"/>
          </w:tcPr>
          <w:p w14:paraId="6EF33657"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-.282***</w:t>
            </w:r>
          </w:p>
        </w:tc>
        <w:tc>
          <w:tcPr>
            <w:tcW w:w="0" w:type="auto"/>
            <w:tcBorders>
              <w:top w:val="nil"/>
              <w:left w:val="nil"/>
              <w:bottom w:val="nil"/>
              <w:right w:val="nil"/>
            </w:tcBorders>
            <w:shd w:val="clear" w:color="auto" w:fill="auto"/>
            <w:noWrap/>
            <w:vAlign w:val="bottom"/>
          </w:tcPr>
          <w:p w14:paraId="0378A62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68B44C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-.68</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67DAE7A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-.626</w:t>
            </w:r>
          </w:p>
        </w:tc>
        <w:tc>
          <w:tcPr>
            <w:tcW w:w="0" w:type="auto"/>
            <w:tcBorders>
              <w:top w:val="nil"/>
              <w:left w:val="nil"/>
              <w:bottom w:val="nil"/>
              <w:right w:val="nil"/>
            </w:tcBorders>
            <w:shd w:val="clear" w:color="auto" w:fill="auto"/>
            <w:noWrap/>
            <w:vAlign w:val="bottom"/>
          </w:tcPr>
          <w:p w14:paraId="53F6C01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-.639</w:t>
            </w:r>
          </w:p>
        </w:tc>
      </w:tr>
      <w:tr w:rsidR="00FC7167" w:rsidRPr="00351E73" w14:paraId="69911484"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AD46B12"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621C5AF8"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4DAB63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(.00447)</w:t>
            </w:r>
          </w:p>
        </w:tc>
        <w:tc>
          <w:tcPr>
            <w:tcW w:w="0" w:type="auto"/>
            <w:tcBorders>
              <w:top w:val="nil"/>
              <w:left w:val="nil"/>
              <w:bottom w:val="nil"/>
              <w:right w:val="nil"/>
            </w:tcBorders>
            <w:shd w:val="clear" w:color="auto" w:fill="auto"/>
            <w:noWrap/>
            <w:vAlign w:val="bottom"/>
          </w:tcPr>
          <w:p w14:paraId="058DE2F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(.00447)</w:t>
            </w:r>
          </w:p>
        </w:tc>
        <w:tc>
          <w:tcPr>
            <w:tcW w:w="0" w:type="auto"/>
            <w:tcBorders>
              <w:top w:val="nil"/>
              <w:left w:val="nil"/>
              <w:bottom w:val="nil"/>
              <w:right w:val="nil"/>
            </w:tcBorders>
            <w:shd w:val="clear" w:color="auto" w:fill="auto"/>
            <w:noWrap/>
            <w:vAlign w:val="bottom"/>
          </w:tcPr>
          <w:p w14:paraId="2F49803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(.00447)</w:t>
            </w:r>
          </w:p>
        </w:tc>
        <w:tc>
          <w:tcPr>
            <w:tcW w:w="0" w:type="auto"/>
            <w:tcBorders>
              <w:top w:val="nil"/>
              <w:left w:val="nil"/>
              <w:bottom w:val="nil"/>
              <w:right w:val="nil"/>
            </w:tcBorders>
            <w:shd w:val="clear" w:color="auto" w:fill="auto"/>
            <w:noWrap/>
            <w:vAlign w:val="bottom"/>
          </w:tcPr>
          <w:p w14:paraId="31C981D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A863114"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(.401)</w:t>
            </w:r>
          </w:p>
        </w:tc>
        <w:tc>
          <w:tcPr>
            <w:tcW w:w="0" w:type="auto"/>
            <w:tcBorders>
              <w:top w:val="nil"/>
              <w:left w:val="nil"/>
              <w:bottom w:val="nil"/>
              <w:right w:val="nil"/>
            </w:tcBorders>
            <w:shd w:val="clear" w:color="auto" w:fill="auto"/>
            <w:noWrap/>
            <w:vAlign w:val="bottom"/>
          </w:tcPr>
          <w:p w14:paraId="2915934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(.399)</w:t>
            </w:r>
          </w:p>
        </w:tc>
        <w:tc>
          <w:tcPr>
            <w:tcW w:w="0" w:type="auto"/>
            <w:tcBorders>
              <w:top w:val="nil"/>
              <w:left w:val="nil"/>
              <w:bottom w:val="nil"/>
              <w:right w:val="nil"/>
            </w:tcBorders>
            <w:shd w:val="clear" w:color="auto" w:fill="auto"/>
            <w:noWrap/>
            <w:vAlign w:val="bottom"/>
          </w:tcPr>
          <w:p w14:paraId="3BC0ABF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w:t>
            </w:r>
            <w:r w:rsidR="00E61DBF">
              <w:rPr>
                <w:rFonts w:ascii="Calibri" w:hAnsi="Calibri" w:cs="Calibri"/>
                <w:sz w:val="20"/>
                <w:szCs w:val="20"/>
              </w:rPr>
              <w:t>00</w:t>
            </w:r>
            <w:r>
              <w:rPr>
                <w:rFonts w:ascii="Calibri" w:hAnsi="Calibri" w:cs="Calibri"/>
                <w:sz w:val="20"/>
                <w:szCs w:val="20"/>
              </w:rPr>
              <w:t>)</w:t>
            </w:r>
          </w:p>
        </w:tc>
      </w:tr>
      <w:tr w:rsidR="00FC7167" w:rsidRPr="00351E73" w14:paraId="54C2B4B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DCCEF3B"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Term30</w:t>
            </w:r>
          </w:p>
        </w:tc>
        <w:tc>
          <w:tcPr>
            <w:tcW w:w="0" w:type="auto"/>
            <w:tcBorders>
              <w:top w:val="nil"/>
              <w:left w:val="nil"/>
              <w:bottom w:val="nil"/>
              <w:right w:val="nil"/>
            </w:tcBorders>
            <w:shd w:val="clear" w:color="auto" w:fill="auto"/>
            <w:noWrap/>
            <w:vAlign w:val="bottom"/>
            <w:hideMark/>
          </w:tcPr>
          <w:p w14:paraId="3A029E20"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178F67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.53</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6894CA1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.53</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F1A96E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.53</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A1CB427"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A37FC88"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w:t>
            </w:r>
            <w:r w:rsidR="00E61DBF">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40DFC85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16.75***</w:t>
            </w:r>
          </w:p>
        </w:tc>
        <w:tc>
          <w:tcPr>
            <w:tcW w:w="0" w:type="auto"/>
            <w:tcBorders>
              <w:top w:val="nil"/>
              <w:left w:val="nil"/>
              <w:bottom w:val="nil"/>
              <w:right w:val="nil"/>
            </w:tcBorders>
            <w:shd w:val="clear" w:color="auto" w:fill="auto"/>
            <w:noWrap/>
            <w:vAlign w:val="bottom"/>
          </w:tcPr>
          <w:p w14:paraId="6416AB9E"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16.77***</w:t>
            </w:r>
          </w:p>
        </w:tc>
      </w:tr>
      <w:tr w:rsidR="00FC7167" w:rsidRPr="00351E73" w14:paraId="04AE7E1B"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C9B0ADF"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72FCF0AA"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CA999E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(.00916)</w:t>
            </w:r>
          </w:p>
        </w:tc>
        <w:tc>
          <w:tcPr>
            <w:tcW w:w="0" w:type="auto"/>
            <w:tcBorders>
              <w:top w:val="nil"/>
              <w:left w:val="nil"/>
              <w:bottom w:val="nil"/>
              <w:right w:val="nil"/>
            </w:tcBorders>
            <w:shd w:val="clear" w:color="auto" w:fill="auto"/>
            <w:noWrap/>
            <w:vAlign w:val="bottom"/>
          </w:tcPr>
          <w:p w14:paraId="4182EFC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(.00914)</w:t>
            </w:r>
          </w:p>
        </w:tc>
        <w:tc>
          <w:tcPr>
            <w:tcW w:w="0" w:type="auto"/>
            <w:tcBorders>
              <w:top w:val="nil"/>
              <w:left w:val="nil"/>
              <w:bottom w:val="nil"/>
              <w:right w:val="nil"/>
            </w:tcBorders>
            <w:shd w:val="clear" w:color="auto" w:fill="auto"/>
            <w:noWrap/>
            <w:vAlign w:val="bottom"/>
          </w:tcPr>
          <w:p w14:paraId="5735F85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(.00913)</w:t>
            </w:r>
          </w:p>
        </w:tc>
        <w:tc>
          <w:tcPr>
            <w:tcW w:w="0" w:type="auto"/>
            <w:tcBorders>
              <w:top w:val="nil"/>
              <w:left w:val="nil"/>
              <w:bottom w:val="nil"/>
              <w:right w:val="nil"/>
            </w:tcBorders>
            <w:shd w:val="clear" w:color="auto" w:fill="auto"/>
            <w:noWrap/>
            <w:vAlign w:val="bottom"/>
          </w:tcPr>
          <w:p w14:paraId="4C85FBC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B18BBA9"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(.992)</w:t>
            </w:r>
          </w:p>
        </w:tc>
        <w:tc>
          <w:tcPr>
            <w:tcW w:w="0" w:type="auto"/>
            <w:tcBorders>
              <w:top w:val="nil"/>
              <w:left w:val="nil"/>
              <w:bottom w:val="nil"/>
              <w:right w:val="nil"/>
            </w:tcBorders>
            <w:shd w:val="clear" w:color="auto" w:fill="auto"/>
            <w:noWrap/>
            <w:vAlign w:val="bottom"/>
          </w:tcPr>
          <w:p w14:paraId="0EE42F58"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(.988)</w:t>
            </w:r>
          </w:p>
        </w:tc>
        <w:tc>
          <w:tcPr>
            <w:tcW w:w="0" w:type="auto"/>
            <w:tcBorders>
              <w:top w:val="nil"/>
              <w:left w:val="nil"/>
              <w:bottom w:val="nil"/>
              <w:right w:val="nil"/>
            </w:tcBorders>
            <w:shd w:val="clear" w:color="auto" w:fill="auto"/>
            <w:noWrap/>
            <w:vAlign w:val="bottom"/>
          </w:tcPr>
          <w:p w14:paraId="62F8FA7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(.99</w:t>
            </w:r>
            <w:r w:rsidR="00E61DBF">
              <w:rPr>
                <w:rFonts w:ascii="Calibri" w:hAnsi="Calibri" w:cs="Calibri"/>
                <w:sz w:val="20"/>
                <w:szCs w:val="20"/>
              </w:rPr>
              <w:t>0</w:t>
            </w:r>
            <w:r>
              <w:rPr>
                <w:rFonts w:ascii="Calibri" w:hAnsi="Calibri" w:cs="Calibri"/>
                <w:sz w:val="20"/>
                <w:szCs w:val="20"/>
              </w:rPr>
              <w:t>)</w:t>
            </w:r>
          </w:p>
        </w:tc>
      </w:tr>
      <w:tr w:rsidR="00FC7167" w:rsidRPr="00351E73" w14:paraId="14BB7F52"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5288C7A"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Prime</w:t>
            </w:r>
          </w:p>
        </w:tc>
        <w:tc>
          <w:tcPr>
            <w:tcW w:w="0" w:type="auto"/>
            <w:tcBorders>
              <w:top w:val="nil"/>
              <w:left w:val="nil"/>
              <w:bottom w:val="nil"/>
              <w:right w:val="nil"/>
            </w:tcBorders>
            <w:shd w:val="clear" w:color="auto" w:fill="auto"/>
            <w:noWrap/>
            <w:vAlign w:val="bottom"/>
            <w:hideMark/>
          </w:tcPr>
          <w:p w14:paraId="6FA206C6"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5EACDB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.137***</w:t>
            </w:r>
          </w:p>
        </w:tc>
        <w:tc>
          <w:tcPr>
            <w:tcW w:w="0" w:type="auto"/>
            <w:tcBorders>
              <w:top w:val="nil"/>
              <w:left w:val="nil"/>
              <w:bottom w:val="nil"/>
              <w:right w:val="nil"/>
            </w:tcBorders>
            <w:shd w:val="clear" w:color="auto" w:fill="auto"/>
            <w:noWrap/>
            <w:vAlign w:val="bottom"/>
          </w:tcPr>
          <w:p w14:paraId="0BE1F19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.137***</w:t>
            </w:r>
          </w:p>
        </w:tc>
        <w:tc>
          <w:tcPr>
            <w:tcW w:w="0" w:type="auto"/>
            <w:tcBorders>
              <w:top w:val="nil"/>
              <w:left w:val="nil"/>
              <w:bottom w:val="nil"/>
              <w:right w:val="nil"/>
            </w:tcBorders>
            <w:shd w:val="clear" w:color="auto" w:fill="auto"/>
            <w:noWrap/>
            <w:vAlign w:val="bottom"/>
          </w:tcPr>
          <w:p w14:paraId="75FD219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.137***</w:t>
            </w:r>
          </w:p>
        </w:tc>
        <w:tc>
          <w:tcPr>
            <w:tcW w:w="0" w:type="auto"/>
            <w:tcBorders>
              <w:top w:val="nil"/>
              <w:left w:val="nil"/>
              <w:bottom w:val="nil"/>
              <w:right w:val="nil"/>
            </w:tcBorders>
            <w:shd w:val="clear" w:color="auto" w:fill="auto"/>
            <w:noWrap/>
            <w:vAlign w:val="bottom"/>
          </w:tcPr>
          <w:p w14:paraId="0AFE7680"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F14BB7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969334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3E008BA" w14:textId="77777777" w:rsidR="00FC7167" w:rsidRPr="00C72371" w:rsidRDefault="00FC7167" w:rsidP="009D6779">
            <w:pPr>
              <w:spacing w:after="0" w:line="240" w:lineRule="auto"/>
              <w:contextualSpacing/>
              <w:jc w:val="center"/>
              <w:rPr>
                <w:rFonts w:ascii="Times New Roman" w:eastAsia="Times New Roman" w:hAnsi="Times New Roman" w:cs="Times New Roman"/>
                <w:sz w:val="20"/>
                <w:szCs w:val="20"/>
              </w:rPr>
            </w:pPr>
          </w:p>
        </w:tc>
      </w:tr>
      <w:tr w:rsidR="00FC7167" w:rsidRPr="00351E73" w14:paraId="3B0062CA"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81025A8"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1E819911"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CD9DE8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(.00431)</w:t>
            </w:r>
          </w:p>
        </w:tc>
        <w:tc>
          <w:tcPr>
            <w:tcW w:w="0" w:type="auto"/>
            <w:tcBorders>
              <w:top w:val="nil"/>
              <w:left w:val="nil"/>
              <w:bottom w:val="nil"/>
              <w:right w:val="nil"/>
            </w:tcBorders>
            <w:shd w:val="clear" w:color="auto" w:fill="auto"/>
            <w:noWrap/>
            <w:vAlign w:val="bottom"/>
          </w:tcPr>
          <w:p w14:paraId="7D3B4B44"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(.00431)</w:t>
            </w:r>
          </w:p>
        </w:tc>
        <w:tc>
          <w:tcPr>
            <w:tcW w:w="0" w:type="auto"/>
            <w:tcBorders>
              <w:top w:val="nil"/>
              <w:left w:val="nil"/>
              <w:bottom w:val="nil"/>
              <w:right w:val="nil"/>
            </w:tcBorders>
            <w:shd w:val="clear" w:color="auto" w:fill="auto"/>
            <w:noWrap/>
            <w:vAlign w:val="bottom"/>
          </w:tcPr>
          <w:p w14:paraId="66C368B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(.00431)</w:t>
            </w:r>
          </w:p>
        </w:tc>
        <w:tc>
          <w:tcPr>
            <w:tcW w:w="0" w:type="auto"/>
            <w:tcBorders>
              <w:top w:val="nil"/>
              <w:left w:val="nil"/>
              <w:bottom w:val="nil"/>
              <w:right w:val="nil"/>
            </w:tcBorders>
            <w:shd w:val="clear" w:color="auto" w:fill="auto"/>
            <w:noWrap/>
            <w:vAlign w:val="bottom"/>
          </w:tcPr>
          <w:p w14:paraId="7194F57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A98DC6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54C01B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FEA4FB3" w14:textId="77777777" w:rsidR="00FC7167" w:rsidRPr="00C72371" w:rsidRDefault="00FC7167" w:rsidP="009D6779">
            <w:pPr>
              <w:spacing w:after="0" w:line="240" w:lineRule="auto"/>
              <w:contextualSpacing/>
              <w:jc w:val="center"/>
              <w:rPr>
                <w:rFonts w:ascii="Times New Roman" w:eastAsia="Times New Roman" w:hAnsi="Times New Roman" w:cs="Times New Roman"/>
                <w:sz w:val="20"/>
                <w:szCs w:val="20"/>
              </w:rPr>
            </w:pPr>
          </w:p>
        </w:tc>
      </w:tr>
      <w:tr w:rsidR="006751BB" w:rsidRPr="00351E73" w14:paraId="016CE62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8DAB447"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Age15-34</w:t>
            </w:r>
          </w:p>
        </w:tc>
        <w:tc>
          <w:tcPr>
            <w:tcW w:w="0" w:type="auto"/>
            <w:tcBorders>
              <w:top w:val="nil"/>
              <w:left w:val="nil"/>
              <w:bottom w:val="nil"/>
              <w:right w:val="nil"/>
            </w:tcBorders>
            <w:shd w:val="clear" w:color="auto" w:fill="auto"/>
            <w:noWrap/>
            <w:vAlign w:val="bottom"/>
            <w:hideMark/>
          </w:tcPr>
          <w:p w14:paraId="1942D9EB"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4AEC2D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F75B45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193EEE1"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3400AF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AF0E49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.111***</w:t>
            </w:r>
          </w:p>
        </w:tc>
        <w:tc>
          <w:tcPr>
            <w:tcW w:w="0" w:type="auto"/>
            <w:tcBorders>
              <w:top w:val="nil"/>
              <w:left w:val="nil"/>
              <w:bottom w:val="nil"/>
              <w:right w:val="nil"/>
            </w:tcBorders>
            <w:shd w:val="clear" w:color="auto" w:fill="auto"/>
            <w:noWrap/>
            <w:vAlign w:val="bottom"/>
          </w:tcPr>
          <w:p w14:paraId="467F612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.110***</w:t>
            </w:r>
          </w:p>
        </w:tc>
        <w:tc>
          <w:tcPr>
            <w:tcW w:w="0" w:type="auto"/>
            <w:tcBorders>
              <w:top w:val="nil"/>
              <w:left w:val="nil"/>
              <w:bottom w:val="nil"/>
              <w:right w:val="nil"/>
            </w:tcBorders>
            <w:shd w:val="clear" w:color="auto" w:fill="auto"/>
            <w:noWrap/>
            <w:vAlign w:val="bottom"/>
          </w:tcPr>
          <w:p w14:paraId="1FBF1A9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.110***</w:t>
            </w:r>
          </w:p>
        </w:tc>
      </w:tr>
      <w:tr w:rsidR="006751BB" w:rsidRPr="00351E73" w14:paraId="70EBEA5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9C56BCF"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35C5CCA7"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048E98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834999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4F6229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19A853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FF575A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(.0152)</w:t>
            </w:r>
          </w:p>
        </w:tc>
        <w:tc>
          <w:tcPr>
            <w:tcW w:w="0" w:type="auto"/>
            <w:tcBorders>
              <w:top w:val="nil"/>
              <w:left w:val="nil"/>
              <w:bottom w:val="nil"/>
              <w:right w:val="nil"/>
            </w:tcBorders>
            <w:shd w:val="clear" w:color="auto" w:fill="auto"/>
            <w:noWrap/>
            <w:vAlign w:val="bottom"/>
          </w:tcPr>
          <w:p w14:paraId="76AE9BD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(.0152)</w:t>
            </w:r>
          </w:p>
        </w:tc>
        <w:tc>
          <w:tcPr>
            <w:tcW w:w="0" w:type="auto"/>
            <w:tcBorders>
              <w:top w:val="nil"/>
              <w:left w:val="nil"/>
              <w:bottom w:val="nil"/>
              <w:right w:val="nil"/>
            </w:tcBorders>
            <w:shd w:val="clear" w:color="auto" w:fill="auto"/>
            <w:noWrap/>
            <w:vAlign w:val="bottom"/>
          </w:tcPr>
          <w:p w14:paraId="239D9F1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(.0152)</w:t>
            </w:r>
          </w:p>
        </w:tc>
      </w:tr>
      <w:tr w:rsidR="006751BB" w:rsidRPr="00351E73" w14:paraId="3BDA0BF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58B3C3E"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lastRenderedPageBreak/>
              <w:t>Census</w:t>
            </w:r>
            <w:r w:rsidRPr="004961A2">
              <w:rPr>
                <w:rFonts w:ascii="Calibri" w:eastAsia="Times New Roman" w:hAnsi="Calibri" w:cs="Calibri"/>
                <w:i/>
                <w:sz w:val="20"/>
                <w:szCs w:val="20"/>
              </w:rPr>
              <w:t>Age35-54</w:t>
            </w:r>
          </w:p>
        </w:tc>
        <w:tc>
          <w:tcPr>
            <w:tcW w:w="0" w:type="auto"/>
            <w:tcBorders>
              <w:top w:val="nil"/>
              <w:left w:val="nil"/>
              <w:bottom w:val="nil"/>
              <w:right w:val="nil"/>
            </w:tcBorders>
            <w:shd w:val="clear" w:color="auto" w:fill="auto"/>
            <w:noWrap/>
            <w:vAlign w:val="bottom"/>
            <w:hideMark/>
          </w:tcPr>
          <w:p w14:paraId="6992E891"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3F0FEE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F6FEA4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37B005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0C8774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59398D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.110***</w:t>
            </w:r>
          </w:p>
        </w:tc>
        <w:tc>
          <w:tcPr>
            <w:tcW w:w="0" w:type="auto"/>
            <w:tcBorders>
              <w:top w:val="nil"/>
              <w:left w:val="nil"/>
              <w:bottom w:val="nil"/>
              <w:right w:val="nil"/>
            </w:tcBorders>
            <w:shd w:val="clear" w:color="auto" w:fill="auto"/>
            <w:noWrap/>
            <w:vAlign w:val="bottom"/>
          </w:tcPr>
          <w:p w14:paraId="5A5B014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.109***</w:t>
            </w:r>
          </w:p>
        </w:tc>
        <w:tc>
          <w:tcPr>
            <w:tcW w:w="0" w:type="auto"/>
            <w:tcBorders>
              <w:top w:val="nil"/>
              <w:left w:val="nil"/>
              <w:bottom w:val="nil"/>
              <w:right w:val="nil"/>
            </w:tcBorders>
            <w:shd w:val="clear" w:color="auto" w:fill="auto"/>
            <w:noWrap/>
            <w:vAlign w:val="bottom"/>
          </w:tcPr>
          <w:p w14:paraId="704C580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.109***</w:t>
            </w:r>
          </w:p>
        </w:tc>
      </w:tr>
      <w:tr w:rsidR="006751BB" w:rsidRPr="00351E73" w14:paraId="0D15B73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708D8B8"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696EDF36"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D7608A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4381B4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77A8C3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36200A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1BF1AD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(.0268)</w:t>
            </w:r>
          </w:p>
        </w:tc>
        <w:tc>
          <w:tcPr>
            <w:tcW w:w="0" w:type="auto"/>
            <w:tcBorders>
              <w:top w:val="nil"/>
              <w:left w:val="nil"/>
              <w:bottom w:val="nil"/>
              <w:right w:val="nil"/>
            </w:tcBorders>
            <w:shd w:val="clear" w:color="auto" w:fill="auto"/>
            <w:noWrap/>
            <w:vAlign w:val="bottom"/>
          </w:tcPr>
          <w:p w14:paraId="3B75C21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(.0268)</w:t>
            </w:r>
          </w:p>
        </w:tc>
        <w:tc>
          <w:tcPr>
            <w:tcW w:w="0" w:type="auto"/>
            <w:tcBorders>
              <w:top w:val="nil"/>
              <w:left w:val="nil"/>
              <w:bottom w:val="nil"/>
              <w:right w:val="nil"/>
            </w:tcBorders>
            <w:shd w:val="clear" w:color="auto" w:fill="auto"/>
            <w:noWrap/>
            <w:vAlign w:val="bottom"/>
          </w:tcPr>
          <w:p w14:paraId="2FA2A16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(.0268)</w:t>
            </w:r>
          </w:p>
        </w:tc>
      </w:tr>
      <w:tr w:rsidR="006751BB" w:rsidRPr="00351E73" w14:paraId="687F8A0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523976C"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Age55-69</w:t>
            </w:r>
          </w:p>
        </w:tc>
        <w:tc>
          <w:tcPr>
            <w:tcW w:w="0" w:type="auto"/>
            <w:tcBorders>
              <w:top w:val="nil"/>
              <w:left w:val="nil"/>
              <w:bottom w:val="nil"/>
              <w:right w:val="nil"/>
            </w:tcBorders>
            <w:shd w:val="clear" w:color="auto" w:fill="auto"/>
            <w:noWrap/>
            <w:vAlign w:val="bottom"/>
            <w:hideMark/>
          </w:tcPr>
          <w:p w14:paraId="1174D22B"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9AF7D7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C6DCAE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B0EA78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C3D161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E8577D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-.129***</w:t>
            </w:r>
          </w:p>
        </w:tc>
        <w:tc>
          <w:tcPr>
            <w:tcW w:w="0" w:type="auto"/>
            <w:tcBorders>
              <w:top w:val="nil"/>
              <w:left w:val="nil"/>
              <w:bottom w:val="nil"/>
              <w:right w:val="nil"/>
            </w:tcBorders>
            <w:shd w:val="clear" w:color="auto" w:fill="auto"/>
            <w:noWrap/>
            <w:vAlign w:val="bottom"/>
          </w:tcPr>
          <w:p w14:paraId="0152C31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-.130***</w:t>
            </w:r>
          </w:p>
        </w:tc>
        <w:tc>
          <w:tcPr>
            <w:tcW w:w="0" w:type="auto"/>
            <w:tcBorders>
              <w:top w:val="nil"/>
              <w:left w:val="nil"/>
              <w:bottom w:val="nil"/>
              <w:right w:val="nil"/>
            </w:tcBorders>
            <w:shd w:val="clear" w:color="auto" w:fill="auto"/>
            <w:noWrap/>
            <w:vAlign w:val="bottom"/>
          </w:tcPr>
          <w:p w14:paraId="5F129F8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-.130***</w:t>
            </w:r>
          </w:p>
        </w:tc>
      </w:tr>
      <w:tr w:rsidR="006751BB" w:rsidRPr="00351E73" w14:paraId="6D1B70E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FE062B2"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5E375387"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B8C4E7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0AAFEB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AFA003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3E6A94D"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2F9C3B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(.0199)</w:t>
            </w:r>
          </w:p>
        </w:tc>
        <w:tc>
          <w:tcPr>
            <w:tcW w:w="0" w:type="auto"/>
            <w:tcBorders>
              <w:top w:val="nil"/>
              <w:left w:val="nil"/>
              <w:bottom w:val="nil"/>
              <w:right w:val="nil"/>
            </w:tcBorders>
            <w:shd w:val="clear" w:color="auto" w:fill="auto"/>
            <w:noWrap/>
            <w:vAlign w:val="bottom"/>
          </w:tcPr>
          <w:p w14:paraId="42D62E0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(.0198)</w:t>
            </w:r>
          </w:p>
        </w:tc>
        <w:tc>
          <w:tcPr>
            <w:tcW w:w="0" w:type="auto"/>
            <w:tcBorders>
              <w:top w:val="nil"/>
              <w:left w:val="nil"/>
              <w:bottom w:val="nil"/>
              <w:right w:val="nil"/>
            </w:tcBorders>
            <w:shd w:val="clear" w:color="auto" w:fill="auto"/>
            <w:noWrap/>
            <w:vAlign w:val="bottom"/>
          </w:tcPr>
          <w:p w14:paraId="2DB0A7A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(.0198)</w:t>
            </w:r>
          </w:p>
        </w:tc>
      </w:tr>
      <w:tr w:rsidR="006751BB" w:rsidRPr="00351E73" w14:paraId="146791CB"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0C633B7"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Age70plus</w:t>
            </w:r>
          </w:p>
        </w:tc>
        <w:tc>
          <w:tcPr>
            <w:tcW w:w="0" w:type="auto"/>
            <w:tcBorders>
              <w:top w:val="nil"/>
              <w:left w:val="nil"/>
              <w:bottom w:val="nil"/>
              <w:right w:val="nil"/>
            </w:tcBorders>
            <w:shd w:val="clear" w:color="auto" w:fill="auto"/>
            <w:noWrap/>
            <w:vAlign w:val="bottom"/>
            <w:hideMark/>
          </w:tcPr>
          <w:p w14:paraId="5EBAD483"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077880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4AB01C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F6F61AA"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F02B01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529590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-.0579***</w:t>
            </w:r>
          </w:p>
        </w:tc>
        <w:tc>
          <w:tcPr>
            <w:tcW w:w="0" w:type="auto"/>
            <w:tcBorders>
              <w:top w:val="nil"/>
              <w:left w:val="nil"/>
              <w:bottom w:val="nil"/>
              <w:right w:val="nil"/>
            </w:tcBorders>
            <w:shd w:val="clear" w:color="auto" w:fill="auto"/>
            <w:noWrap/>
            <w:vAlign w:val="bottom"/>
          </w:tcPr>
          <w:p w14:paraId="5E48A3F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-.0578***</w:t>
            </w:r>
          </w:p>
        </w:tc>
        <w:tc>
          <w:tcPr>
            <w:tcW w:w="0" w:type="auto"/>
            <w:tcBorders>
              <w:top w:val="nil"/>
              <w:left w:val="nil"/>
              <w:bottom w:val="nil"/>
              <w:right w:val="nil"/>
            </w:tcBorders>
            <w:shd w:val="clear" w:color="auto" w:fill="auto"/>
            <w:noWrap/>
            <w:vAlign w:val="bottom"/>
          </w:tcPr>
          <w:p w14:paraId="23C695A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-.0579***</w:t>
            </w:r>
          </w:p>
        </w:tc>
      </w:tr>
      <w:tr w:rsidR="00FC7167" w:rsidRPr="00351E73" w14:paraId="7E738B67"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450CAB9"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0A7DFAF8"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E11B4D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8527CA9"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F8524D9"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1E3A7A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5A346E0"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(.0192)</w:t>
            </w:r>
          </w:p>
        </w:tc>
        <w:tc>
          <w:tcPr>
            <w:tcW w:w="0" w:type="auto"/>
            <w:tcBorders>
              <w:top w:val="nil"/>
              <w:left w:val="nil"/>
              <w:bottom w:val="nil"/>
              <w:right w:val="nil"/>
            </w:tcBorders>
            <w:shd w:val="clear" w:color="auto" w:fill="auto"/>
            <w:noWrap/>
            <w:vAlign w:val="bottom"/>
          </w:tcPr>
          <w:p w14:paraId="63E2C25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(.0191)</w:t>
            </w:r>
          </w:p>
        </w:tc>
        <w:tc>
          <w:tcPr>
            <w:tcW w:w="0" w:type="auto"/>
            <w:tcBorders>
              <w:top w:val="nil"/>
              <w:left w:val="nil"/>
              <w:bottom w:val="nil"/>
              <w:right w:val="nil"/>
            </w:tcBorders>
            <w:shd w:val="clear" w:color="auto" w:fill="auto"/>
            <w:noWrap/>
            <w:vAlign w:val="bottom"/>
          </w:tcPr>
          <w:p w14:paraId="0D472C1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(.0191)</w:t>
            </w:r>
          </w:p>
        </w:tc>
      </w:tr>
      <w:tr w:rsidR="00FC7167" w:rsidRPr="00351E73" w14:paraId="2C94A1F6"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1B7E3D5"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Value$1-$2</w:t>
            </w:r>
          </w:p>
        </w:tc>
        <w:tc>
          <w:tcPr>
            <w:tcW w:w="0" w:type="auto"/>
            <w:tcBorders>
              <w:top w:val="nil"/>
              <w:left w:val="nil"/>
              <w:bottom w:val="nil"/>
              <w:right w:val="nil"/>
            </w:tcBorders>
            <w:shd w:val="clear" w:color="auto" w:fill="auto"/>
            <w:noWrap/>
            <w:vAlign w:val="bottom"/>
            <w:hideMark/>
          </w:tcPr>
          <w:p w14:paraId="76AC2E21"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6729A54"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597698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CB9025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09AAAD4"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89852D8"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-.0744***</w:t>
            </w:r>
          </w:p>
        </w:tc>
        <w:tc>
          <w:tcPr>
            <w:tcW w:w="0" w:type="auto"/>
            <w:tcBorders>
              <w:top w:val="nil"/>
              <w:left w:val="nil"/>
              <w:bottom w:val="nil"/>
              <w:right w:val="nil"/>
            </w:tcBorders>
            <w:shd w:val="clear" w:color="auto" w:fill="auto"/>
            <w:noWrap/>
            <w:vAlign w:val="bottom"/>
          </w:tcPr>
          <w:p w14:paraId="46AEFB6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-.0723***</w:t>
            </w:r>
          </w:p>
        </w:tc>
        <w:tc>
          <w:tcPr>
            <w:tcW w:w="0" w:type="auto"/>
            <w:tcBorders>
              <w:top w:val="nil"/>
              <w:left w:val="nil"/>
              <w:bottom w:val="nil"/>
              <w:right w:val="nil"/>
            </w:tcBorders>
            <w:shd w:val="clear" w:color="auto" w:fill="auto"/>
            <w:noWrap/>
            <w:vAlign w:val="bottom"/>
          </w:tcPr>
          <w:p w14:paraId="41EFEE4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-.0724***</w:t>
            </w:r>
          </w:p>
        </w:tc>
      </w:tr>
      <w:tr w:rsidR="00FC7167" w:rsidRPr="00351E73" w14:paraId="5EF3487E"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D162C7D"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36B5943F"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F0510B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06063C0"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CDF9A08"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9252A94"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1DF4B68"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(.0105)</w:t>
            </w:r>
          </w:p>
        </w:tc>
        <w:tc>
          <w:tcPr>
            <w:tcW w:w="0" w:type="auto"/>
            <w:tcBorders>
              <w:top w:val="nil"/>
              <w:left w:val="nil"/>
              <w:bottom w:val="nil"/>
              <w:right w:val="nil"/>
            </w:tcBorders>
            <w:shd w:val="clear" w:color="auto" w:fill="auto"/>
            <w:noWrap/>
            <w:vAlign w:val="bottom"/>
          </w:tcPr>
          <w:p w14:paraId="3E5C8DE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(.0105)</w:t>
            </w:r>
          </w:p>
        </w:tc>
        <w:tc>
          <w:tcPr>
            <w:tcW w:w="0" w:type="auto"/>
            <w:tcBorders>
              <w:top w:val="nil"/>
              <w:left w:val="nil"/>
              <w:bottom w:val="nil"/>
              <w:right w:val="nil"/>
            </w:tcBorders>
            <w:shd w:val="clear" w:color="auto" w:fill="auto"/>
            <w:noWrap/>
            <w:vAlign w:val="bottom"/>
          </w:tcPr>
          <w:p w14:paraId="7FBBB3F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(.0105)</w:t>
            </w:r>
          </w:p>
        </w:tc>
      </w:tr>
      <w:tr w:rsidR="00FC7167" w:rsidRPr="00351E73" w14:paraId="6E8568EC"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630F419"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Value$2-$3</w:t>
            </w:r>
          </w:p>
        </w:tc>
        <w:tc>
          <w:tcPr>
            <w:tcW w:w="0" w:type="auto"/>
            <w:tcBorders>
              <w:top w:val="nil"/>
              <w:left w:val="nil"/>
              <w:bottom w:val="nil"/>
              <w:right w:val="nil"/>
            </w:tcBorders>
            <w:shd w:val="clear" w:color="auto" w:fill="auto"/>
            <w:noWrap/>
            <w:vAlign w:val="bottom"/>
            <w:hideMark/>
          </w:tcPr>
          <w:p w14:paraId="0F113342"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1E82C17"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2F0424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62B620E"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95D78C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1EEF48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-.157***</w:t>
            </w:r>
          </w:p>
        </w:tc>
        <w:tc>
          <w:tcPr>
            <w:tcW w:w="0" w:type="auto"/>
            <w:tcBorders>
              <w:top w:val="nil"/>
              <w:left w:val="nil"/>
              <w:bottom w:val="nil"/>
              <w:right w:val="nil"/>
            </w:tcBorders>
            <w:shd w:val="clear" w:color="auto" w:fill="auto"/>
            <w:noWrap/>
            <w:vAlign w:val="bottom"/>
          </w:tcPr>
          <w:p w14:paraId="5728E75E"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-.157***</w:t>
            </w:r>
          </w:p>
        </w:tc>
        <w:tc>
          <w:tcPr>
            <w:tcW w:w="0" w:type="auto"/>
            <w:tcBorders>
              <w:top w:val="nil"/>
              <w:left w:val="nil"/>
              <w:bottom w:val="nil"/>
              <w:right w:val="nil"/>
            </w:tcBorders>
            <w:shd w:val="clear" w:color="auto" w:fill="auto"/>
            <w:noWrap/>
            <w:vAlign w:val="bottom"/>
          </w:tcPr>
          <w:p w14:paraId="5740DDA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-.157***</w:t>
            </w:r>
          </w:p>
        </w:tc>
      </w:tr>
      <w:tr w:rsidR="00FC7167" w:rsidRPr="00351E73" w14:paraId="66E4C048"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F172A96"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06C971EB"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9240B6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6D64FB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6BE50C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E2E3FB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F4ED2E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(.00971)</w:t>
            </w:r>
          </w:p>
        </w:tc>
        <w:tc>
          <w:tcPr>
            <w:tcW w:w="0" w:type="auto"/>
            <w:tcBorders>
              <w:top w:val="nil"/>
              <w:left w:val="nil"/>
              <w:bottom w:val="nil"/>
              <w:right w:val="nil"/>
            </w:tcBorders>
            <w:shd w:val="clear" w:color="auto" w:fill="auto"/>
            <w:noWrap/>
            <w:vAlign w:val="bottom"/>
          </w:tcPr>
          <w:p w14:paraId="3DFEB593"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(.00969)</w:t>
            </w:r>
          </w:p>
        </w:tc>
        <w:tc>
          <w:tcPr>
            <w:tcW w:w="0" w:type="auto"/>
            <w:tcBorders>
              <w:top w:val="nil"/>
              <w:left w:val="nil"/>
              <w:bottom w:val="nil"/>
              <w:right w:val="nil"/>
            </w:tcBorders>
            <w:shd w:val="clear" w:color="auto" w:fill="auto"/>
            <w:noWrap/>
            <w:vAlign w:val="bottom"/>
          </w:tcPr>
          <w:p w14:paraId="6F889C6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(.00968)</w:t>
            </w:r>
          </w:p>
        </w:tc>
      </w:tr>
      <w:tr w:rsidR="00FC7167" w:rsidRPr="00351E73" w14:paraId="0C7AEAC9"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0B17214"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Value$3-$5</w:t>
            </w:r>
          </w:p>
        </w:tc>
        <w:tc>
          <w:tcPr>
            <w:tcW w:w="0" w:type="auto"/>
            <w:tcBorders>
              <w:top w:val="nil"/>
              <w:left w:val="nil"/>
              <w:bottom w:val="nil"/>
              <w:right w:val="nil"/>
            </w:tcBorders>
            <w:shd w:val="clear" w:color="auto" w:fill="auto"/>
            <w:noWrap/>
            <w:vAlign w:val="bottom"/>
            <w:hideMark/>
          </w:tcPr>
          <w:p w14:paraId="627266FE"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9E616A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B010D7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26D8809"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F088EF8"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661A7C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-.129***</w:t>
            </w:r>
          </w:p>
        </w:tc>
        <w:tc>
          <w:tcPr>
            <w:tcW w:w="0" w:type="auto"/>
            <w:tcBorders>
              <w:top w:val="nil"/>
              <w:left w:val="nil"/>
              <w:bottom w:val="nil"/>
              <w:right w:val="nil"/>
            </w:tcBorders>
            <w:shd w:val="clear" w:color="auto" w:fill="auto"/>
            <w:noWrap/>
            <w:vAlign w:val="bottom"/>
          </w:tcPr>
          <w:p w14:paraId="4B6EFF9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-.128***</w:t>
            </w:r>
          </w:p>
        </w:tc>
        <w:tc>
          <w:tcPr>
            <w:tcW w:w="0" w:type="auto"/>
            <w:tcBorders>
              <w:top w:val="nil"/>
              <w:left w:val="nil"/>
              <w:bottom w:val="nil"/>
              <w:right w:val="nil"/>
            </w:tcBorders>
            <w:shd w:val="clear" w:color="auto" w:fill="auto"/>
            <w:noWrap/>
            <w:vAlign w:val="bottom"/>
          </w:tcPr>
          <w:p w14:paraId="7C4F624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-.128***</w:t>
            </w:r>
          </w:p>
        </w:tc>
      </w:tr>
      <w:tr w:rsidR="00FC7167" w:rsidRPr="00351E73" w14:paraId="57801238"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28DC728"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741E34D3"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5DD870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E92D610"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22B039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734D720"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12DAD5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(.0102)</w:t>
            </w:r>
          </w:p>
        </w:tc>
        <w:tc>
          <w:tcPr>
            <w:tcW w:w="0" w:type="auto"/>
            <w:tcBorders>
              <w:top w:val="nil"/>
              <w:left w:val="nil"/>
              <w:bottom w:val="nil"/>
              <w:right w:val="nil"/>
            </w:tcBorders>
            <w:shd w:val="clear" w:color="auto" w:fill="auto"/>
            <w:noWrap/>
            <w:vAlign w:val="bottom"/>
          </w:tcPr>
          <w:p w14:paraId="206067E2"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(.0102)</w:t>
            </w:r>
          </w:p>
        </w:tc>
        <w:tc>
          <w:tcPr>
            <w:tcW w:w="0" w:type="auto"/>
            <w:tcBorders>
              <w:top w:val="nil"/>
              <w:left w:val="nil"/>
              <w:bottom w:val="nil"/>
              <w:right w:val="nil"/>
            </w:tcBorders>
            <w:shd w:val="clear" w:color="auto" w:fill="auto"/>
            <w:noWrap/>
            <w:vAlign w:val="bottom"/>
          </w:tcPr>
          <w:p w14:paraId="2D7E0B3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(.0102)</w:t>
            </w:r>
          </w:p>
        </w:tc>
      </w:tr>
      <w:tr w:rsidR="00FC7167" w:rsidRPr="00351E73" w14:paraId="6053C19B"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747C9C1" w14:textId="77777777" w:rsidR="00FC7167" w:rsidRPr="004961A2" w:rsidRDefault="00FC716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Value$5plus</w:t>
            </w:r>
          </w:p>
        </w:tc>
        <w:tc>
          <w:tcPr>
            <w:tcW w:w="0" w:type="auto"/>
            <w:tcBorders>
              <w:top w:val="nil"/>
              <w:left w:val="nil"/>
              <w:bottom w:val="nil"/>
              <w:right w:val="nil"/>
            </w:tcBorders>
            <w:shd w:val="clear" w:color="auto" w:fill="auto"/>
            <w:noWrap/>
            <w:vAlign w:val="bottom"/>
            <w:hideMark/>
          </w:tcPr>
          <w:p w14:paraId="4813E208"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DD31C7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6F870C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40B50D1"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128498E"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19A8815"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-.265***</w:t>
            </w:r>
          </w:p>
        </w:tc>
        <w:tc>
          <w:tcPr>
            <w:tcW w:w="0" w:type="auto"/>
            <w:tcBorders>
              <w:top w:val="nil"/>
              <w:left w:val="nil"/>
              <w:bottom w:val="nil"/>
              <w:right w:val="nil"/>
            </w:tcBorders>
            <w:shd w:val="clear" w:color="auto" w:fill="auto"/>
            <w:noWrap/>
            <w:vAlign w:val="bottom"/>
          </w:tcPr>
          <w:p w14:paraId="406349A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-.264***</w:t>
            </w:r>
          </w:p>
        </w:tc>
        <w:tc>
          <w:tcPr>
            <w:tcW w:w="0" w:type="auto"/>
            <w:tcBorders>
              <w:top w:val="nil"/>
              <w:left w:val="nil"/>
              <w:bottom w:val="nil"/>
              <w:right w:val="nil"/>
            </w:tcBorders>
            <w:shd w:val="clear" w:color="auto" w:fill="auto"/>
            <w:noWrap/>
            <w:vAlign w:val="bottom"/>
          </w:tcPr>
          <w:p w14:paraId="3C0D2BBD"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-.265***</w:t>
            </w:r>
          </w:p>
        </w:tc>
      </w:tr>
      <w:tr w:rsidR="00FC7167" w:rsidRPr="00351E73" w14:paraId="06B25D88"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837503F"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4D0E3ACE"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5F2DA56"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0AEE57E"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0A6DAD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C26D35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887350F"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(.00993)</w:t>
            </w:r>
          </w:p>
        </w:tc>
        <w:tc>
          <w:tcPr>
            <w:tcW w:w="0" w:type="auto"/>
            <w:tcBorders>
              <w:top w:val="nil"/>
              <w:left w:val="nil"/>
              <w:bottom w:val="nil"/>
              <w:right w:val="nil"/>
            </w:tcBorders>
            <w:shd w:val="clear" w:color="auto" w:fill="auto"/>
            <w:noWrap/>
            <w:vAlign w:val="bottom"/>
          </w:tcPr>
          <w:p w14:paraId="660B429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(.0099</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907436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(.0099</w:t>
            </w:r>
            <w:r w:rsidR="00E61DBF">
              <w:rPr>
                <w:rFonts w:ascii="Calibri" w:hAnsi="Calibri" w:cs="Calibri"/>
                <w:sz w:val="20"/>
                <w:szCs w:val="20"/>
              </w:rPr>
              <w:t>0</w:t>
            </w:r>
            <w:r>
              <w:rPr>
                <w:rFonts w:ascii="Calibri" w:hAnsi="Calibri" w:cs="Calibri"/>
                <w:sz w:val="20"/>
                <w:szCs w:val="20"/>
              </w:rPr>
              <w:t>)</w:t>
            </w:r>
          </w:p>
        </w:tc>
      </w:tr>
      <w:tr w:rsidR="00FC7167" w:rsidRPr="00351E73" w14:paraId="0F247617"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3BACEFA" w14:textId="77777777" w:rsidR="00FC7167" w:rsidRPr="00351E73" w:rsidRDefault="00FC716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30A2F283" w14:textId="77777777" w:rsidR="00FC7167" w:rsidRPr="00351E73" w:rsidRDefault="00FC716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63E4D13"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F1FC8AA"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161F7DB"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66E34B8"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CE95E77"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FDA0387"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9C6151C" w14:textId="77777777" w:rsidR="00FC7167" w:rsidRPr="00C72371" w:rsidRDefault="00FC7167" w:rsidP="009D6779">
            <w:pPr>
              <w:spacing w:after="0" w:line="240" w:lineRule="auto"/>
              <w:contextualSpacing/>
              <w:jc w:val="center"/>
              <w:rPr>
                <w:rFonts w:ascii="Calibri" w:eastAsia="Times New Roman" w:hAnsi="Calibri" w:cs="Calibri"/>
                <w:sz w:val="20"/>
                <w:szCs w:val="20"/>
              </w:rPr>
            </w:pPr>
          </w:p>
        </w:tc>
      </w:tr>
      <w:tr w:rsidR="00FC7167" w:rsidRPr="00351E73" w14:paraId="03B0004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4D31C90"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Observations</w:t>
            </w:r>
          </w:p>
        </w:tc>
        <w:tc>
          <w:tcPr>
            <w:tcW w:w="0" w:type="auto"/>
            <w:tcBorders>
              <w:top w:val="nil"/>
              <w:left w:val="nil"/>
              <w:bottom w:val="nil"/>
              <w:right w:val="nil"/>
            </w:tcBorders>
            <w:shd w:val="clear" w:color="auto" w:fill="auto"/>
            <w:noWrap/>
            <w:vAlign w:val="bottom"/>
            <w:hideMark/>
          </w:tcPr>
          <w:p w14:paraId="31FB6960"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5065009"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81,000</w:t>
            </w:r>
          </w:p>
        </w:tc>
        <w:tc>
          <w:tcPr>
            <w:tcW w:w="0" w:type="auto"/>
            <w:tcBorders>
              <w:top w:val="nil"/>
              <w:left w:val="nil"/>
              <w:bottom w:val="nil"/>
              <w:right w:val="nil"/>
            </w:tcBorders>
            <w:shd w:val="clear" w:color="auto" w:fill="auto"/>
            <w:noWrap/>
            <w:vAlign w:val="bottom"/>
          </w:tcPr>
          <w:p w14:paraId="2E3919AD"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81,000</w:t>
            </w:r>
          </w:p>
        </w:tc>
        <w:tc>
          <w:tcPr>
            <w:tcW w:w="0" w:type="auto"/>
            <w:tcBorders>
              <w:top w:val="nil"/>
              <w:left w:val="nil"/>
              <w:bottom w:val="nil"/>
              <w:right w:val="nil"/>
            </w:tcBorders>
            <w:shd w:val="clear" w:color="auto" w:fill="auto"/>
            <w:noWrap/>
            <w:vAlign w:val="bottom"/>
          </w:tcPr>
          <w:p w14:paraId="5F9AC25C"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81,000</w:t>
            </w:r>
          </w:p>
        </w:tc>
        <w:tc>
          <w:tcPr>
            <w:tcW w:w="0" w:type="auto"/>
            <w:tcBorders>
              <w:top w:val="nil"/>
              <w:left w:val="nil"/>
              <w:bottom w:val="nil"/>
              <w:right w:val="nil"/>
            </w:tcBorders>
            <w:shd w:val="clear" w:color="auto" w:fill="auto"/>
            <w:noWrap/>
            <w:vAlign w:val="center"/>
          </w:tcPr>
          <w:p w14:paraId="4F1F2C52" w14:textId="77777777" w:rsidR="00FC7167" w:rsidRPr="00C72371" w:rsidRDefault="00FC7167" w:rsidP="009D6779">
            <w:pPr>
              <w:spacing w:after="0" w:line="240" w:lineRule="auto"/>
              <w:contextualSpacing/>
              <w:jc w:val="right"/>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9F42B04"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81,000</w:t>
            </w:r>
          </w:p>
        </w:tc>
        <w:tc>
          <w:tcPr>
            <w:tcW w:w="0" w:type="auto"/>
            <w:tcBorders>
              <w:top w:val="nil"/>
              <w:left w:val="nil"/>
              <w:bottom w:val="nil"/>
              <w:right w:val="nil"/>
            </w:tcBorders>
            <w:shd w:val="clear" w:color="auto" w:fill="auto"/>
            <w:noWrap/>
            <w:vAlign w:val="bottom"/>
          </w:tcPr>
          <w:p w14:paraId="27232181"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81,000</w:t>
            </w:r>
          </w:p>
        </w:tc>
        <w:tc>
          <w:tcPr>
            <w:tcW w:w="0" w:type="auto"/>
            <w:tcBorders>
              <w:top w:val="nil"/>
              <w:left w:val="nil"/>
              <w:bottom w:val="nil"/>
              <w:right w:val="nil"/>
            </w:tcBorders>
            <w:shd w:val="clear" w:color="auto" w:fill="auto"/>
            <w:noWrap/>
            <w:vAlign w:val="bottom"/>
          </w:tcPr>
          <w:p w14:paraId="09C91ED1"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81,000</w:t>
            </w:r>
          </w:p>
        </w:tc>
      </w:tr>
      <w:tr w:rsidR="00FC7167" w:rsidRPr="00351E73" w14:paraId="03B4ECA3"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hideMark/>
          </w:tcPr>
          <w:p w14:paraId="12089C03"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R</w:t>
            </w:r>
            <w:r w:rsidRPr="00351E73">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hideMark/>
          </w:tcPr>
          <w:p w14:paraId="6F55D33D" w14:textId="77777777" w:rsidR="00FC7167" w:rsidRPr="00351E73" w:rsidRDefault="00FC716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tcPr>
          <w:p w14:paraId="4A95B52F"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0.814</w:t>
            </w:r>
          </w:p>
        </w:tc>
        <w:tc>
          <w:tcPr>
            <w:tcW w:w="0" w:type="auto"/>
            <w:tcBorders>
              <w:top w:val="nil"/>
              <w:left w:val="nil"/>
              <w:bottom w:val="single" w:sz="4" w:space="0" w:color="auto"/>
              <w:right w:val="nil"/>
            </w:tcBorders>
            <w:shd w:val="clear" w:color="auto" w:fill="auto"/>
            <w:noWrap/>
            <w:vAlign w:val="bottom"/>
          </w:tcPr>
          <w:p w14:paraId="6C54A6CF"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0.814</w:t>
            </w:r>
          </w:p>
        </w:tc>
        <w:tc>
          <w:tcPr>
            <w:tcW w:w="0" w:type="auto"/>
            <w:tcBorders>
              <w:top w:val="nil"/>
              <w:left w:val="nil"/>
              <w:bottom w:val="single" w:sz="4" w:space="0" w:color="auto"/>
              <w:right w:val="nil"/>
            </w:tcBorders>
            <w:shd w:val="clear" w:color="auto" w:fill="auto"/>
            <w:noWrap/>
            <w:vAlign w:val="bottom"/>
          </w:tcPr>
          <w:p w14:paraId="06905222"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0.815</w:t>
            </w:r>
          </w:p>
        </w:tc>
        <w:tc>
          <w:tcPr>
            <w:tcW w:w="0" w:type="auto"/>
            <w:tcBorders>
              <w:top w:val="nil"/>
              <w:left w:val="nil"/>
              <w:bottom w:val="single" w:sz="4" w:space="0" w:color="auto"/>
              <w:right w:val="nil"/>
            </w:tcBorders>
            <w:shd w:val="clear" w:color="auto" w:fill="auto"/>
            <w:noWrap/>
            <w:vAlign w:val="center"/>
          </w:tcPr>
          <w:p w14:paraId="69AB8A70" w14:textId="77777777" w:rsidR="00FC7167" w:rsidRPr="00C72371" w:rsidRDefault="00FC7167" w:rsidP="009D6779">
            <w:pPr>
              <w:spacing w:after="0" w:line="240" w:lineRule="auto"/>
              <w:contextualSpacing/>
              <w:jc w:val="right"/>
              <w:rPr>
                <w:rFonts w:ascii="Calibri" w:eastAsia="Times New Roman" w:hAnsi="Calibri" w:cs="Calibri"/>
                <w:sz w:val="20"/>
                <w:szCs w:val="20"/>
              </w:rPr>
            </w:pPr>
          </w:p>
        </w:tc>
        <w:tc>
          <w:tcPr>
            <w:tcW w:w="0" w:type="auto"/>
            <w:tcBorders>
              <w:top w:val="nil"/>
              <w:left w:val="nil"/>
              <w:bottom w:val="single" w:sz="4" w:space="0" w:color="auto"/>
              <w:right w:val="nil"/>
            </w:tcBorders>
            <w:shd w:val="clear" w:color="auto" w:fill="auto"/>
            <w:noWrap/>
            <w:vAlign w:val="bottom"/>
          </w:tcPr>
          <w:p w14:paraId="74EACB58"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0.075</w:t>
            </w:r>
          </w:p>
        </w:tc>
        <w:tc>
          <w:tcPr>
            <w:tcW w:w="0" w:type="auto"/>
            <w:tcBorders>
              <w:top w:val="nil"/>
              <w:left w:val="nil"/>
              <w:bottom w:val="single" w:sz="4" w:space="0" w:color="auto"/>
              <w:right w:val="nil"/>
            </w:tcBorders>
            <w:shd w:val="clear" w:color="auto" w:fill="auto"/>
            <w:noWrap/>
            <w:vAlign w:val="bottom"/>
          </w:tcPr>
          <w:p w14:paraId="6E87D4F2"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0.08</w:t>
            </w:r>
          </w:p>
        </w:tc>
        <w:tc>
          <w:tcPr>
            <w:tcW w:w="0" w:type="auto"/>
            <w:tcBorders>
              <w:top w:val="nil"/>
              <w:left w:val="nil"/>
              <w:bottom w:val="single" w:sz="4" w:space="0" w:color="auto"/>
              <w:right w:val="nil"/>
            </w:tcBorders>
            <w:shd w:val="clear" w:color="auto" w:fill="auto"/>
            <w:noWrap/>
            <w:vAlign w:val="bottom"/>
          </w:tcPr>
          <w:p w14:paraId="6C0129FE" w14:textId="77777777" w:rsidR="00FC7167" w:rsidRPr="00C72371" w:rsidRDefault="00FC716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0.079</w:t>
            </w:r>
          </w:p>
        </w:tc>
      </w:tr>
    </w:tbl>
    <w:p w14:paraId="4EE6EA54" w14:textId="77777777" w:rsidR="00626866" w:rsidRDefault="00626866" w:rsidP="009D6779">
      <w:pPr>
        <w:spacing w:after="0"/>
        <w:contextualSpacing/>
      </w:pPr>
    </w:p>
    <w:p w14:paraId="0BB86C70" w14:textId="77777777" w:rsidR="00FF4EC3" w:rsidRDefault="00FF4EC3" w:rsidP="009D504D">
      <w:pPr>
        <w:spacing w:after="0"/>
        <w:contextualSpacing/>
      </w:pPr>
      <w:r>
        <w:br w:type="page"/>
      </w:r>
    </w:p>
    <w:p w14:paraId="3D24C8F3" w14:textId="412A65A3" w:rsidR="00847A0D" w:rsidRDefault="00847A0D" w:rsidP="00847A0D">
      <w:pPr>
        <w:spacing w:after="0"/>
        <w:contextualSpacing/>
      </w:pPr>
      <w:r>
        <w:rPr>
          <w:b/>
        </w:rPr>
        <w:lastRenderedPageBreak/>
        <w:t>Table A</w:t>
      </w:r>
      <w:r w:rsidR="00DC4756">
        <w:rPr>
          <w:b/>
        </w:rPr>
        <w:t>12</w:t>
      </w:r>
    </w:p>
    <w:p w14:paraId="473DD7F6" w14:textId="09221B58" w:rsidR="003520CC" w:rsidRDefault="00847A0D" w:rsidP="003520CC">
      <w:pPr>
        <w:contextualSpacing/>
      </w:pPr>
      <w:r>
        <w:t xml:space="preserve">Two-stage least squares regressions based on loan-level observations of first-lien, conventional, amortizing (non-balloon, non-interest only), fixed-rate mortgages for purchases of single-family residences or condominiums in Maryland and Virginia originated by nonbank originators between 2000 and 2015.  The sample is restricted to only prime mortgages (defined as those originated to borrowers with a FICO score greater than 660).  </w:t>
      </w:r>
      <w:r w:rsidR="003520CC">
        <w:t xml:space="preserve">The sample is restricted to only mortgages originated by lenders that originated at least one mortgage in each of the ranges of years listed (as in Table </w:t>
      </w:r>
      <w:r w:rsidR="005C7B9C">
        <w:t>A4</w:t>
      </w:r>
      <w:r w:rsidR="003520CC">
        <w:t>)</w:t>
      </w:r>
      <w:r>
        <w:t xml:space="preserve">.  </w:t>
      </w:r>
      <w:r w:rsidRPr="006A5966">
        <w:rPr>
          <w:i/>
        </w:rPr>
        <w:t>InitialRate</w:t>
      </w:r>
      <w:r>
        <w:t xml:space="preserve"> is the mortgage interest rate at origination.  </w:t>
      </w:r>
      <w:r w:rsidRPr="006A5966">
        <w:rPr>
          <w:i/>
        </w:rPr>
        <w:t>LTV</w:t>
      </w:r>
      <w:r>
        <w:t xml:space="preserve"> is the mortgage loan-to-value ratio at origination.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003520CC" w:rsidRPr="00EB01F8">
        <w:rPr>
          <w:i/>
        </w:rPr>
        <w:t>FICO</w:t>
      </w:r>
      <w:r w:rsidR="003520CC">
        <w:t xml:space="preserve"> is the borrower’s FICO score at origination.  </w:t>
      </w:r>
      <w:r w:rsidR="003520CC" w:rsidRPr="006879D3">
        <w:rPr>
          <w:i/>
        </w:rPr>
        <w:t>RelLoanSize</w:t>
      </w:r>
      <w:r w:rsidR="003520CC">
        <w:t xml:space="preserve"> is the loan amount at origination divided by the average loan amount for originations in the same vintage year and county.  </w:t>
      </w:r>
      <w:r w:rsidR="003520CC" w:rsidRPr="005339F7">
        <w:rPr>
          <w:i/>
        </w:rPr>
        <w:t>OwnerOcc</w:t>
      </w:r>
      <w:r w:rsidR="003520CC">
        <w:t xml:space="preserve"> equals 1 if the mortgage is associated with an owner-occupied property, 0 otherwise.  </w:t>
      </w:r>
      <w:r w:rsidR="003520CC" w:rsidRPr="005339F7">
        <w:rPr>
          <w:i/>
        </w:rPr>
        <w:t>Term30</w:t>
      </w:r>
      <w:r w:rsidR="003520CC">
        <w:t xml:space="preserve"> equals 1 if the mortgage has a thirty-year maturity and equals 0 if the mortgage has a fifteen-year maturity.  </w:t>
      </w:r>
      <w:r w:rsidR="003520CC" w:rsidRPr="005339F7">
        <w:rPr>
          <w:i/>
        </w:rPr>
        <w:t>Prime</w:t>
      </w:r>
      <w:r w:rsidR="003520CC">
        <w:t xml:space="preserve"> is the monthly average bank prime lending rate at the time of origination from the Federal Reserve.  </w:t>
      </w:r>
      <w:r w:rsidR="003520CC" w:rsidRPr="00407E6D">
        <w:rPr>
          <w:i/>
        </w:rPr>
        <w:t>CensusAge15-34</w:t>
      </w:r>
      <w:r w:rsidR="003520CC">
        <w:t xml:space="preserve"> is the percentage of residents in the borrower’s census tract between the ages of 15 and 34 years old.  </w:t>
      </w:r>
      <w:r w:rsidR="003520CC" w:rsidRPr="00407E6D">
        <w:rPr>
          <w:i/>
        </w:rPr>
        <w:t>Census</w:t>
      </w:r>
      <w:r w:rsidR="003520CC" w:rsidRPr="00562A33">
        <w:rPr>
          <w:i/>
        </w:rPr>
        <w:t>Age35-54</w:t>
      </w:r>
      <w:r w:rsidR="003520CC">
        <w:t xml:space="preserve">, </w:t>
      </w:r>
      <w:r w:rsidR="003520CC" w:rsidRPr="00407E6D">
        <w:rPr>
          <w:i/>
        </w:rPr>
        <w:t>Census</w:t>
      </w:r>
      <w:r w:rsidR="003520CC" w:rsidRPr="00562A33">
        <w:rPr>
          <w:i/>
        </w:rPr>
        <w:t>Age55-69</w:t>
      </w:r>
      <w:r w:rsidR="003520CC">
        <w:t xml:space="preserve">, and </w:t>
      </w:r>
      <w:r w:rsidR="003520CC" w:rsidRPr="00407E6D">
        <w:rPr>
          <w:i/>
        </w:rPr>
        <w:t>Census</w:t>
      </w:r>
      <w:r w:rsidR="003520CC" w:rsidRPr="00562A33">
        <w:rPr>
          <w:i/>
        </w:rPr>
        <w:t>Age70plus</w:t>
      </w:r>
      <w:r w:rsidR="003520CC">
        <w:t xml:space="preserve"> are defined similarly for other age ranges.  </w:t>
      </w:r>
      <w:r w:rsidR="003520CC" w:rsidRPr="000520C4">
        <w:rPr>
          <w:i/>
        </w:rPr>
        <w:t>Value$1-$2</w:t>
      </w:r>
      <w:r w:rsidR="003520CC">
        <w:t xml:space="preserve"> is the percentage of owner-occupied residences in the borrower’s census tract valued between $100,000 and $200,000.  </w:t>
      </w:r>
      <w:r w:rsidR="003520CC" w:rsidRPr="00562A33">
        <w:rPr>
          <w:i/>
        </w:rPr>
        <w:t>Value$2-$3</w:t>
      </w:r>
      <w:r w:rsidR="003520CC">
        <w:t xml:space="preserve">, </w:t>
      </w:r>
      <w:r w:rsidR="003520CC" w:rsidRPr="00562A33">
        <w:rPr>
          <w:i/>
        </w:rPr>
        <w:t>Value$3-$5</w:t>
      </w:r>
      <w:r w:rsidR="003520CC">
        <w:t xml:space="preserve">, and </w:t>
      </w:r>
      <w:r w:rsidR="003520CC" w:rsidRPr="00562A33">
        <w:rPr>
          <w:i/>
        </w:rPr>
        <w:t>Value$5plus</w:t>
      </w:r>
      <w:r w:rsidR="003520CC">
        <w:t xml:space="preserve"> are defined similarly for other price ranges.  Vintage year indicators and a constant term are included in each specification.  Standard errors appear in parentheses</w:t>
      </w:r>
      <w:r w:rsidR="003520CC" w:rsidRPr="00957138">
        <w:t xml:space="preserve">.  </w:t>
      </w:r>
      <w:r w:rsidR="003520CC">
        <w:t>Levels of significance are indicated by *, **, and *** for 10%, 5%, and 1%, respectively.</w:t>
      </w:r>
    </w:p>
    <w:p w14:paraId="2A92CF5C" w14:textId="77777777" w:rsidR="00847A0D" w:rsidRDefault="00847A0D" w:rsidP="00847A0D">
      <w:pPr>
        <w:spacing w:after="0"/>
        <w:contextualSpacing/>
      </w:pPr>
    </w:p>
    <w:tbl>
      <w:tblPr>
        <w:tblW w:w="0" w:type="auto"/>
        <w:jc w:val="center"/>
        <w:tblLook w:val="04A0" w:firstRow="1" w:lastRow="0" w:firstColumn="1" w:lastColumn="0" w:noHBand="0" w:noVBand="1"/>
      </w:tblPr>
      <w:tblGrid>
        <w:gridCol w:w="1624"/>
        <w:gridCol w:w="1235"/>
        <w:gridCol w:w="1235"/>
        <w:gridCol w:w="1235"/>
        <w:gridCol w:w="1235"/>
        <w:gridCol w:w="1235"/>
      </w:tblGrid>
      <w:tr w:rsidR="00626866" w:rsidRPr="00351E73" w14:paraId="1F9FD6EF"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hideMark/>
          </w:tcPr>
          <w:p w14:paraId="5D29D1D7"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gridSpan w:val="5"/>
            <w:tcBorders>
              <w:top w:val="single" w:sz="4" w:space="0" w:color="auto"/>
              <w:left w:val="nil"/>
              <w:bottom w:val="nil"/>
              <w:right w:val="nil"/>
            </w:tcBorders>
            <w:shd w:val="clear" w:color="auto" w:fill="auto"/>
            <w:noWrap/>
            <w:vAlign w:val="bottom"/>
            <w:hideMark/>
          </w:tcPr>
          <w:p w14:paraId="286401A5"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xml:space="preserve">Dependent variable: </w:t>
            </w:r>
            <w:r w:rsidRPr="004961A2">
              <w:rPr>
                <w:rFonts w:ascii="Calibri" w:eastAsia="Times New Roman" w:hAnsi="Calibri" w:cs="Calibri"/>
                <w:i/>
                <w:sz w:val="20"/>
                <w:szCs w:val="20"/>
              </w:rPr>
              <w:t>InitialRate</w:t>
            </w:r>
          </w:p>
        </w:tc>
      </w:tr>
      <w:tr w:rsidR="00626866" w:rsidRPr="00351E73" w14:paraId="113C9B58" w14:textId="77777777" w:rsidTr="009D6779">
        <w:trPr>
          <w:trHeight w:val="255"/>
          <w:jc w:val="center"/>
        </w:trPr>
        <w:tc>
          <w:tcPr>
            <w:tcW w:w="0" w:type="auto"/>
            <w:tcBorders>
              <w:top w:val="nil"/>
              <w:left w:val="nil"/>
              <w:right w:val="nil"/>
            </w:tcBorders>
            <w:shd w:val="clear" w:color="auto" w:fill="auto"/>
            <w:noWrap/>
            <w:vAlign w:val="bottom"/>
            <w:hideMark/>
          </w:tcPr>
          <w:p w14:paraId="520546F2" w14:textId="77777777" w:rsidR="00626866" w:rsidRPr="00351E73" w:rsidRDefault="00626866" w:rsidP="009D6779">
            <w:pPr>
              <w:spacing w:after="0" w:line="240" w:lineRule="auto"/>
              <w:contextualSpacing/>
              <w:jc w:val="center"/>
              <w:rPr>
                <w:rFonts w:ascii="Calibri" w:eastAsia="Times New Roman" w:hAnsi="Calibri" w:cs="Calibri"/>
                <w:sz w:val="18"/>
                <w:szCs w:val="18"/>
              </w:rPr>
            </w:pPr>
            <w:r w:rsidRPr="00351E73">
              <w:rPr>
                <w:rFonts w:ascii="Calibri" w:eastAsia="Times New Roman" w:hAnsi="Calibri" w:cs="Calibri"/>
                <w:sz w:val="18"/>
                <w:szCs w:val="18"/>
              </w:rPr>
              <w:t> </w:t>
            </w:r>
          </w:p>
        </w:tc>
        <w:tc>
          <w:tcPr>
            <w:tcW w:w="0" w:type="auto"/>
            <w:tcBorders>
              <w:top w:val="nil"/>
              <w:left w:val="nil"/>
              <w:right w:val="nil"/>
            </w:tcBorders>
            <w:shd w:val="clear" w:color="auto" w:fill="auto"/>
            <w:noWrap/>
            <w:vAlign w:val="bottom"/>
            <w:hideMark/>
          </w:tcPr>
          <w:p w14:paraId="2F7F8DA1"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2008-2010</w:t>
            </w:r>
          </w:p>
        </w:tc>
        <w:tc>
          <w:tcPr>
            <w:tcW w:w="0" w:type="auto"/>
            <w:tcBorders>
              <w:top w:val="nil"/>
              <w:left w:val="nil"/>
              <w:right w:val="nil"/>
            </w:tcBorders>
            <w:shd w:val="clear" w:color="auto" w:fill="auto"/>
            <w:noWrap/>
            <w:vAlign w:val="bottom"/>
            <w:hideMark/>
          </w:tcPr>
          <w:p w14:paraId="4B69198D"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2007-2011</w:t>
            </w:r>
          </w:p>
        </w:tc>
        <w:tc>
          <w:tcPr>
            <w:tcW w:w="0" w:type="auto"/>
            <w:tcBorders>
              <w:top w:val="nil"/>
              <w:left w:val="nil"/>
              <w:right w:val="nil"/>
            </w:tcBorders>
            <w:shd w:val="clear" w:color="auto" w:fill="auto"/>
            <w:noWrap/>
            <w:vAlign w:val="bottom"/>
            <w:hideMark/>
          </w:tcPr>
          <w:p w14:paraId="1A061BAE"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2006-2012</w:t>
            </w:r>
          </w:p>
        </w:tc>
        <w:tc>
          <w:tcPr>
            <w:tcW w:w="0" w:type="auto"/>
            <w:tcBorders>
              <w:top w:val="nil"/>
              <w:left w:val="nil"/>
              <w:right w:val="nil"/>
            </w:tcBorders>
            <w:shd w:val="clear" w:color="auto" w:fill="auto"/>
            <w:noWrap/>
            <w:vAlign w:val="bottom"/>
            <w:hideMark/>
          </w:tcPr>
          <w:p w14:paraId="77609370"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2005-2013</w:t>
            </w:r>
          </w:p>
        </w:tc>
        <w:tc>
          <w:tcPr>
            <w:tcW w:w="0" w:type="auto"/>
            <w:tcBorders>
              <w:top w:val="nil"/>
              <w:left w:val="nil"/>
              <w:right w:val="nil"/>
            </w:tcBorders>
            <w:shd w:val="clear" w:color="auto" w:fill="auto"/>
            <w:noWrap/>
            <w:vAlign w:val="bottom"/>
            <w:hideMark/>
          </w:tcPr>
          <w:p w14:paraId="4F05167D"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2004-2014</w:t>
            </w:r>
          </w:p>
        </w:tc>
      </w:tr>
      <w:tr w:rsidR="00626866" w:rsidRPr="00351E73" w14:paraId="7FF5F559"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hideMark/>
          </w:tcPr>
          <w:p w14:paraId="5D2041F4"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hideMark/>
          </w:tcPr>
          <w:p w14:paraId="398F1651"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bottom"/>
            <w:hideMark/>
          </w:tcPr>
          <w:p w14:paraId="4157F1C0"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bottom"/>
            <w:hideMark/>
          </w:tcPr>
          <w:p w14:paraId="65E221CC"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(3)</w:t>
            </w:r>
          </w:p>
        </w:tc>
        <w:tc>
          <w:tcPr>
            <w:tcW w:w="0" w:type="auto"/>
            <w:tcBorders>
              <w:top w:val="nil"/>
              <w:left w:val="nil"/>
              <w:bottom w:val="single" w:sz="4" w:space="0" w:color="auto"/>
              <w:right w:val="nil"/>
            </w:tcBorders>
            <w:shd w:val="clear" w:color="auto" w:fill="auto"/>
            <w:noWrap/>
            <w:vAlign w:val="bottom"/>
            <w:hideMark/>
          </w:tcPr>
          <w:p w14:paraId="2F378127"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(4)</w:t>
            </w:r>
          </w:p>
        </w:tc>
        <w:tc>
          <w:tcPr>
            <w:tcW w:w="0" w:type="auto"/>
            <w:tcBorders>
              <w:top w:val="nil"/>
              <w:left w:val="nil"/>
              <w:bottom w:val="single" w:sz="4" w:space="0" w:color="auto"/>
              <w:right w:val="nil"/>
            </w:tcBorders>
            <w:shd w:val="clear" w:color="auto" w:fill="auto"/>
            <w:noWrap/>
            <w:vAlign w:val="bottom"/>
            <w:hideMark/>
          </w:tcPr>
          <w:p w14:paraId="7F627A2C"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(5)</w:t>
            </w:r>
          </w:p>
        </w:tc>
      </w:tr>
      <w:tr w:rsidR="00DF2657" w:rsidRPr="00351E73" w14:paraId="7CE71BDD"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hideMark/>
          </w:tcPr>
          <w:p w14:paraId="19D251D8"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single" w:sz="4" w:space="0" w:color="auto"/>
              <w:left w:val="nil"/>
              <w:bottom w:val="nil"/>
              <w:right w:val="nil"/>
            </w:tcBorders>
            <w:shd w:val="clear" w:color="auto" w:fill="auto"/>
            <w:noWrap/>
            <w:vAlign w:val="bottom"/>
          </w:tcPr>
          <w:p w14:paraId="349A7E5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-.0567***</w:t>
            </w:r>
          </w:p>
        </w:tc>
        <w:tc>
          <w:tcPr>
            <w:tcW w:w="0" w:type="auto"/>
            <w:tcBorders>
              <w:top w:val="single" w:sz="4" w:space="0" w:color="auto"/>
              <w:left w:val="nil"/>
              <w:bottom w:val="nil"/>
              <w:right w:val="nil"/>
            </w:tcBorders>
            <w:shd w:val="clear" w:color="auto" w:fill="auto"/>
            <w:noWrap/>
            <w:vAlign w:val="bottom"/>
          </w:tcPr>
          <w:p w14:paraId="25EDDC9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-.0463***</w:t>
            </w:r>
          </w:p>
        </w:tc>
        <w:tc>
          <w:tcPr>
            <w:tcW w:w="0" w:type="auto"/>
            <w:tcBorders>
              <w:top w:val="single" w:sz="4" w:space="0" w:color="auto"/>
              <w:left w:val="nil"/>
              <w:bottom w:val="nil"/>
              <w:right w:val="nil"/>
            </w:tcBorders>
            <w:shd w:val="clear" w:color="auto" w:fill="auto"/>
            <w:noWrap/>
            <w:vAlign w:val="bottom"/>
          </w:tcPr>
          <w:p w14:paraId="313593C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-.0371***</w:t>
            </w:r>
          </w:p>
        </w:tc>
        <w:tc>
          <w:tcPr>
            <w:tcW w:w="0" w:type="auto"/>
            <w:tcBorders>
              <w:top w:val="single" w:sz="4" w:space="0" w:color="auto"/>
              <w:left w:val="nil"/>
              <w:bottom w:val="nil"/>
              <w:right w:val="nil"/>
            </w:tcBorders>
            <w:shd w:val="clear" w:color="auto" w:fill="auto"/>
            <w:noWrap/>
            <w:vAlign w:val="bottom"/>
          </w:tcPr>
          <w:p w14:paraId="6F7244B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-.0425***</w:t>
            </w:r>
          </w:p>
        </w:tc>
        <w:tc>
          <w:tcPr>
            <w:tcW w:w="0" w:type="auto"/>
            <w:tcBorders>
              <w:top w:val="single" w:sz="4" w:space="0" w:color="auto"/>
              <w:left w:val="nil"/>
              <w:bottom w:val="nil"/>
              <w:right w:val="nil"/>
            </w:tcBorders>
            <w:shd w:val="clear" w:color="auto" w:fill="auto"/>
            <w:noWrap/>
            <w:vAlign w:val="bottom"/>
          </w:tcPr>
          <w:p w14:paraId="0DC2955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-.0711***</w:t>
            </w:r>
          </w:p>
        </w:tc>
      </w:tr>
      <w:tr w:rsidR="00DF2657" w:rsidRPr="00351E73" w14:paraId="20138D4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924EC8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89247E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(.00655)</w:t>
            </w:r>
          </w:p>
        </w:tc>
        <w:tc>
          <w:tcPr>
            <w:tcW w:w="0" w:type="auto"/>
            <w:tcBorders>
              <w:top w:val="nil"/>
              <w:left w:val="nil"/>
              <w:bottom w:val="nil"/>
              <w:right w:val="nil"/>
            </w:tcBorders>
            <w:shd w:val="clear" w:color="auto" w:fill="auto"/>
            <w:noWrap/>
            <w:vAlign w:val="bottom"/>
          </w:tcPr>
          <w:p w14:paraId="0EDDAC2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(.00637)</w:t>
            </w:r>
          </w:p>
        </w:tc>
        <w:tc>
          <w:tcPr>
            <w:tcW w:w="0" w:type="auto"/>
            <w:tcBorders>
              <w:top w:val="nil"/>
              <w:left w:val="nil"/>
              <w:bottom w:val="nil"/>
              <w:right w:val="nil"/>
            </w:tcBorders>
            <w:shd w:val="clear" w:color="auto" w:fill="auto"/>
            <w:noWrap/>
            <w:vAlign w:val="bottom"/>
          </w:tcPr>
          <w:p w14:paraId="6923482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(.0077</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9952D5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(.00789)</w:t>
            </w:r>
          </w:p>
        </w:tc>
        <w:tc>
          <w:tcPr>
            <w:tcW w:w="0" w:type="auto"/>
            <w:tcBorders>
              <w:top w:val="nil"/>
              <w:left w:val="nil"/>
              <w:bottom w:val="nil"/>
              <w:right w:val="nil"/>
            </w:tcBorders>
            <w:shd w:val="clear" w:color="auto" w:fill="auto"/>
            <w:noWrap/>
            <w:vAlign w:val="bottom"/>
          </w:tcPr>
          <w:p w14:paraId="3AF9E6A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(.0083</w:t>
            </w:r>
            <w:r w:rsidR="00E61DBF">
              <w:rPr>
                <w:rFonts w:ascii="Calibri" w:hAnsi="Calibri" w:cs="Calibri"/>
                <w:sz w:val="20"/>
                <w:szCs w:val="20"/>
              </w:rPr>
              <w:t>0</w:t>
            </w:r>
            <w:r>
              <w:rPr>
                <w:rFonts w:ascii="Calibri" w:hAnsi="Calibri" w:cs="Calibri"/>
                <w:sz w:val="20"/>
                <w:szCs w:val="20"/>
              </w:rPr>
              <w:t>)</w:t>
            </w:r>
          </w:p>
        </w:tc>
      </w:tr>
      <w:tr w:rsidR="00DF2657" w:rsidRPr="00351E73" w14:paraId="59E36CC9"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91EF3F8"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tcPr>
          <w:p w14:paraId="2382468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.0194</w:t>
            </w:r>
          </w:p>
        </w:tc>
        <w:tc>
          <w:tcPr>
            <w:tcW w:w="0" w:type="auto"/>
            <w:tcBorders>
              <w:top w:val="nil"/>
              <w:left w:val="nil"/>
              <w:bottom w:val="nil"/>
              <w:right w:val="nil"/>
            </w:tcBorders>
            <w:shd w:val="clear" w:color="auto" w:fill="auto"/>
            <w:noWrap/>
            <w:vAlign w:val="bottom"/>
          </w:tcPr>
          <w:p w14:paraId="57D7EC2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.0308*</w:t>
            </w:r>
          </w:p>
        </w:tc>
        <w:tc>
          <w:tcPr>
            <w:tcW w:w="0" w:type="auto"/>
            <w:tcBorders>
              <w:top w:val="nil"/>
              <w:left w:val="nil"/>
              <w:bottom w:val="nil"/>
              <w:right w:val="nil"/>
            </w:tcBorders>
            <w:shd w:val="clear" w:color="auto" w:fill="auto"/>
            <w:noWrap/>
            <w:vAlign w:val="bottom"/>
          </w:tcPr>
          <w:p w14:paraId="118A6DF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.0524***</w:t>
            </w:r>
          </w:p>
        </w:tc>
        <w:tc>
          <w:tcPr>
            <w:tcW w:w="0" w:type="auto"/>
            <w:tcBorders>
              <w:top w:val="nil"/>
              <w:left w:val="nil"/>
              <w:bottom w:val="nil"/>
              <w:right w:val="nil"/>
            </w:tcBorders>
            <w:shd w:val="clear" w:color="auto" w:fill="auto"/>
            <w:noWrap/>
            <w:vAlign w:val="bottom"/>
          </w:tcPr>
          <w:p w14:paraId="06A9EE4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.0499***</w:t>
            </w:r>
          </w:p>
        </w:tc>
        <w:tc>
          <w:tcPr>
            <w:tcW w:w="0" w:type="auto"/>
            <w:tcBorders>
              <w:top w:val="nil"/>
              <w:left w:val="nil"/>
              <w:bottom w:val="nil"/>
              <w:right w:val="nil"/>
            </w:tcBorders>
            <w:shd w:val="clear" w:color="auto" w:fill="auto"/>
            <w:noWrap/>
            <w:vAlign w:val="bottom"/>
          </w:tcPr>
          <w:p w14:paraId="4028020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.0471**</w:t>
            </w:r>
          </w:p>
        </w:tc>
      </w:tr>
      <w:tr w:rsidR="00DF2657" w:rsidRPr="00351E73" w14:paraId="6B1049AB"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4D1407A"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6AA3398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(.0146)</w:t>
            </w:r>
          </w:p>
        </w:tc>
        <w:tc>
          <w:tcPr>
            <w:tcW w:w="0" w:type="auto"/>
            <w:tcBorders>
              <w:top w:val="nil"/>
              <w:left w:val="nil"/>
              <w:bottom w:val="nil"/>
              <w:right w:val="nil"/>
            </w:tcBorders>
            <w:shd w:val="clear" w:color="auto" w:fill="auto"/>
            <w:noWrap/>
            <w:vAlign w:val="bottom"/>
          </w:tcPr>
          <w:p w14:paraId="12E396A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(.0157)</w:t>
            </w:r>
          </w:p>
        </w:tc>
        <w:tc>
          <w:tcPr>
            <w:tcW w:w="0" w:type="auto"/>
            <w:tcBorders>
              <w:top w:val="nil"/>
              <w:left w:val="nil"/>
              <w:bottom w:val="nil"/>
              <w:right w:val="nil"/>
            </w:tcBorders>
            <w:shd w:val="clear" w:color="auto" w:fill="auto"/>
            <w:noWrap/>
            <w:vAlign w:val="bottom"/>
          </w:tcPr>
          <w:p w14:paraId="4017B35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(.0167)</w:t>
            </w:r>
          </w:p>
        </w:tc>
        <w:tc>
          <w:tcPr>
            <w:tcW w:w="0" w:type="auto"/>
            <w:tcBorders>
              <w:top w:val="nil"/>
              <w:left w:val="nil"/>
              <w:bottom w:val="nil"/>
              <w:right w:val="nil"/>
            </w:tcBorders>
            <w:shd w:val="clear" w:color="auto" w:fill="auto"/>
            <w:noWrap/>
            <w:vAlign w:val="bottom"/>
          </w:tcPr>
          <w:p w14:paraId="6847608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(.0173)</w:t>
            </w:r>
          </w:p>
        </w:tc>
        <w:tc>
          <w:tcPr>
            <w:tcW w:w="0" w:type="auto"/>
            <w:tcBorders>
              <w:top w:val="nil"/>
              <w:left w:val="nil"/>
              <w:bottom w:val="nil"/>
              <w:right w:val="nil"/>
            </w:tcBorders>
            <w:shd w:val="clear" w:color="auto" w:fill="auto"/>
            <w:noWrap/>
            <w:vAlign w:val="bottom"/>
          </w:tcPr>
          <w:p w14:paraId="154DF72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(.0183)</w:t>
            </w:r>
          </w:p>
        </w:tc>
      </w:tr>
      <w:tr w:rsidR="00DF2657" w:rsidRPr="00351E73" w14:paraId="0633216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AE71A88"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tcPr>
          <w:p w14:paraId="3EF1C58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.0464***</w:t>
            </w:r>
          </w:p>
        </w:tc>
        <w:tc>
          <w:tcPr>
            <w:tcW w:w="0" w:type="auto"/>
            <w:tcBorders>
              <w:top w:val="nil"/>
              <w:left w:val="nil"/>
              <w:bottom w:val="nil"/>
              <w:right w:val="nil"/>
            </w:tcBorders>
            <w:shd w:val="clear" w:color="auto" w:fill="auto"/>
            <w:noWrap/>
            <w:vAlign w:val="bottom"/>
          </w:tcPr>
          <w:p w14:paraId="5C3371B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.0427***</w:t>
            </w:r>
          </w:p>
        </w:tc>
        <w:tc>
          <w:tcPr>
            <w:tcW w:w="0" w:type="auto"/>
            <w:tcBorders>
              <w:top w:val="nil"/>
              <w:left w:val="nil"/>
              <w:bottom w:val="nil"/>
              <w:right w:val="nil"/>
            </w:tcBorders>
            <w:shd w:val="clear" w:color="auto" w:fill="auto"/>
            <w:noWrap/>
            <w:vAlign w:val="bottom"/>
          </w:tcPr>
          <w:p w14:paraId="3C9EFAC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.0299***</w:t>
            </w:r>
          </w:p>
        </w:tc>
        <w:tc>
          <w:tcPr>
            <w:tcW w:w="0" w:type="auto"/>
            <w:tcBorders>
              <w:top w:val="nil"/>
              <w:left w:val="nil"/>
              <w:bottom w:val="nil"/>
              <w:right w:val="nil"/>
            </w:tcBorders>
            <w:shd w:val="clear" w:color="auto" w:fill="auto"/>
            <w:noWrap/>
            <w:vAlign w:val="bottom"/>
          </w:tcPr>
          <w:p w14:paraId="3A07C16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.0377***</w:t>
            </w:r>
          </w:p>
        </w:tc>
        <w:tc>
          <w:tcPr>
            <w:tcW w:w="0" w:type="auto"/>
            <w:tcBorders>
              <w:top w:val="nil"/>
              <w:left w:val="nil"/>
              <w:bottom w:val="nil"/>
              <w:right w:val="nil"/>
            </w:tcBorders>
            <w:shd w:val="clear" w:color="auto" w:fill="auto"/>
            <w:noWrap/>
            <w:vAlign w:val="bottom"/>
          </w:tcPr>
          <w:p w14:paraId="5693FBE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.0639***</w:t>
            </w:r>
          </w:p>
        </w:tc>
      </w:tr>
      <w:tr w:rsidR="00DF2657" w:rsidRPr="00351E73" w14:paraId="5D45359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72949858"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9A56FD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(.00857)</w:t>
            </w:r>
          </w:p>
        </w:tc>
        <w:tc>
          <w:tcPr>
            <w:tcW w:w="0" w:type="auto"/>
            <w:tcBorders>
              <w:top w:val="nil"/>
              <w:left w:val="nil"/>
              <w:bottom w:val="nil"/>
              <w:right w:val="nil"/>
            </w:tcBorders>
            <w:shd w:val="clear" w:color="auto" w:fill="auto"/>
            <w:noWrap/>
            <w:vAlign w:val="bottom"/>
          </w:tcPr>
          <w:p w14:paraId="6ABF648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(.00841)</w:t>
            </w:r>
          </w:p>
        </w:tc>
        <w:tc>
          <w:tcPr>
            <w:tcW w:w="0" w:type="auto"/>
            <w:tcBorders>
              <w:top w:val="nil"/>
              <w:left w:val="nil"/>
              <w:bottom w:val="nil"/>
              <w:right w:val="nil"/>
            </w:tcBorders>
            <w:shd w:val="clear" w:color="auto" w:fill="auto"/>
            <w:noWrap/>
            <w:vAlign w:val="bottom"/>
          </w:tcPr>
          <w:p w14:paraId="4B80E42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(.00952)</w:t>
            </w:r>
          </w:p>
        </w:tc>
        <w:tc>
          <w:tcPr>
            <w:tcW w:w="0" w:type="auto"/>
            <w:tcBorders>
              <w:top w:val="nil"/>
              <w:left w:val="nil"/>
              <w:bottom w:val="nil"/>
              <w:right w:val="nil"/>
            </w:tcBorders>
            <w:shd w:val="clear" w:color="auto" w:fill="auto"/>
            <w:noWrap/>
            <w:vAlign w:val="bottom"/>
          </w:tcPr>
          <w:p w14:paraId="2ABD030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(.00974)</w:t>
            </w:r>
          </w:p>
        </w:tc>
        <w:tc>
          <w:tcPr>
            <w:tcW w:w="0" w:type="auto"/>
            <w:tcBorders>
              <w:top w:val="nil"/>
              <w:left w:val="nil"/>
              <w:bottom w:val="nil"/>
              <w:right w:val="nil"/>
            </w:tcBorders>
            <w:shd w:val="clear" w:color="auto" w:fill="auto"/>
            <w:noWrap/>
            <w:vAlign w:val="bottom"/>
          </w:tcPr>
          <w:p w14:paraId="302A2E7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(.0102)</w:t>
            </w:r>
          </w:p>
        </w:tc>
      </w:tr>
      <w:tr w:rsidR="00DF2657" w:rsidRPr="00351E73" w14:paraId="7798650A"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324C734"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LTV</w:t>
            </w:r>
          </w:p>
        </w:tc>
        <w:tc>
          <w:tcPr>
            <w:tcW w:w="0" w:type="auto"/>
            <w:tcBorders>
              <w:top w:val="nil"/>
              <w:left w:val="nil"/>
              <w:bottom w:val="nil"/>
              <w:right w:val="nil"/>
            </w:tcBorders>
            <w:shd w:val="clear" w:color="auto" w:fill="auto"/>
            <w:noWrap/>
            <w:vAlign w:val="bottom"/>
          </w:tcPr>
          <w:p w14:paraId="74FAF35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.0112***</w:t>
            </w:r>
          </w:p>
        </w:tc>
        <w:tc>
          <w:tcPr>
            <w:tcW w:w="0" w:type="auto"/>
            <w:tcBorders>
              <w:top w:val="nil"/>
              <w:left w:val="nil"/>
              <w:bottom w:val="nil"/>
              <w:right w:val="nil"/>
            </w:tcBorders>
            <w:shd w:val="clear" w:color="auto" w:fill="auto"/>
            <w:noWrap/>
            <w:vAlign w:val="bottom"/>
          </w:tcPr>
          <w:p w14:paraId="5A55A46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.0121***</w:t>
            </w:r>
          </w:p>
        </w:tc>
        <w:tc>
          <w:tcPr>
            <w:tcW w:w="0" w:type="auto"/>
            <w:tcBorders>
              <w:top w:val="nil"/>
              <w:left w:val="nil"/>
              <w:bottom w:val="nil"/>
              <w:right w:val="nil"/>
            </w:tcBorders>
            <w:shd w:val="clear" w:color="auto" w:fill="auto"/>
            <w:noWrap/>
            <w:vAlign w:val="bottom"/>
          </w:tcPr>
          <w:p w14:paraId="2290B09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.0127***</w:t>
            </w:r>
          </w:p>
        </w:tc>
        <w:tc>
          <w:tcPr>
            <w:tcW w:w="0" w:type="auto"/>
            <w:tcBorders>
              <w:top w:val="nil"/>
              <w:left w:val="nil"/>
              <w:bottom w:val="nil"/>
              <w:right w:val="nil"/>
            </w:tcBorders>
            <w:shd w:val="clear" w:color="auto" w:fill="auto"/>
            <w:noWrap/>
            <w:vAlign w:val="bottom"/>
          </w:tcPr>
          <w:p w14:paraId="23D3CBB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.0125***</w:t>
            </w:r>
          </w:p>
        </w:tc>
        <w:tc>
          <w:tcPr>
            <w:tcW w:w="0" w:type="auto"/>
            <w:tcBorders>
              <w:top w:val="nil"/>
              <w:left w:val="nil"/>
              <w:bottom w:val="nil"/>
              <w:right w:val="nil"/>
            </w:tcBorders>
            <w:shd w:val="clear" w:color="auto" w:fill="auto"/>
            <w:noWrap/>
            <w:vAlign w:val="bottom"/>
          </w:tcPr>
          <w:p w14:paraId="0F3B78D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.0123***</w:t>
            </w:r>
          </w:p>
        </w:tc>
      </w:tr>
      <w:tr w:rsidR="00DF2657" w:rsidRPr="00351E73" w14:paraId="1E1EBC28"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C6917A9"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6BD7EF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(.000477)</w:t>
            </w:r>
          </w:p>
        </w:tc>
        <w:tc>
          <w:tcPr>
            <w:tcW w:w="0" w:type="auto"/>
            <w:tcBorders>
              <w:top w:val="nil"/>
              <w:left w:val="nil"/>
              <w:bottom w:val="nil"/>
              <w:right w:val="nil"/>
            </w:tcBorders>
            <w:shd w:val="clear" w:color="auto" w:fill="auto"/>
            <w:noWrap/>
            <w:vAlign w:val="bottom"/>
          </w:tcPr>
          <w:p w14:paraId="3EBBC78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(.000469)</w:t>
            </w:r>
          </w:p>
        </w:tc>
        <w:tc>
          <w:tcPr>
            <w:tcW w:w="0" w:type="auto"/>
            <w:tcBorders>
              <w:top w:val="nil"/>
              <w:left w:val="nil"/>
              <w:bottom w:val="nil"/>
              <w:right w:val="nil"/>
            </w:tcBorders>
            <w:shd w:val="clear" w:color="auto" w:fill="auto"/>
            <w:noWrap/>
            <w:vAlign w:val="bottom"/>
          </w:tcPr>
          <w:p w14:paraId="44E1858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(.000517)</w:t>
            </w:r>
          </w:p>
        </w:tc>
        <w:tc>
          <w:tcPr>
            <w:tcW w:w="0" w:type="auto"/>
            <w:tcBorders>
              <w:top w:val="nil"/>
              <w:left w:val="nil"/>
              <w:bottom w:val="nil"/>
              <w:right w:val="nil"/>
            </w:tcBorders>
            <w:shd w:val="clear" w:color="auto" w:fill="auto"/>
            <w:noWrap/>
            <w:vAlign w:val="bottom"/>
          </w:tcPr>
          <w:p w14:paraId="1ACCEBA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(.000524)</w:t>
            </w:r>
          </w:p>
        </w:tc>
        <w:tc>
          <w:tcPr>
            <w:tcW w:w="0" w:type="auto"/>
            <w:tcBorders>
              <w:top w:val="nil"/>
              <w:left w:val="nil"/>
              <w:bottom w:val="nil"/>
              <w:right w:val="nil"/>
            </w:tcBorders>
            <w:shd w:val="clear" w:color="auto" w:fill="auto"/>
            <w:noWrap/>
            <w:vAlign w:val="bottom"/>
          </w:tcPr>
          <w:p w14:paraId="427859E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(.000539)</w:t>
            </w:r>
          </w:p>
        </w:tc>
      </w:tr>
      <w:tr w:rsidR="00DF2657" w:rsidRPr="00351E73" w14:paraId="443500A3"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C2502F4"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tcPr>
          <w:p w14:paraId="52EF1BD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-.000947***</w:t>
            </w:r>
          </w:p>
        </w:tc>
        <w:tc>
          <w:tcPr>
            <w:tcW w:w="0" w:type="auto"/>
            <w:tcBorders>
              <w:top w:val="nil"/>
              <w:left w:val="nil"/>
              <w:bottom w:val="nil"/>
              <w:right w:val="nil"/>
            </w:tcBorders>
            <w:shd w:val="clear" w:color="auto" w:fill="auto"/>
            <w:noWrap/>
            <w:vAlign w:val="bottom"/>
          </w:tcPr>
          <w:p w14:paraId="3A0CC33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-.000855***</w:t>
            </w:r>
          </w:p>
        </w:tc>
        <w:tc>
          <w:tcPr>
            <w:tcW w:w="0" w:type="auto"/>
            <w:tcBorders>
              <w:top w:val="nil"/>
              <w:left w:val="nil"/>
              <w:bottom w:val="nil"/>
              <w:right w:val="nil"/>
            </w:tcBorders>
            <w:shd w:val="clear" w:color="auto" w:fill="auto"/>
            <w:noWrap/>
            <w:vAlign w:val="bottom"/>
          </w:tcPr>
          <w:p w14:paraId="16AA6F0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-.000709***</w:t>
            </w:r>
          </w:p>
        </w:tc>
        <w:tc>
          <w:tcPr>
            <w:tcW w:w="0" w:type="auto"/>
            <w:tcBorders>
              <w:top w:val="nil"/>
              <w:left w:val="nil"/>
              <w:bottom w:val="nil"/>
              <w:right w:val="nil"/>
            </w:tcBorders>
            <w:shd w:val="clear" w:color="auto" w:fill="auto"/>
            <w:noWrap/>
            <w:vAlign w:val="bottom"/>
          </w:tcPr>
          <w:p w14:paraId="237202B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-.000747***</w:t>
            </w:r>
          </w:p>
        </w:tc>
        <w:tc>
          <w:tcPr>
            <w:tcW w:w="0" w:type="auto"/>
            <w:tcBorders>
              <w:top w:val="nil"/>
              <w:left w:val="nil"/>
              <w:bottom w:val="nil"/>
              <w:right w:val="nil"/>
            </w:tcBorders>
            <w:shd w:val="clear" w:color="auto" w:fill="auto"/>
            <w:noWrap/>
            <w:vAlign w:val="bottom"/>
          </w:tcPr>
          <w:p w14:paraId="67DDD4A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-.000709***</w:t>
            </w:r>
          </w:p>
        </w:tc>
      </w:tr>
      <w:tr w:rsidR="00DF2657" w:rsidRPr="00351E73" w14:paraId="4F2DE05E"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4066367F"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C45725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(.0000621)</w:t>
            </w:r>
          </w:p>
        </w:tc>
        <w:tc>
          <w:tcPr>
            <w:tcW w:w="0" w:type="auto"/>
            <w:tcBorders>
              <w:top w:val="nil"/>
              <w:left w:val="nil"/>
              <w:bottom w:val="nil"/>
              <w:right w:val="nil"/>
            </w:tcBorders>
            <w:shd w:val="clear" w:color="auto" w:fill="auto"/>
            <w:noWrap/>
            <w:vAlign w:val="bottom"/>
          </w:tcPr>
          <w:p w14:paraId="7F40430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(.0000621)</w:t>
            </w:r>
          </w:p>
        </w:tc>
        <w:tc>
          <w:tcPr>
            <w:tcW w:w="0" w:type="auto"/>
            <w:tcBorders>
              <w:top w:val="nil"/>
              <w:left w:val="nil"/>
              <w:bottom w:val="nil"/>
              <w:right w:val="nil"/>
            </w:tcBorders>
            <w:shd w:val="clear" w:color="auto" w:fill="auto"/>
            <w:noWrap/>
            <w:vAlign w:val="bottom"/>
          </w:tcPr>
          <w:p w14:paraId="5F58521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(.0000675)</w:t>
            </w:r>
          </w:p>
        </w:tc>
        <w:tc>
          <w:tcPr>
            <w:tcW w:w="0" w:type="auto"/>
            <w:tcBorders>
              <w:top w:val="nil"/>
              <w:left w:val="nil"/>
              <w:bottom w:val="nil"/>
              <w:right w:val="nil"/>
            </w:tcBorders>
            <w:shd w:val="clear" w:color="auto" w:fill="auto"/>
            <w:noWrap/>
            <w:vAlign w:val="bottom"/>
          </w:tcPr>
          <w:p w14:paraId="5A5106A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(.0000683)</w:t>
            </w:r>
          </w:p>
        </w:tc>
        <w:tc>
          <w:tcPr>
            <w:tcW w:w="0" w:type="auto"/>
            <w:tcBorders>
              <w:top w:val="nil"/>
              <w:left w:val="nil"/>
              <w:bottom w:val="nil"/>
              <w:right w:val="nil"/>
            </w:tcBorders>
            <w:shd w:val="clear" w:color="auto" w:fill="auto"/>
            <w:noWrap/>
            <w:vAlign w:val="bottom"/>
          </w:tcPr>
          <w:p w14:paraId="7179228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(.0000708)</w:t>
            </w:r>
          </w:p>
        </w:tc>
      </w:tr>
      <w:tr w:rsidR="00DF2657" w:rsidRPr="00351E73" w14:paraId="1C95005C"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E055BD4"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tcPr>
          <w:p w14:paraId="1EA09A2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-.169***</w:t>
            </w:r>
          </w:p>
        </w:tc>
        <w:tc>
          <w:tcPr>
            <w:tcW w:w="0" w:type="auto"/>
            <w:tcBorders>
              <w:top w:val="nil"/>
              <w:left w:val="nil"/>
              <w:bottom w:val="nil"/>
              <w:right w:val="nil"/>
            </w:tcBorders>
            <w:shd w:val="clear" w:color="auto" w:fill="auto"/>
            <w:noWrap/>
            <w:vAlign w:val="bottom"/>
          </w:tcPr>
          <w:p w14:paraId="12467E3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-.18</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565F39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-.173***</w:t>
            </w:r>
          </w:p>
        </w:tc>
        <w:tc>
          <w:tcPr>
            <w:tcW w:w="0" w:type="auto"/>
            <w:tcBorders>
              <w:top w:val="nil"/>
              <w:left w:val="nil"/>
              <w:bottom w:val="nil"/>
              <w:right w:val="nil"/>
            </w:tcBorders>
            <w:shd w:val="clear" w:color="auto" w:fill="auto"/>
            <w:noWrap/>
            <w:vAlign w:val="bottom"/>
          </w:tcPr>
          <w:p w14:paraId="233E538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-.171***</w:t>
            </w:r>
          </w:p>
        </w:tc>
        <w:tc>
          <w:tcPr>
            <w:tcW w:w="0" w:type="auto"/>
            <w:tcBorders>
              <w:top w:val="nil"/>
              <w:left w:val="nil"/>
              <w:bottom w:val="nil"/>
              <w:right w:val="nil"/>
            </w:tcBorders>
            <w:shd w:val="clear" w:color="auto" w:fill="auto"/>
            <w:noWrap/>
            <w:vAlign w:val="bottom"/>
          </w:tcPr>
          <w:p w14:paraId="2918197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-.172***</w:t>
            </w:r>
          </w:p>
        </w:tc>
      </w:tr>
      <w:tr w:rsidR="00DF2657" w:rsidRPr="00351E73" w14:paraId="78CA75CF"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B3B8A0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62A5E9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(.00555)</w:t>
            </w:r>
          </w:p>
        </w:tc>
        <w:tc>
          <w:tcPr>
            <w:tcW w:w="0" w:type="auto"/>
            <w:tcBorders>
              <w:top w:val="nil"/>
              <w:left w:val="nil"/>
              <w:bottom w:val="nil"/>
              <w:right w:val="nil"/>
            </w:tcBorders>
            <w:shd w:val="clear" w:color="auto" w:fill="auto"/>
            <w:noWrap/>
            <w:vAlign w:val="bottom"/>
          </w:tcPr>
          <w:p w14:paraId="327BCE5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(.00557)</w:t>
            </w:r>
          </w:p>
        </w:tc>
        <w:tc>
          <w:tcPr>
            <w:tcW w:w="0" w:type="auto"/>
            <w:tcBorders>
              <w:top w:val="nil"/>
              <w:left w:val="nil"/>
              <w:bottom w:val="nil"/>
              <w:right w:val="nil"/>
            </w:tcBorders>
            <w:shd w:val="clear" w:color="auto" w:fill="auto"/>
            <w:noWrap/>
            <w:vAlign w:val="bottom"/>
          </w:tcPr>
          <w:p w14:paraId="52A72F9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(.00596)</w:t>
            </w:r>
          </w:p>
        </w:tc>
        <w:tc>
          <w:tcPr>
            <w:tcW w:w="0" w:type="auto"/>
            <w:tcBorders>
              <w:top w:val="nil"/>
              <w:left w:val="nil"/>
              <w:bottom w:val="nil"/>
              <w:right w:val="nil"/>
            </w:tcBorders>
            <w:shd w:val="clear" w:color="auto" w:fill="auto"/>
            <w:noWrap/>
            <w:vAlign w:val="bottom"/>
          </w:tcPr>
          <w:p w14:paraId="72D90A0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(.00605)</w:t>
            </w:r>
          </w:p>
        </w:tc>
        <w:tc>
          <w:tcPr>
            <w:tcW w:w="0" w:type="auto"/>
            <w:tcBorders>
              <w:top w:val="nil"/>
              <w:left w:val="nil"/>
              <w:bottom w:val="nil"/>
              <w:right w:val="nil"/>
            </w:tcBorders>
            <w:shd w:val="clear" w:color="auto" w:fill="auto"/>
            <w:noWrap/>
            <w:vAlign w:val="bottom"/>
          </w:tcPr>
          <w:p w14:paraId="0B633A9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(.00627)</w:t>
            </w:r>
          </w:p>
        </w:tc>
      </w:tr>
      <w:tr w:rsidR="00DF2657" w:rsidRPr="00351E73" w14:paraId="1C258238"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0A167BB1"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OwnerOcc</w:t>
            </w:r>
          </w:p>
        </w:tc>
        <w:tc>
          <w:tcPr>
            <w:tcW w:w="0" w:type="auto"/>
            <w:tcBorders>
              <w:top w:val="nil"/>
              <w:left w:val="nil"/>
              <w:bottom w:val="nil"/>
              <w:right w:val="nil"/>
            </w:tcBorders>
            <w:shd w:val="clear" w:color="auto" w:fill="auto"/>
            <w:noWrap/>
            <w:vAlign w:val="bottom"/>
          </w:tcPr>
          <w:p w14:paraId="1B93E19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-.265***</w:t>
            </w:r>
          </w:p>
        </w:tc>
        <w:tc>
          <w:tcPr>
            <w:tcW w:w="0" w:type="auto"/>
            <w:tcBorders>
              <w:top w:val="nil"/>
              <w:left w:val="nil"/>
              <w:bottom w:val="nil"/>
              <w:right w:val="nil"/>
            </w:tcBorders>
            <w:shd w:val="clear" w:color="auto" w:fill="auto"/>
            <w:noWrap/>
            <w:vAlign w:val="bottom"/>
          </w:tcPr>
          <w:p w14:paraId="1341F86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-.268***</w:t>
            </w:r>
          </w:p>
        </w:tc>
        <w:tc>
          <w:tcPr>
            <w:tcW w:w="0" w:type="auto"/>
            <w:tcBorders>
              <w:top w:val="nil"/>
              <w:left w:val="nil"/>
              <w:bottom w:val="nil"/>
              <w:right w:val="nil"/>
            </w:tcBorders>
            <w:shd w:val="clear" w:color="auto" w:fill="auto"/>
            <w:noWrap/>
            <w:vAlign w:val="bottom"/>
          </w:tcPr>
          <w:p w14:paraId="64E2869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-.258***</w:t>
            </w:r>
          </w:p>
        </w:tc>
        <w:tc>
          <w:tcPr>
            <w:tcW w:w="0" w:type="auto"/>
            <w:tcBorders>
              <w:top w:val="nil"/>
              <w:left w:val="nil"/>
              <w:bottom w:val="nil"/>
              <w:right w:val="nil"/>
            </w:tcBorders>
            <w:shd w:val="clear" w:color="auto" w:fill="auto"/>
            <w:noWrap/>
            <w:vAlign w:val="bottom"/>
          </w:tcPr>
          <w:p w14:paraId="61532C0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-.258***</w:t>
            </w:r>
          </w:p>
        </w:tc>
        <w:tc>
          <w:tcPr>
            <w:tcW w:w="0" w:type="auto"/>
            <w:tcBorders>
              <w:top w:val="nil"/>
              <w:left w:val="nil"/>
              <w:bottom w:val="nil"/>
              <w:right w:val="nil"/>
            </w:tcBorders>
            <w:shd w:val="clear" w:color="auto" w:fill="auto"/>
            <w:noWrap/>
            <w:vAlign w:val="bottom"/>
          </w:tcPr>
          <w:p w14:paraId="4ECCA6B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-.255***</w:t>
            </w:r>
          </w:p>
        </w:tc>
      </w:tr>
      <w:tr w:rsidR="00DF2657" w:rsidRPr="00351E73" w14:paraId="09AC20C5"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660164D9"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E86D61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(.00553)</w:t>
            </w:r>
          </w:p>
        </w:tc>
        <w:tc>
          <w:tcPr>
            <w:tcW w:w="0" w:type="auto"/>
            <w:tcBorders>
              <w:top w:val="nil"/>
              <w:left w:val="nil"/>
              <w:bottom w:val="nil"/>
              <w:right w:val="nil"/>
            </w:tcBorders>
            <w:shd w:val="clear" w:color="auto" w:fill="auto"/>
            <w:noWrap/>
            <w:vAlign w:val="bottom"/>
          </w:tcPr>
          <w:p w14:paraId="75D0E4F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(.00547)</w:t>
            </w:r>
          </w:p>
        </w:tc>
        <w:tc>
          <w:tcPr>
            <w:tcW w:w="0" w:type="auto"/>
            <w:tcBorders>
              <w:top w:val="nil"/>
              <w:left w:val="nil"/>
              <w:bottom w:val="nil"/>
              <w:right w:val="nil"/>
            </w:tcBorders>
            <w:shd w:val="clear" w:color="auto" w:fill="auto"/>
            <w:noWrap/>
            <w:vAlign w:val="bottom"/>
          </w:tcPr>
          <w:p w14:paraId="69ED783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(.00592)</w:t>
            </w:r>
          </w:p>
        </w:tc>
        <w:tc>
          <w:tcPr>
            <w:tcW w:w="0" w:type="auto"/>
            <w:tcBorders>
              <w:top w:val="nil"/>
              <w:left w:val="nil"/>
              <w:bottom w:val="nil"/>
              <w:right w:val="nil"/>
            </w:tcBorders>
            <w:shd w:val="clear" w:color="auto" w:fill="auto"/>
            <w:noWrap/>
            <w:vAlign w:val="bottom"/>
          </w:tcPr>
          <w:p w14:paraId="5629490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w:t>
            </w:r>
            <w:r w:rsidR="00E61DBF">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8E30E6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(.00615)</w:t>
            </w:r>
          </w:p>
        </w:tc>
      </w:tr>
      <w:tr w:rsidR="00DF2657" w:rsidRPr="00351E73" w14:paraId="00680D75"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B71E482"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Term30</w:t>
            </w:r>
          </w:p>
        </w:tc>
        <w:tc>
          <w:tcPr>
            <w:tcW w:w="0" w:type="auto"/>
            <w:tcBorders>
              <w:top w:val="nil"/>
              <w:left w:val="nil"/>
              <w:bottom w:val="nil"/>
              <w:right w:val="nil"/>
            </w:tcBorders>
            <w:shd w:val="clear" w:color="auto" w:fill="auto"/>
            <w:noWrap/>
            <w:vAlign w:val="bottom"/>
          </w:tcPr>
          <w:p w14:paraId="4B5818E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.558***</w:t>
            </w:r>
          </w:p>
        </w:tc>
        <w:tc>
          <w:tcPr>
            <w:tcW w:w="0" w:type="auto"/>
            <w:tcBorders>
              <w:top w:val="nil"/>
              <w:left w:val="nil"/>
              <w:bottom w:val="nil"/>
              <w:right w:val="nil"/>
            </w:tcBorders>
            <w:shd w:val="clear" w:color="auto" w:fill="auto"/>
            <w:noWrap/>
            <w:vAlign w:val="bottom"/>
          </w:tcPr>
          <w:p w14:paraId="0DBF5EC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.549***</w:t>
            </w:r>
          </w:p>
        </w:tc>
        <w:tc>
          <w:tcPr>
            <w:tcW w:w="0" w:type="auto"/>
            <w:tcBorders>
              <w:top w:val="nil"/>
              <w:left w:val="nil"/>
              <w:bottom w:val="nil"/>
              <w:right w:val="nil"/>
            </w:tcBorders>
            <w:shd w:val="clear" w:color="auto" w:fill="auto"/>
            <w:noWrap/>
            <w:vAlign w:val="bottom"/>
          </w:tcPr>
          <w:p w14:paraId="01A3FFD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.561***</w:t>
            </w:r>
          </w:p>
        </w:tc>
        <w:tc>
          <w:tcPr>
            <w:tcW w:w="0" w:type="auto"/>
            <w:tcBorders>
              <w:top w:val="nil"/>
              <w:left w:val="nil"/>
              <w:bottom w:val="nil"/>
              <w:right w:val="nil"/>
            </w:tcBorders>
            <w:shd w:val="clear" w:color="auto" w:fill="auto"/>
            <w:noWrap/>
            <w:vAlign w:val="bottom"/>
          </w:tcPr>
          <w:p w14:paraId="0B9AA52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.571***</w:t>
            </w:r>
          </w:p>
        </w:tc>
        <w:tc>
          <w:tcPr>
            <w:tcW w:w="0" w:type="auto"/>
            <w:tcBorders>
              <w:top w:val="nil"/>
              <w:left w:val="nil"/>
              <w:bottom w:val="nil"/>
              <w:right w:val="nil"/>
            </w:tcBorders>
            <w:shd w:val="clear" w:color="auto" w:fill="auto"/>
            <w:noWrap/>
            <w:vAlign w:val="bottom"/>
          </w:tcPr>
          <w:p w14:paraId="46BDF4E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.571***</w:t>
            </w:r>
          </w:p>
        </w:tc>
      </w:tr>
      <w:tr w:rsidR="00DF2657" w:rsidRPr="00351E73" w14:paraId="6F1896E2"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32D8F5A8"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854F1B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(.0107)</w:t>
            </w:r>
          </w:p>
        </w:tc>
        <w:tc>
          <w:tcPr>
            <w:tcW w:w="0" w:type="auto"/>
            <w:tcBorders>
              <w:top w:val="nil"/>
              <w:left w:val="nil"/>
              <w:bottom w:val="nil"/>
              <w:right w:val="nil"/>
            </w:tcBorders>
            <w:shd w:val="clear" w:color="auto" w:fill="auto"/>
            <w:noWrap/>
            <w:vAlign w:val="bottom"/>
          </w:tcPr>
          <w:p w14:paraId="7DC8FC5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(.0104)</w:t>
            </w:r>
          </w:p>
        </w:tc>
        <w:tc>
          <w:tcPr>
            <w:tcW w:w="0" w:type="auto"/>
            <w:tcBorders>
              <w:top w:val="nil"/>
              <w:left w:val="nil"/>
              <w:bottom w:val="nil"/>
              <w:right w:val="nil"/>
            </w:tcBorders>
            <w:shd w:val="clear" w:color="auto" w:fill="auto"/>
            <w:noWrap/>
            <w:vAlign w:val="bottom"/>
          </w:tcPr>
          <w:p w14:paraId="2285D58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(.0115)</w:t>
            </w:r>
          </w:p>
        </w:tc>
        <w:tc>
          <w:tcPr>
            <w:tcW w:w="0" w:type="auto"/>
            <w:tcBorders>
              <w:top w:val="nil"/>
              <w:left w:val="nil"/>
              <w:bottom w:val="nil"/>
              <w:right w:val="nil"/>
            </w:tcBorders>
            <w:shd w:val="clear" w:color="auto" w:fill="auto"/>
            <w:noWrap/>
            <w:vAlign w:val="bottom"/>
          </w:tcPr>
          <w:p w14:paraId="035C4A0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(.0116)</w:t>
            </w:r>
          </w:p>
        </w:tc>
        <w:tc>
          <w:tcPr>
            <w:tcW w:w="0" w:type="auto"/>
            <w:tcBorders>
              <w:top w:val="nil"/>
              <w:left w:val="nil"/>
              <w:bottom w:val="nil"/>
              <w:right w:val="nil"/>
            </w:tcBorders>
            <w:shd w:val="clear" w:color="auto" w:fill="auto"/>
            <w:noWrap/>
            <w:vAlign w:val="bottom"/>
          </w:tcPr>
          <w:p w14:paraId="0690765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w:t>
            </w:r>
            <w:r w:rsidR="00E61DBF">
              <w:rPr>
                <w:rFonts w:ascii="Calibri" w:hAnsi="Calibri" w:cs="Calibri"/>
                <w:sz w:val="20"/>
                <w:szCs w:val="20"/>
              </w:rPr>
              <w:t>0</w:t>
            </w:r>
            <w:r>
              <w:rPr>
                <w:rFonts w:ascii="Calibri" w:hAnsi="Calibri" w:cs="Calibri"/>
                <w:sz w:val="20"/>
                <w:szCs w:val="20"/>
              </w:rPr>
              <w:t>)</w:t>
            </w:r>
          </w:p>
        </w:tc>
      </w:tr>
      <w:tr w:rsidR="00DF2657" w:rsidRPr="00351E73" w14:paraId="1BAF1340"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1D614D8C"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Prime</w:t>
            </w:r>
          </w:p>
        </w:tc>
        <w:tc>
          <w:tcPr>
            <w:tcW w:w="0" w:type="auto"/>
            <w:tcBorders>
              <w:top w:val="nil"/>
              <w:left w:val="nil"/>
              <w:bottom w:val="nil"/>
              <w:right w:val="nil"/>
            </w:tcBorders>
            <w:shd w:val="clear" w:color="auto" w:fill="auto"/>
            <w:noWrap/>
            <w:vAlign w:val="bottom"/>
          </w:tcPr>
          <w:p w14:paraId="38E8A7A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.146***</w:t>
            </w:r>
          </w:p>
        </w:tc>
        <w:tc>
          <w:tcPr>
            <w:tcW w:w="0" w:type="auto"/>
            <w:tcBorders>
              <w:top w:val="nil"/>
              <w:left w:val="nil"/>
              <w:bottom w:val="nil"/>
              <w:right w:val="nil"/>
            </w:tcBorders>
            <w:shd w:val="clear" w:color="auto" w:fill="auto"/>
            <w:noWrap/>
            <w:vAlign w:val="bottom"/>
          </w:tcPr>
          <w:p w14:paraId="5073DF6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.146***</w:t>
            </w:r>
          </w:p>
        </w:tc>
        <w:tc>
          <w:tcPr>
            <w:tcW w:w="0" w:type="auto"/>
            <w:tcBorders>
              <w:top w:val="nil"/>
              <w:left w:val="nil"/>
              <w:bottom w:val="nil"/>
              <w:right w:val="nil"/>
            </w:tcBorders>
            <w:shd w:val="clear" w:color="auto" w:fill="auto"/>
            <w:noWrap/>
            <w:vAlign w:val="bottom"/>
          </w:tcPr>
          <w:p w14:paraId="084E14F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.158***</w:t>
            </w:r>
          </w:p>
        </w:tc>
        <w:tc>
          <w:tcPr>
            <w:tcW w:w="0" w:type="auto"/>
            <w:tcBorders>
              <w:top w:val="nil"/>
              <w:left w:val="nil"/>
              <w:bottom w:val="nil"/>
              <w:right w:val="nil"/>
            </w:tcBorders>
            <w:shd w:val="clear" w:color="auto" w:fill="auto"/>
            <w:noWrap/>
            <w:vAlign w:val="bottom"/>
          </w:tcPr>
          <w:p w14:paraId="3686F11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.158***</w:t>
            </w:r>
          </w:p>
        </w:tc>
        <w:tc>
          <w:tcPr>
            <w:tcW w:w="0" w:type="auto"/>
            <w:tcBorders>
              <w:top w:val="nil"/>
              <w:left w:val="nil"/>
              <w:bottom w:val="nil"/>
              <w:right w:val="nil"/>
            </w:tcBorders>
            <w:shd w:val="clear" w:color="auto" w:fill="auto"/>
            <w:noWrap/>
            <w:vAlign w:val="bottom"/>
          </w:tcPr>
          <w:p w14:paraId="71DBE36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.164***</w:t>
            </w:r>
          </w:p>
        </w:tc>
      </w:tr>
      <w:tr w:rsidR="00DF2657" w:rsidRPr="00351E73" w14:paraId="03C271E4"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2682406A"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DEDE4E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(.00571)</w:t>
            </w:r>
          </w:p>
        </w:tc>
        <w:tc>
          <w:tcPr>
            <w:tcW w:w="0" w:type="auto"/>
            <w:tcBorders>
              <w:top w:val="nil"/>
              <w:left w:val="nil"/>
              <w:bottom w:val="nil"/>
              <w:right w:val="nil"/>
            </w:tcBorders>
            <w:shd w:val="clear" w:color="auto" w:fill="auto"/>
            <w:noWrap/>
            <w:vAlign w:val="bottom"/>
          </w:tcPr>
          <w:p w14:paraId="5A72FC7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(.00553)</w:t>
            </w:r>
          </w:p>
        </w:tc>
        <w:tc>
          <w:tcPr>
            <w:tcW w:w="0" w:type="auto"/>
            <w:tcBorders>
              <w:top w:val="nil"/>
              <w:left w:val="nil"/>
              <w:bottom w:val="nil"/>
              <w:right w:val="nil"/>
            </w:tcBorders>
            <w:shd w:val="clear" w:color="auto" w:fill="auto"/>
            <w:noWrap/>
            <w:vAlign w:val="bottom"/>
          </w:tcPr>
          <w:p w14:paraId="084CEC0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(.00616)</w:t>
            </w:r>
          </w:p>
        </w:tc>
        <w:tc>
          <w:tcPr>
            <w:tcW w:w="0" w:type="auto"/>
            <w:tcBorders>
              <w:top w:val="nil"/>
              <w:left w:val="nil"/>
              <w:bottom w:val="nil"/>
              <w:right w:val="nil"/>
            </w:tcBorders>
            <w:shd w:val="clear" w:color="auto" w:fill="auto"/>
            <w:noWrap/>
            <w:vAlign w:val="bottom"/>
          </w:tcPr>
          <w:p w14:paraId="0A0881B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(.00628)</w:t>
            </w:r>
          </w:p>
        </w:tc>
        <w:tc>
          <w:tcPr>
            <w:tcW w:w="0" w:type="auto"/>
            <w:tcBorders>
              <w:top w:val="nil"/>
              <w:left w:val="nil"/>
              <w:bottom w:val="nil"/>
              <w:right w:val="nil"/>
            </w:tcBorders>
            <w:shd w:val="clear" w:color="auto" w:fill="auto"/>
            <w:noWrap/>
            <w:vAlign w:val="bottom"/>
          </w:tcPr>
          <w:p w14:paraId="036639C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(.00646)</w:t>
            </w:r>
          </w:p>
        </w:tc>
      </w:tr>
      <w:tr w:rsidR="00DF2657" w:rsidRPr="00351E73" w14:paraId="406CD3BA"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597E3F6"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F112DA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11259D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80D104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835593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1AC776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r>
      <w:tr w:rsidR="00DF2657" w:rsidRPr="00351E73" w14:paraId="5578F5FD" w14:textId="77777777" w:rsidTr="009D6779">
        <w:trPr>
          <w:trHeight w:val="255"/>
          <w:jc w:val="center"/>
        </w:trPr>
        <w:tc>
          <w:tcPr>
            <w:tcW w:w="0" w:type="auto"/>
            <w:tcBorders>
              <w:top w:val="nil"/>
              <w:left w:val="nil"/>
              <w:right w:val="nil"/>
            </w:tcBorders>
            <w:shd w:val="clear" w:color="auto" w:fill="auto"/>
            <w:noWrap/>
            <w:vAlign w:val="bottom"/>
            <w:hideMark/>
          </w:tcPr>
          <w:p w14:paraId="2A035A58"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Observations</w:t>
            </w:r>
          </w:p>
        </w:tc>
        <w:tc>
          <w:tcPr>
            <w:tcW w:w="0" w:type="auto"/>
            <w:tcBorders>
              <w:top w:val="nil"/>
              <w:left w:val="nil"/>
              <w:right w:val="nil"/>
            </w:tcBorders>
            <w:shd w:val="clear" w:color="auto" w:fill="auto"/>
            <w:noWrap/>
            <w:vAlign w:val="bottom"/>
          </w:tcPr>
          <w:p w14:paraId="5DAD984A"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54,551</w:t>
            </w:r>
          </w:p>
        </w:tc>
        <w:tc>
          <w:tcPr>
            <w:tcW w:w="0" w:type="auto"/>
            <w:tcBorders>
              <w:top w:val="nil"/>
              <w:left w:val="nil"/>
              <w:right w:val="nil"/>
            </w:tcBorders>
            <w:shd w:val="clear" w:color="auto" w:fill="auto"/>
            <w:noWrap/>
            <w:vAlign w:val="bottom"/>
          </w:tcPr>
          <w:p w14:paraId="67B8432B"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48,869</w:t>
            </w:r>
          </w:p>
        </w:tc>
        <w:tc>
          <w:tcPr>
            <w:tcW w:w="0" w:type="auto"/>
            <w:tcBorders>
              <w:top w:val="nil"/>
              <w:left w:val="nil"/>
              <w:right w:val="nil"/>
            </w:tcBorders>
            <w:shd w:val="clear" w:color="auto" w:fill="auto"/>
            <w:noWrap/>
            <w:vAlign w:val="bottom"/>
          </w:tcPr>
          <w:p w14:paraId="22F5C53B"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42,532</w:t>
            </w:r>
          </w:p>
        </w:tc>
        <w:tc>
          <w:tcPr>
            <w:tcW w:w="0" w:type="auto"/>
            <w:tcBorders>
              <w:top w:val="nil"/>
              <w:left w:val="nil"/>
              <w:right w:val="nil"/>
            </w:tcBorders>
            <w:shd w:val="clear" w:color="auto" w:fill="auto"/>
            <w:noWrap/>
            <w:vAlign w:val="bottom"/>
          </w:tcPr>
          <w:p w14:paraId="499C1E88"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40,920</w:t>
            </w:r>
          </w:p>
        </w:tc>
        <w:tc>
          <w:tcPr>
            <w:tcW w:w="0" w:type="auto"/>
            <w:tcBorders>
              <w:top w:val="nil"/>
              <w:left w:val="nil"/>
              <w:right w:val="nil"/>
            </w:tcBorders>
            <w:shd w:val="clear" w:color="auto" w:fill="auto"/>
            <w:noWrap/>
            <w:vAlign w:val="bottom"/>
          </w:tcPr>
          <w:p w14:paraId="054C26CB"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38,540</w:t>
            </w:r>
          </w:p>
        </w:tc>
      </w:tr>
      <w:tr w:rsidR="00DF2657" w:rsidRPr="00351E73" w14:paraId="39BA4216"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hideMark/>
          </w:tcPr>
          <w:p w14:paraId="1C81C640"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R</w:t>
            </w:r>
            <w:r w:rsidRPr="00351E73">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tcPr>
          <w:p w14:paraId="399F48D6"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0.815</w:t>
            </w:r>
          </w:p>
        </w:tc>
        <w:tc>
          <w:tcPr>
            <w:tcW w:w="0" w:type="auto"/>
            <w:tcBorders>
              <w:top w:val="nil"/>
              <w:left w:val="nil"/>
              <w:bottom w:val="single" w:sz="4" w:space="0" w:color="auto"/>
              <w:right w:val="nil"/>
            </w:tcBorders>
            <w:shd w:val="clear" w:color="auto" w:fill="auto"/>
            <w:noWrap/>
            <w:vAlign w:val="bottom"/>
          </w:tcPr>
          <w:p w14:paraId="2EBA0D70"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0.843</w:t>
            </w:r>
          </w:p>
        </w:tc>
        <w:tc>
          <w:tcPr>
            <w:tcW w:w="0" w:type="auto"/>
            <w:tcBorders>
              <w:top w:val="nil"/>
              <w:left w:val="nil"/>
              <w:bottom w:val="single" w:sz="4" w:space="0" w:color="auto"/>
              <w:right w:val="nil"/>
            </w:tcBorders>
            <w:shd w:val="clear" w:color="auto" w:fill="auto"/>
            <w:noWrap/>
            <w:vAlign w:val="bottom"/>
          </w:tcPr>
          <w:p w14:paraId="32A25768"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0.848</w:t>
            </w:r>
          </w:p>
        </w:tc>
        <w:tc>
          <w:tcPr>
            <w:tcW w:w="0" w:type="auto"/>
            <w:tcBorders>
              <w:top w:val="nil"/>
              <w:left w:val="nil"/>
              <w:bottom w:val="single" w:sz="4" w:space="0" w:color="auto"/>
              <w:right w:val="nil"/>
            </w:tcBorders>
            <w:shd w:val="clear" w:color="auto" w:fill="auto"/>
            <w:noWrap/>
            <w:vAlign w:val="bottom"/>
          </w:tcPr>
          <w:p w14:paraId="190002D5"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0.85</w:t>
            </w:r>
          </w:p>
        </w:tc>
        <w:tc>
          <w:tcPr>
            <w:tcW w:w="0" w:type="auto"/>
            <w:tcBorders>
              <w:top w:val="nil"/>
              <w:left w:val="nil"/>
              <w:bottom w:val="single" w:sz="4" w:space="0" w:color="auto"/>
              <w:right w:val="nil"/>
            </w:tcBorders>
            <w:shd w:val="clear" w:color="auto" w:fill="auto"/>
            <w:noWrap/>
            <w:vAlign w:val="bottom"/>
          </w:tcPr>
          <w:p w14:paraId="307954E2"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0.853</w:t>
            </w:r>
          </w:p>
        </w:tc>
      </w:tr>
      <w:tr w:rsidR="00DF2657" w:rsidRPr="00351E73" w14:paraId="37B95FEF"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tcPr>
          <w:p w14:paraId="3986139E" w14:textId="77777777" w:rsidR="00DF2657" w:rsidRPr="00351E73" w:rsidRDefault="00DF2657" w:rsidP="009D6779">
            <w:pPr>
              <w:spacing w:after="0" w:line="240" w:lineRule="auto"/>
              <w:contextualSpacing/>
              <w:rPr>
                <w:rFonts w:ascii="Calibri" w:eastAsia="Times New Roman" w:hAnsi="Calibri" w:cs="Calibri"/>
                <w:sz w:val="20"/>
                <w:szCs w:val="20"/>
              </w:rPr>
            </w:pPr>
          </w:p>
        </w:tc>
        <w:tc>
          <w:tcPr>
            <w:tcW w:w="0" w:type="auto"/>
            <w:gridSpan w:val="5"/>
            <w:tcBorders>
              <w:top w:val="single" w:sz="4" w:space="0" w:color="auto"/>
              <w:left w:val="nil"/>
              <w:bottom w:val="nil"/>
              <w:right w:val="nil"/>
            </w:tcBorders>
            <w:shd w:val="clear" w:color="auto" w:fill="auto"/>
            <w:noWrap/>
            <w:vAlign w:val="bottom"/>
          </w:tcPr>
          <w:p w14:paraId="67AB7521"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xml:space="preserve">Dependent variable: </w:t>
            </w:r>
            <w:r w:rsidRPr="004961A2">
              <w:rPr>
                <w:rFonts w:ascii="Calibri" w:eastAsia="Times New Roman" w:hAnsi="Calibri" w:cs="Calibri"/>
                <w:i/>
                <w:sz w:val="20"/>
                <w:szCs w:val="20"/>
              </w:rPr>
              <w:t>LTV</w:t>
            </w:r>
          </w:p>
        </w:tc>
      </w:tr>
      <w:tr w:rsidR="00DF2657" w:rsidRPr="00351E73" w14:paraId="3D762630" w14:textId="77777777" w:rsidTr="009D6779">
        <w:trPr>
          <w:trHeight w:val="255"/>
          <w:jc w:val="center"/>
        </w:trPr>
        <w:tc>
          <w:tcPr>
            <w:tcW w:w="0" w:type="auto"/>
            <w:tcBorders>
              <w:top w:val="nil"/>
              <w:left w:val="nil"/>
              <w:right w:val="nil"/>
            </w:tcBorders>
            <w:shd w:val="clear" w:color="auto" w:fill="auto"/>
            <w:noWrap/>
            <w:vAlign w:val="bottom"/>
          </w:tcPr>
          <w:p w14:paraId="5DA231B5" w14:textId="77777777" w:rsidR="00DF2657" w:rsidRPr="00351E73" w:rsidRDefault="00DF2657" w:rsidP="009D6779">
            <w:pPr>
              <w:spacing w:after="0" w:line="240" w:lineRule="auto"/>
              <w:contextualSpacing/>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3259DD72"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2008-2010</w:t>
            </w:r>
          </w:p>
        </w:tc>
        <w:tc>
          <w:tcPr>
            <w:tcW w:w="0" w:type="auto"/>
            <w:tcBorders>
              <w:top w:val="nil"/>
              <w:left w:val="nil"/>
              <w:right w:val="nil"/>
            </w:tcBorders>
            <w:shd w:val="clear" w:color="auto" w:fill="auto"/>
            <w:noWrap/>
            <w:vAlign w:val="bottom"/>
          </w:tcPr>
          <w:p w14:paraId="3C913F72"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2007-2011</w:t>
            </w:r>
          </w:p>
        </w:tc>
        <w:tc>
          <w:tcPr>
            <w:tcW w:w="0" w:type="auto"/>
            <w:tcBorders>
              <w:top w:val="nil"/>
              <w:left w:val="nil"/>
              <w:right w:val="nil"/>
            </w:tcBorders>
            <w:shd w:val="clear" w:color="auto" w:fill="auto"/>
            <w:noWrap/>
            <w:vAlign w:val="bottom"/>
          </w:tcPr>
          <w:p w14:paraId="2B3BDADF"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2006-2012</w:t>
            </w:r>
          </w:p>
        </w:tc>
        <w:tc>
          <w:tcPr>
            <w:tcW w:w="0" w:type="auto"/>
            <w:tcBorders>
              <w:top w:val="nil"/>
              <w:left w:val="nil"/>
              <w:right w:val="nil"/>
            </w:tcBorders>
            <w:shd w:val="clear" w:color="auto" w:fill="auto"/>
            <w:noWrap/>
            <w:vAlign w:val="bottom"/>
          </w:tcPr>
          <w:p w14:paraId="32486A6A"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2005-2013</w:t>
            </w:r>
          </w:p>
        </w:tc>
        <w:tc>
          <w:tcPr>
            <w:tcW w:w="0" w:type="auto"/>
            <w:tcBorders>
              <w:top w:val="nil"/>
              <w:left w:val="nil"/>
              <w:right w:val="nil"/>
            </w:tcBorders>
            <w:shd w:val="clear" w:color="auto" w:fill="auto"/>
            <w:noWrap/>
            <w:vAlign w:val="bottom"/>
          </w:tcPr>
          <w:p w14:paraId="1F273056"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2004-2014</w:t>
            </w:r>
          </w:p>
        </w:tc>
      </w:tr>
      <w:tr w:rsidR="00DF2657" w:rsidRPr="00351E73" w14:paraId="510A0DB9"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tcPr>
          <w:p w14:paraId="78A3DC32" w14:textId="77777777" w:rsidR="00DF2657" w:rsidRPr="00351E73" w:rsidRDefault="00DF2657" w:rsidP="009D6779">
            <w:pPr>
              <w:spacing w:after="0" w:line="240" w:lineRule="auto"/>
              <w:contextualSpacing/>
              <w:rPr>
                <w:rFonts w:ascii="Calibri" w:eastAsia="Times New Roman" w:hAnsi="Calibri" w:cs="Calibri"/>
                <w:sz w:val="20"/>
                <w:szCs w:val="20"/>
              </w:rPr>
            </w:pPr>
          </w:p>
        </w:tc>
        <w:tc>
          <w:tcPr>
            <w:tcW w:w="0" w:type="auto"/>
            <w:tcBorders>
              <w:top w:val="nil"/>
              <w:left w:val="nil"/>
              <w:bottom w:val="single" w:sz="4" w:space="0" w:color="auto"/>
              <w:right w:val="nil"/>
            </w:tcBorders>
            <w:shd w:val="clear" w:color="auto" w:fill="auto"/>
            <w:noWrap/>
            <w:vAlign w:val="bottom"/>
          </w:tcPr>
          <w:p w14:paraId="4143656C"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bottom"/>
          </w:tcPr>
          <w:p w14:paraId="5196B26E"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bottom"/>
          </w:tcPr>
          <w:p w14:paraId="1D4809C5"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(3)</w:t>
            </w:r>
          </w:p>
        </w:tc>
        <w:tc>
          <w:tcPr>
            <w:tcW w:w="0" w:type="auto"/>
            <w:tcBorders>
              <w:top w:val="nil"/>
              <w:left w:val="nil"/>
              <w:bottom w:val="single" w:sz="4" w:space="0" w:color="auto"/>
              <w:right w:val="nil"/>
            </w:tcBorders>
            <w:shd w:val="clear" w:color="auto" w:fill="auto"/>
            <w:noWrap/>
            <w:vAlign w:val="bottom"/>
          </w:tcPr>
          <w:p w14:paraId="6FAB7BF1"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(4)</w:t>
            </w:r>
          </w:p>
        </w:tc>
        <w:tc>
          <w:tcPr>
            <w:tcW w:w="0" w:type="auto"/>
            <w:tcBorders>
              <w:top w:val="nil"/>
              <w:left w:val="nil"/>
              <w:bottom w:val="single" w:sz="4" w:space="0" w:color="auto"/>
              <w:right w:val="nil"/>
            </w:tcBorders>
            <w:shd w:val="clear" w:color="auto" w:fill="auto"/>
            <w:noWrap/>
            <w:vAlign w:val="bottom"/>
          </w:tcPr>
          <w:p w14:paraId="20BEC14B" w14:textId="77777777" w:rsidR="00DF2657" w:rsidRPr="00351E73" w:rsidRDefault="00DF2657"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(5)</w:t>
            </w:r>
          </w:p>
        </w:tc>
      </w:tr>
      <w:tr w:rsidR="00DF2657" w:rsidRPr="00351E73" w14:paraId="177F6496" w14:textId="77777777" w:rsidTr="009D6779">
        <w:trPr>
          <w:trHeight w:val="255"/>
          <w:jc w:val="center"/>
        </w:trPr>
        <w:tc>
          <w:tcPr>
            <w:tcW w:w="0" w:type="auto"/>
            <w:tcBorders>
              <w:top w:val="single" w:sz="4" w:space="0" w:color="auto"/>
              <w:left w:val="nil"/>
              <w:bottom w:val="nil"/>
              <w:right w:val="nil"/>
            </w:tcBorders>
            <w:shd w:val="clear" w:color="auto" w:fill="auto"/>
            <w:noWrap/>
            <w:vAlign w:val="bottom"/>
          </w:tcPr>
          <w:p w14:paraId="09BD43E2"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single" w:sz="4" w:space="0" w:color="auto"/>
              <w:left w:val="nil"/>
              <w:bottom w:val="nil"/>
              <w:right w:val="nil"/>
            </w:tcBorders>
            <w:shd w:val="clear" w:color="auto" w:fill="auto"/>
            <w:noWrap/>
            <w:vAlign w:val="bottom"/>
          </w:tcPr>
          <w:p w14:paraId="3CE1E82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-2.515***</w:t>
            </w:r>
          </w:p>
        </w:tc>
        <w:tc>
          <w:tcPr>
            <w:tcW w:w="0" w:type="auto"/>
            <w:tcBorders>
              <w:top w:val="single" w:sz="4" w:space="0" w:color="auto"/>
              <w:left w:val="nil"/>
              <w:bottom w:val="nil"/>
              <w:right w:val="nil"/>
            </w:tcBorders>
            <w:shd w:val="clear" w:color="auto" w:fill="auto"/>
            <w:noWrap/>
            <w:vAlign w:val="bottom"/>
          </w:tcPr>
          <w:p w14:paraId="4193083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-3.205***</w:t>
            </w:r>
          </w:p>
        </w:tc>
        <w:tc>
          <w:tcPr>
            <w:tcW w:w="0" w:type="auto"/>
            <w:tcBorders>
              <w:top w:val="single" w:sz="4" w:space="0" w:color="auto"/>
              <w:left w:val="nil"/>
              <w:bottom w:val="nil"/>
              <w:right w:val="nil"/>
            </w:tcBorders>
            <w:shd w:val="clear" w:color="auto" w:fill="auto"/>
            <w:noWrap/>
            <w:vAlign w:val="bottom"/>
          </w:tcPr>
          <w:p w14:paraId="40AEF1B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-3.119***</w:t>
            </w:r>
          </w:p>
        </w:tc>
        <w:tc>
          <w:tcPr>
            <w:tcW w:w="0" w:type="auto"/>
            <w:tcBorders>
              <w:top w:val="single" w:sz="4" w:space="0" w:color="auto"/>
              <w:left w:val="nil"/>
              <w:bottom w:val="nil"/>
              <w:right w:val="nil"/>
            </w:tcBorders>
            <w:shd w:val="clear" w:color="auto" w:fill="auto"/>
            <w:noWrap/>
            <w:vAlign w:val="bottom"/>
          </w:tcPr>
          <w:p w14:paraId="127C854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-3.021***</w:t>
            </w:r>
          </w:p>
        </w:tc>
        <w:tc>
          <w:tcPr>
            <w:tcW w:w="0" w:type="auto"/>
            <w:tcBorders>
              <w:top w:val="single" w:sz="4" w:space="0" w:color="auto"/>
              <w:left w:val="nil"/>
              <w:bottom w:val="nil"/>
              <w:right w:val="nil"/>
            </w:tcBorders>
            <w:shd w:val="clear" w:color="auto" w:fill="auto"/>
            <w:noWrap/>
            <w:vAlign w:val="bottom"/>
          </w:tcPr>
          <w:p w14:paraId="4E11AF5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-2.858***</w:t>
            </w:r>
          </w:p>
        </w:tc>
      </w:tr>
      <w:tr w:rsidR="00DF2657" w:rsidRPr="00351E73" w14:paraId="3A3930D1" w14:textId="77777777" w:rsidTr="009D6779">
        <w:trPr>
          <w:trHeight w:val="255"/>
          <w:jc w:val="center"/>
        </w:trPr>
        <w:tc>
          <w:tcPr>
            <w:tcW w:w="0" w:type="auto"/>
            <w:tcBorders>
              <w:top w:val="nil"/>
              <w:left w:val="nil"/>
              <w:bottom w:val="nil"/>
              <w:right w:val="nil"/>
            </w:tcBorders>
            <w:shd w:val="clear" w:color="auto" w:fill="auto"/>
            <w:noWrap/>
            <w:vAlign w:val="bottom"/>
          </w:tcPr>
          <w:p w14:paraId="0D427DC6"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ADFE00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(.319)</w:t>
            </w:r>
          </w:p>
        </w:tc>
        <w:tc>
          <w:tcPr>
            <w:tcW w:w="0" w:type="auto"/>
            <w:tcBorders>
              <w:top w:val="nil"/>
              <w:left w:val="nil"/>
              <w:bottom w:val="nil"/>
              <w:right w:val="nil"/>
            </w:tcBorders>
            <w:shd w:val="clear" w:color="auto" w:fill="auto"/>
            <w:noWrap/>
            <w:vAlign w:val="bottom"/>
          </w:tcPr>
          <w:p w14:paraId="09A186B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(.224)</w:t>
            </w:r>
          </w:p>
        </w:tc>
        <w:tc>
          <w:tcPr>
            <w:tcW w:w="0" w:type="auto"/>
            <w:tcBorders>
              <w:top w:val="nil"/>
              <w:left w:val="nil"/>
              <w:bottom w:val="nil"/>
              <w:right w:val="nil"/>
            </w:tcBorders>
            <w:shd w:val="clear" w:color="auto" w:fill="auto"/>
            <w:noWrap/>
            <w:vAlign w:val="bottom"/>
          </w:tcPr>
          <w:p w14:paraId="14B9FA1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(.266)</w:t>
            </w:r>
          </w:p>
        </w:tc>
        <w:tc>
          <w:tcPr>
            <w:tcW w:w="0" w:type="auto"/>
            <w:tcBorders>
              <w:top w:val="nil"/>
              <w:left w:val="nil"/>
              <w:bottom w:val="nil"/>
              <w:right w:val="nil"/>
            </w:tcBorders>
            <w:shd w:val="clear" w:color="auto" w:fill="auto"/>
            <w:noWrap/>
            <w:vAlign w:val="bottom"/>
          </w:tcPr>
          <w:p w14:paraId="3DBC158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(.275)</w:t>
            </w:r>
          </w:p>
        </w:tc>
        <w:tc>
          <w:tcPr>
            <w:tcW w:w="0" w:type="auto"/>
            <w:tcBorders>
              <w:top w:val="nil"/>
              <w:left w:val="nil"/>
              <w:bottom w:val="nil"/>
              <w:right w:val="nil"/>
            </w:tcBorders>
            <w:shd w:val="clear" w:color="auto" w:fill="auto"/>
            <w:noWrap/>
            <w:vAlign w:val="bottom"/>
          </w:tcPr>
          <w:p w14:paraId="7391C4D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(.298)</w:t>
            </w:r>
          </w:p>
        </w:tc>
      </w:tr>
      <w:tr w:rsidR="00DF2657" w:rsidRPr="00351E73" w14:paraId="577B5464" w14:textId="77777777" w:rsidTr="009D6779">
        <w:trPr>
          <w:trHeight w:val="255"/>
          <w:jc w:val="center"/>
        </w:trPr>
        <w:tc>
          <w:tcPr>
            <w:tcW w:w="0" w:type="auto"/>
            <w:tcBorders>
              <w:top w:val="nil"/>
              <w:left w:val="nil"/>
              <w:bottom w:val="nil"/>
              <w:right w:val="nil"/>
            </w:tcBorders>
            <w:shd w:val="clear" w:color="auto" w:fill="auto"/>
            <w:noWrap/>
            <w:vAlign w:val="bottom"/>
          </w:tcPr>
          <w:p w14:paraId="3F128B22"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tcPr>
          <w:p w14:paraId="45705C9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-1.244*</w:t>
            </w:r>
          </w:p>
        </w:tc>
        <w:tc>
          <w:tcPr>
            <w:tcW w:w="0" w:type="auto"/>
            <w:tcBorders>
              <w:top w:val="nil"/>
              <w:left w:val="nil"/>
              <w:bottom w:val="nil"/>
              <w:right w:val="nil"/>
            </w:tcBorders>
            <w:shd w:val="clear" w:color="auto" w:fill="auto"/>
            <w:noWrap/>
            <w:vAlign w:val="bottom"/>
          </w:tcPr>
          <w:p w14:paraId="029CBA0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-1.891***</w:t>
            </w:r>
          </w:p>
        </w:tc>
        <w:tc>
          <w:tcPr>
            <w:tcW w:w="0" w:type="auto"/>
            <w:tcBorders>
              <w:top w:val="nil"/>
              <w:left w:val="nil"/>
              <w:bottom w:val="nil"/>
              <w:right w:val="nil"/>
            </w:tcBorders>
            <w:shd w:val="clear" w:color="auto" w:fill="auto"/>
            <w:noWrap/>
            <w:vAlign w:val="bottom"/>
          </w:tcPr>
          <w:p w14:paraId="5199D96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-1.788***</w:t>
            </w:r>
          </w:p>
        </w:tc>
        <w:tc>
          <w:tcPr>
            <w:tcW w:w="0" w:type="auto"/>
            <w:tcBorders>
              <w:top w:val="nil"/>
              <w:left w:val="nil"/>
              <w:bottom w:val="nil"/>
              <w:right w:val="nil"/>
            </w:tcBorders>
            <w:shd w:val="clear" w:color="auto" w:fill="auto"/>
            <w:noWrap/>
            <w:vAlign w:val="bottom"/>
          </w:tcPr>
          <w:p w14:paraId="163691C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-1.469**</w:t>
            </w:r>
          </w:p>
        </w:tc>
        <w:tc>
          <w:tcPr>
            <w:tcW w:w="0" w:type="auto"/>
            <w:tcBorders>
              <w:top w:val="nil"/>
              <w:left w:val="nil"/>
              <w:bottom w:val="nil"/>
              <w:right w:val="nil"/>
            </w:tcBorders>
            <w:shd w:val="clear" w:color="auto" w:fill="auto"/>
            <w:noWrap/>
            <w:vAlign w:val="bottom"/>
          </w:tcPr>
          <w:p w14:paraId="46842B3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-1.669***</w:t>
            </w:r>
          </w:p>
        </w:tc>
      </w:tr>
      <w:tr w:rsidR="00DF2657" w:rsidRPr="00351E73" w14:paraId="3ED89F2A" w14:textId="77777777" w:rsidTr="009D6779">
        <w:trPr>
          <w:trHeight w:val="255"/>
          <w:jc w:val="center"/>
        </w:trPr>
        <w:tc>
          <w:tcPr>
            <w:tcW w:w="0" w:type="auto"/>
            <w:tcBorders>
              <w:top w:val="nil"/>
              <w:left w:val="nil"/>
              <w:bottom w:val="nil"/>
              <w:right w:val="nil"/>
            </w:tcBorders>
            <w:shd w:val="clear" w:color="auto" w:fill="auto"/>
            <w:noWrap/>
            <w:vAlign w:val="bottom"/>
          </w:tcPr>
          <w:p w14:paraId="316177FD"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034501D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(.666)</w:t>
            </w:r>
          </w:p>
        </w:tc>
        <w:tc>
          <w:tcPr>
            <w:tcW w:w="0" w:type="auto"/>
            <w:tcBorders>
              <w:top w:val="nil"/>
              <w:left w:val="nil"/>
              <w:bottom w:val="nil"/>
              <w:right w:val="nil"/>
            </w:tcBorders>
            <w:shd w:val="clear" w:color="auto" w:fill="auto"/>
            <w:noWrap/>
            <w:vAlign w:val="bottom"/>
          </w:tcPr>
          <w:p w14:paraId="0963B82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(.52</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19B472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(.558)</w:t>
            </w:r>
          </w:p>
        </w:tc>
        <w:tc>
          <w:tcPr>
            <w:tcW w:w="0" w:type="auto"/>
            <w:tcBorders>
              <w:top w:val="nil"/>
              <w:left w:val="nil"/>
              <w:bottom w:val="nil"/>
              <w:right w:val="nil"/>
            </w:tcBorders>
            <w:shd w:val="clear" w:color="auto" w:fill="auto"/>
            <w:noWrap/>
            <w:vAlign w:val="bottom"/>
          </w:tcPr>
          <w:p w14:paraId="4D0524A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(.579)</w:t>
            </w:r>
          </w:p>
        </w:tc>
        <w:tc>
          <w:tcPr>
            <w:tcW w:w="0" w:type="auto"/>
            <w:tcBorders>
              <w:top w:val="nil"/>
              <w:left w:val="nil"/>
              <w:bottom w:val="nil"/>
              <w:right w:val="nil"/>
            </w:tcBorders>
            <w:shd w:val="clear" w:color="auto" w:fill="auto"/>
            <w:noWrap/>
            <w:vAlign w:val="bottom"/>
          </w:tcPr>
          <w:p w14:paraId="595C23D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(.611)</w:t>
            </w:r>
          </w:p>
        </w:tc>
      </w:tr>
      <w:tr w:rsidR="00DF2657" w:rsidRPr="00351E73" w14:paraId="78435E30" w14:textId="77777777" w:rsidTr="009D6779">
        <w:trPr>
          <w:trHeight w:val="255"/>
          <w:jc w:val="center"/>
        </w:trPr>
        <w:tc>
          <w:tcPr>
            <w:tcW w:w="0" w:type="auto"/>
            <w:tcBorders>
              <w:top w:val="nil"/>
              <w:left w:val="nil"/>
              <w:bottom w:val="nil"/>
              <w:right w:val="nil"/>
            </w:tcBorders>
            <w:shd w:val="clear" w:color="auto" w:fill="auto"/>
            <w:noWrap/>
            <w:vAlign w:val="bottom"/>
          </w:tcPr>
          <w:p w14:paraId="175EEBD9"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tcPr>
          <w:p w14:paraId="2F8A924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.683*</w:t>
            </w:r>
          </w:p>
        </w:tc>
        <w:tc>
          <w:tcPr>
            <w:tcW w:w="0" w:type="auto"/>
            <w:tcBorders>
              <w:top w:val="nil"/>
              <w:left w:val="nil"/>
              <w:bottom w:val="nil"/>
              <w:right w:val="nil"/>
            </w:tcBorders>
            <w:shd w:val="clear" w:color="auto" w:fill="auto"/>
            <w:noWrap/>
            <w:vAlign w:val="bottom"/>
          </w:tcPr>
          <w:p w14:paraId="721AEC0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1.475***</w:t>
            </w:r>
          </w:p>
        </w:tc>
        <w:tc>
          <w:tcPr>
            <w:tcW w:w="0" w:type="auto"/>
            <w:tcBorders>
              <w:top w:val="nil"/>
              <w:left w:val="nil"/>
              <w:bottom w:val="nil"/>
              <w:right w:val="nil"/>
            </w:tcBorders>
            <w:shd w:val="clear" w:color="auto" w:fill="auto"/>
            <w:noWrap/>
            <w:vAlign w:val="bottom"/>
          </w:tcPr>
          <w:p w14:paraId="0DDDF63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1.431***</w:t>
            </w:r>
          </w:p>
        </w:tc>
        <w:tc>
          <w:tcPr>
            <w:tcW w:w="0" w:type="auto"/>
            <w:tcBorders>
              <w:top w:val="nil"/>
              <w:left w:val="nil"/>
              <w:bottom w:val="nil"/>
              <w:right w:val="nil"/>
            </w:tcBorders>
            <w:shd w:val="clear" w:color="auto" w:fill="auto"/>
            <w:noWrap/>
            <w:vAlign w:val="bottom"/>
          </w:tcPr>
          <w:p w14:paraId="173BEAB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1.481***</w:t>
            </w:r>
          </w:p>
        </w:tc>
        <w:tc>
          <w:tcPr>
            <w:tcW w:w="0" w:type="auto"/>
            <w:tcBorders>
              <w:top w:val="nil"/>
              <w:left w:val="nil"/>
              <w:bottom w:val="nil"/>
              <w:right w:val="nil"/>
            </w:tcBorders>
            <w:shd w:val="clear" w:color="auto" w:fill="auto"/>
            <w:noWrap/>
            <w:vAlign w:val="bottom"/>
          </w:tcPr>
          <w:p w14:paraId="70A8013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1.219***</w:t>
            </w:r>
          </w:p>
        </w:tc>
      </w:tr>
      <w:tr w:rsidR="00DF2657" w:rsidRPr="00351E73" w14:paraId="4A8294EA" w14:textId="77777777" w:rsidTr="009D6779">
        <w:trPr>
          <w:trHeight w:val="255"/>
          <w:jc w:val="center"/>
        </w:trPr>
        <w:tc>
          <w:tcPr>
            <w:tcW w:w="0" w:type="auto"/>
            <w:tcBorders>
              <w:top w:val="nil"/>
              <w:left w:val="nil"/>
              <w:bottom w:val="nil"/>
              <w:right w:val="nil"/>
            </w:tcBorders>
            <w:shd w:val="clear" w:color="auto" w:fill="auto"/>
            <w:noWrap/>
            <w:vAlign w:val="bottom"/>
          </w:tcPr>
          <w:p w14:paraId="4B815518"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BAA44B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(.396)</w:t>
            </w:r>
          </w:p>
        </w:tc>
        <w:tc>
          <w:tcPr>
            <w:tcW w:w="0" w:type="auto"/>
            <w:tcBorders>
              <w:top w:val="nil"/>
              <w:left w:val="nil"/>
              <w:bottom w:val="nil"/>
              <w:right w:val="nil"/>
            </w:tcBorders>
            <w:shd w:val="clear" w:color="auto" w:fill="auto"/>
            <w:noWrap/>
            <w:vAlign w:val="bottom"/>
          </w:tcPr>
          <w:p w14:paraId="0E1B403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(.283)</w:t>
            </w:r>
          </w:p>
        </w:tc>
        <w:tc>
          <w:tcPr>
            <w:tcW w:w="0" w:type="auto"/>
            <w:tcBorders>
              <w:top w:val="nil"/>
              <w:left w:val="nil"/>
              <w:bottom w:val="nil"/>
              <w:right w:val="nil"/>
            </w:tcBorders>
            <w:shd w:val="clear" w:color="auto" w:fill="auto"/>
            <w:noWrap/>
            <w:vAlign w:val="bottom"/>
          </w:tcPr>
          <w:p w14:paraId="467BD4C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(.32</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179F8D4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(.33</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EFA7C6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(.349)</w:t>
            </w:r>
          </w:p>
        </w:tc>
      </w:tr>
      <w:tr w:rsidR="00DF2657" w:rsidRPr="00351E73" w14:paraId="0A22E46C" w14:textId="77777777" w:rsidTr="009D6779">
        <w:trPr>
          <w:trHeight w:val="255"/>
          <w:jc w:val="center"/>
        </w:trPr>
        <w:tc>
          <w:tcPr>
            <w:tcW w:w="0" w:type="auto"/>
            <w:tcBorders>
              <w:top w:val="nil"/>
              <w:left w:val="nil"/>
              <w:bottom w:val="nil"/>
              <w:right w:val="nil"/>
            </w:tcBorders>
            <w:shd w:val="clear" w:color="auto" w:fill="auto"/>
            <w:noWrap/>
            <w:vAlign w:val="bottom"/>
          </w:tcPr>
          <w:p w14:paraId="0E97C2A2"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InitialRate</w:t>
            </w:r>
          </w:p>
        </w:tc>
        <w:tc>
          <w:tcPr>
            <w:tcW w:w="0" w:type="auto"/>
            <w:tcBorders>
              <w:top w:val="nil"/>
              <w:left w:val="nil"/>
              <w:bottom w:val="nil"/>
              <w:right w:val="nil"/>
            </w:tcBorders>
            <w:shd w:val="clear" w:color="auto" w:fill="auto"/>
            <w:noWrap/>
            <w:vAlign w:val="bottom"/>
          </w:tcPr>
          <w:p w14:paraId="6F126A5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-4.34</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0873D6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-4.685***</w:t>
            </w:r>
          </w:p>
        </w:tc>
        <w:tc>
          <w:tcPr>
            <w:tcW w:w="0" w:type="auto"/>
            <w:tcBorders>
              <w:top w:val="nil"/>
              <w:left w:val="nil"/>
              <w:bottom w:val="nil"/>
              <w:right w:val="nil"/>
            </w:tcBorders>
            <w:shd w:val="clear" w:color="auto" w:fill="auto"/>
            <w:noWrap/>
            <w:vAlign w:val="bottom"/>
          </w:tcPr>
          <w:p w14:paraId="4F4AE37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-5.442***</w:t>
            </w:r>
          </w:p>
        </w:tc>
        <w:tc>
          <w:tcPr>
            <w:tcW w:w="0" w:type="auto"/>
            <w:tcBorders>
              <w:top w:val="nil"/>
              <w:left w:val="nil"/>
              <w:bottom w:val="nil"/>
              <w:right w:val="nil"/>
            </w:tcBorders>
            <w:shd w:val="clear" w:color="auto" w:fill="auto"/>
            <w:noWrap/>
            <w:vAlign w:val="bottom"/>
          </w:tcPr>
          <w:p w14:paraId="0704562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-5.463***</w:t>
            </w:r>
          </w:p>
        </w:tc>
        <w:tc>
          <w:tcPr>
            <w:tcW w:w="0" w:type="auto"/>
            <w:tcBorders>
              <w:top w:val="nil"/>
              <w:left w:val="nil"/>
              <w:bottom w:val="nil"/>
              <w:right w:val="nil"/>
            </w:tcBorders>
            <w:shd w:val="clear" w:color="auto" w:fill="auto"/>
            <w:noWrap/>
            <w:vAlign w:val="bottom"/>
          </w:tcPr>
          <w:p w14:paraId="4C69991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-5.128***</w:t>
            </w:r>
          </w:p>
        </w:tc>
      </w:tr>
      <w:tr w:rsidR="00DF2657" w:rsidRPr="00351E73" w14:paraId="28F00013" w14:textId="77777777" w:rsidTr="009D6779">
        <w:trPr>
          <w:trHeight w:val="255"/>
          <w:jc w:val="center"/>
        </w:trPr>
        <w:tc>
          <w:tcPr>
            <w:tcW w:w="0" w:type="auto"/>
            <w:tcBorders>
              <w:top w:val="nil"/>
              <w:left w:val="nil"/>
              <w:bottom w:val="nil"/>
              <w:right w:val="nil"/>
            </w:tcBorders>
            <w:shd w:val="clear" w:color="auto" w:fill="auto"/>
            <w:noWrap/>
            <w:vAlign w:val="bottom"/>
          </w:tcPr>
          <w:p w14:paraId="77A1A746"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0F9B106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(1.854)</w:t>
            </w:r>
          </w:p>
        </w:tc>
        <w:tc>
          <w:tcPr>
            <w:tcW w:w="0" w:type="auto"/>
            <w:tcBorders>
              <w:top w:val="nil"/>
              <w:left w:val="nil"/>
              <w:bottom w:val="nil"/>
              <w:right w:val="nil"/>
            </w:tcBorders>
            <w:shd w:val="clear" w:color="auto" w:fill="auto"/>
            <w:noWrap/>
            <w:vAlign w:val="bottom"/>
          </w:tcPr>
          <w:p w14:paraId="4AD22A4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(1.318)</w:t>
            </w:r>
          </w:p>
        </w:tc>
        <w:tc>
          <w:tcPr>
            <w:tcW w:w="0" w:type="auto"/>
            <w:tcBorders>
              <w:top w:val="nil"/>
              <w:left w:val="nil"/>
              <w:bottom w:val="nil"/>
              <w:right w:val="nil"/>
            </w:tcBorders>
            <w:shd w:val="clear" w:color="auto" w:fill="auto"/>
            <w:noWrap/>
            <w:vAlign w:val="bottom"/>
          </w:tcPr>
          <w:p w14:paraId="7BAD736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(1.374)</w:t>
            </w:r>
          </w:p>
        </w:tc>
        <w:tc>
          <w:tcPr>
            <w:tcW w:w="0" w:type="auto"/>
            <w:tcBorders>
              <w:top w:val="nil"/>
              <w:left w:val="nil"/>
              <w:bottom w:val="nil"/>
              <w:right w:val="nil"/>
            </w:tcBorders>
            <w:shd w:val="clear" w:color="auto" w:fill="auto"/>
            <w:noWrap/>
            <w:vAlign w:val="bottom"/>
          </w:tcPr>
          <w:p w14:paraId="4830654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(1.402)</w:t>
            </w:r>
          </w:p>
        </w:tc>
        <w:tc>
          <w:tcPr>
            <w:tcW w:w="0" w:type="auto"/>
            <w:tcBorders>
              <w:top w:val="nil"/>
              <w:left w:val="nil"/>
              <w:bottom w:val="nil"/>
              <w:right w:val="nil"/>
            </w:tcBorders>
            <w:shd w:val="clear" w:color="auto" w:fill="auto"/>
            <w:noWrap/>
            <w:vAlign w:val="bottom"/>
          </w:tcPr>
          <w:p w14:paraId="03A9ECD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(1.37</w:t>
            </w:r>
            <w:r w:rsidR="00E61DBF">
              <w:rPr>
                <w:rFonts w:ascii="Calibri" w:hAnsi="Calibri" w:cs="Calibri"/>
                <w:sz w:val="20"/>
                <w:szCs w:val="20"/>
              </w:rPr>
              <w:t>0</w:t>
            </w:r>
            <w:r>
              <w:rPr>
                <w:rFonts w:ascii="Calibri" w:hAnsi="Calibri" w:cs="Calibri"/>
                <w:sz w:val="20"/>
                <w:szCs w:val="20"/>
              </w:rPr>
              <w:t>)</w:t>
            </w:r>
          </w:p>
        </w:tc>
      </w:tr>
      <w:tr w:rsidR="00DF2657" w:rsidRPr="00351E73" w14:paraId="1920A5F7" w14:textId="77777777" w:rsidTr="009D6779">
        <w:trPr>
          <w:trHeight w:val="255"/>
          <w:jc w:val="center"/>
        </w:trPr>
        <w:tc>
          <w:tcPr>
            <w:tcW w:w="0" w:type="auto"/>
            <w:tcBorders>
              <w:top w:val="nil"/>
              <w:left w:val="nil"/>
              <w:bottom w:val="nil"/>
              <w:right w:val="nil"/>
            </w:tcBorders>
            <w:shd w:val="clear" w:color="auto" w:fill="auto"/>
            <w:noWrap/>
            <w:vAlign w:val="bottom"/>
          </w:tcPr>
          <w:p w14:paraId="1A3F9812"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tcPr>
          <w:p w14:paraId="14B9A2B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-.0695***</w:t>
            </w:r>
          </w:p>
        </w:tc>
        <w:tc>
          <w:tcPr>
            <w:tcW w:w="0" w:type="auto"/>
            <w:tcBorders>
              <w:top w:val="nil"/>
              <w:left w:val="nil"/>
              <w:bottom w:val="nil"/>
              <w:right w:val="nil"/>
            </w:tcBorders>
            <w:shd w:val="clear" w:color="auto" w:fill="auto"/>
            <w:noWrap/>
            <w:vAlign w:val="bottom"/>
          </w:tcPr>
          <w:p w14:paraId="30A4E8F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-.0733***</w:t>
            </w:r>
          </w:p>
        </w:tc>
        <w:tc>
          <w:tcPr>
            <w:tcW w:w="0" w:type="auto"/>
            <w:tcBorders>
              <w:top w:val="nil"/>
              <w:left w:val="nil"/>
              <w:bottom w:val="nil"/>
              <w:right w:val="nil"/>
            </w:tcBorders>
            <w:shd w:val="clear" w:color="auto" w:fill="auto"/>
            <w:noWrap/>
            <w:vAlign w:val="bottom"/>
          </w:tcPr>
          <w:p w14:paraId="418AA12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-.0747***</w:t>
            </w:r>
          </w:p>
        </w:tc>
        <w:tc>
          <w:tcPr>
            <w:tcW w:w="0" w:type="auto"/>
            <w:tcBorders>
              <w:top w:val="nil"/>
              <w:left w:val="nil"/>
              <w:bottom w:val="nil"/>
              <w:right w:val="nil"/>
            </w:tcBorders>
            <w:shd w:val="clear" w:color="auto" w:fill="auto"/>
            <w:noWrap/>
            <w:vAlign w:val="bottom"/>
          </w:tcPr>
          <w:p w14:paraId="7E542E7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-.0736***</w:t>
            </w:r>
          </w:p>
        </w:tc>
        <w:tc>
          <w:tcPr>
            <w:tcW w:w="0" w:type="auto"/>
            <w:tcBorders>
              <w:top w:val="nil"/>
              <w:left w:val="nil"/>
              <w:bottom w:val="nil"/>
              <w:right w:val="nil"/>
            </w:tcBorders>
            <w:shd w:val="clear" w:color="auto" w:fill="auto"/>
            <w:noWrap/>
            <w:vAlign w:val="bottom"/>
          </w:tcPr>
          <w:p w14:paraId="7E86EC3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-.0743***</w:t>
            </w:r>
          </w:p>
        </w:tc>
      </w:tr>
      <w:tr w:rsidR="00DF2657" w:rsidRPr="00351E73" w14:paraId="1F9AB700" w14:textId="77777777" w:rsidTr="009D6779">
        <w:trPr>
          <w:trHeight w:val="255"/>
          <w:jc w:val="center"/>
        </w:trPr>
        <w:tc>
          <w:tcPr>
            <w:tcW w:w="0" w:type="auto"/>
            <w:tcBorders>
              <w:top w:val="nil"/>
              <w:left w:val="nil"/>
              <w:bottom w:val="nil"/>
              <w:right w:val="nil"/>
            </w:tcBorders>
            <w:shd w:val="clear" w:color="auto" w:fill="auto"/>
            <w:noWrap/>
            <w:vAlign w:val="bottom"/>
          </w:tcPr>
          <w:p w14:paraId="148BC030"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058A18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(.00375)</w:t>
            </w:r>
          </w:p>
        </w:tc>
        <w:tc>
          <w:tcPr>
            <w:tcW w:w="0" w:type="auto"/>
            <w:tcBorders>
              <w:top w:val="nil"/>
              <w:left w:val="nil"/>
              <w:bottom w:val="nil"/>
              <w:right w:val="nil"/>
            </w:tcBorders>
            <w:shd w:val="clear" w:color="auto" w:fill="auto"/>
            <w:noWrap/>
            <w:vAlign w:val="bottom"/>
          </w:tcPr>
          <w:p w14:paraId="733A1C7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(.00268)</w:t>
            </w:r>
          </w:p>
        </w:tc>
        <w:tc>
          <w:tcPr>
            <w:tcW w:w="0" w:type="auto"/>
            <w:tcBorders>
              <w:top w:val="nil"/>
              <w:left w:val="nil"/>
              <w:bottom w:val="nil"/>
              <w:right w:val="nil"/>
            </w:tcBorders>
            <w:shd w:val="clear" w:color="auto" w:fill="auto"/>
            <w:noWrap/>
            <w:vAlign w:val="bottom"/>
          </w:tcPr>
          <w:p w14:paraId="17642D8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(.00273)</w:t>
            </w:r>
          </w:p>
        </w:tc>
        <w:tc>
          <w:tcPr>
            <w:tcW w:w="0" w:type="auto"/>
            <w:tcBorders>
              <w:top w:val="nil"/>
              <w:left w:val="nil"/>
              <w:bottom w:val="nil"/>
              <w:right w:val="nil"/>
            </w:tcBorders>
            <w:shd w:val="clear" w:color="auto" w:fill="auto"/>
            <w:noWrap/>
            <w:vAlign w:val="bottom"/>
          </w:tcPr>
          <w:p w14:paraId="79332B0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(.0028</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B073C2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(.00277)</w:t>
            </w:r>
          </w:p>
        </w:tc>
      </w:tr>
      <w:tr w:rsidR="00DF2657" w:rsidRPr="00351E73" w14:paraId="7DF20DCE" w14:textId="77777777" w:rsidTr="009D6779">
        <w:trPr>
          <w:trHeight w:val="255"/>
          <w:jc w:val="center"/>
        </w:trPr>
        <w:tc>
          <w:tcPr>
            <w:tcW w:w="0" w:type="auto"/>
            <w:tcBorders>
              <w:top w:val="nil"/>
              <w:left w:val="nil"/>
              <w:bottom w:val="nil"/>
              <w:right w:val="nil"/>
            </w:tcBorders>
            <w:shd w:val="clear" w:color="auto" w:fill="auto"/>
            <w:noWrap/>
            <w:vAlign w:val="bottom"/>
          </w:tcPr>
          <w:p w14:paraId="0D6B3BE4"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tcPr>
          <w:p w14:paraId="65E558D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8.184***</w:t>
            </w:r>
          </w:p>
        </w:tc>
        <w:tc>
          <w:tcPr>
            <w:tcW w:w="0" w:type="auto"/>
            <w:tcBorders>
              <w:top w:val="nil"/>
              <w:left w:val="nil"/>
              <w:bottom w:val="nil"/>
              <w:right w:val="nil"/>
            </w:tcBorders>
            <w:shd w:val="clear" w:color="auto" w:fill="auto"/>
            <w:noWrap/>
            <w:vAlign w:val="bottom"/>
          </w:tcPr>
          <w:p w14:paraId="2A8E271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8.473***</w:t>
            </w:r>
          </w:p>
        </w:tc>
        <w:tc>
          <w:tcPr>
            <w:tcW w:w="0" w:type="auto"/>
            <w:tcBorders>
              <w:top w:val="nil"/>
              <w:left w:val="nil"/>
              <w:bottom w:val="nil"/>
              <w:right w:val="nil"/>
            </w:tcBorders>
            <w:shd w:val="clear" w:color="auto" w:fill="auto"/>
            <w:noWrap/>
            <w:vAlign w:val="bottom"/>
          </w:tcPr>
          <w:p w14:paraId="2A7E884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8.343***</w:t>
            </w:r>
          </w:p>
        </w:tc>
        <w:tc>
          <w:tcPr>
            <w:tcW w:w="0" w:type="auto"/>
            <w:tcBorders>
              <w:top w:val="nil"/>
              <w:left w:val="nil"/>
              <w:bottom w:val="nil"/>
              <w:right w:val="nil"/>
            </w:tcBorders>
            <w:shd w:val="clear" w:color="auto" w:fill="auto"/>
            <w:noWrap/>
            <w:vAlign w:val="bottom"/>
          </w:tcPr>
          <w:p w14:paraId="533EED5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8.341***</w:t>
            </w:r>
          </w:p>
        </w:tc>
        <w:tc>
          <w:tcPr>
            <w:tcW w:w="0" w:type="auto"/>
            <w:tcBorders>
              <w:top w:val="nil"/>
              <w:left w:val="nil"/>
              <w:bottom w:val="nil"/>
              <w:right w:val="nil"/>
            </w:tcBorders>
            <w:shd w:val="clear" w:color="auto" w:fill="auto"/>
            <w:noWrap/>
            <w:vAlign w:val="bottom"/>
          </w:tcPr>
          <w:p w14:paraId="30245C3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8.467***</w:t>
            </w:r>
          </w:p>
        </w:tc>
      </w:tr>
      <w:tr w:rsidR="00DF2657" w:rsidRPr="00351E73" w14:paraId="79BE968A" w14:textId="77777777" w:rsidTr="009D6779">
        <w:trPr>
          <w:trHeight w:val="255"/>
          <w:jc w:val="center"/>
        </w:trPr>
        <w:tc>
          <w:tcPr>
            <w:tcW w:w="0" w:type="auto"/>
            <w:tcBorders>
              <w:top w:val="nil"/>
              <w:left w:val="nil"/>
              <w:bottom w:val="nil"/>
              <w:right w:val="nil"/>
            </w:tcBorders>
            <w:shd w:val="clear" w:color="auto" w:fill="auto"/>
            <w:noWrap/>
            <w:vAlign w:val="bottom"/>
          </w:tcPr>
          <w:p w14:paraId="4A088CA6"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5089D0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(.274)</w:t>
            </w:r>
          </w:p>
        </w:tc>
        <w:tc>
          <w:tcPr>
            <w:tcW w:w="0" w:type="auto"/>
            <w:tcBorders>
              <w:top w:val="nil"/>
              <w:left w:val="nil"/>
              <w:bottom w:val="nil"/>
              <w:right w:val="nil"/>
            </w:tcBorders>
            <w:shd w:val="clear" w:color="auto" w:fill="auto"/>
            <w:noWrap/>
            <w:vAlign w:val="bottom"/>
          </w:tcPr>
          <w:p w14:paraId="767D4F3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(.197)</w:t>
            </w:r>
          </w:p>
        </w:tc>
        <w:tc>
          <w:tcPr>
            <w:tcW w:w="0" w:type="auto"/>
            <w:tcBorders>
              <w:top w:val="nil"/>
              <w:left w:val="nil"/>
              <w:bottom w:val="nil"/>
              <w:right w:val="nil"/>
            </w:tcBorders>
            <w:shd w:val="clear" w:color="auto" w:fill="auto"/>
            <w:noWrap/>
            <w:vAlign w:val="bottom"/>
          </w:tcPr>
          <w:p w14:paraId="4054CED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(.207)</w:t>
            </w:r>
          </w:p>
        </w:tc>
        <w:tc>
          <w:tcPr>
            <w:tcW w:w="0" w:type="auto"/>
            <w:tcBorders>
              <w:top w:val="nil"/>
              <w:left w:val="nil"/>
              <w:bottom w:val="nil"/>
              <w:right w:val="nil"/>
            </w:tcBorders>
            <w:shd w:val="clear" w:color="auto" w:fill="auto"/>
            <w:noWrap/>
            <w:vAlign w:val="bottom"/>
          </w:tcPr>
          <w:p w14:paraId="1090E50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(.211)</w:t>
            </w:r>
          </w:p>
        </w:tc>
        <w:tc>
          <w:tcPr>
            <w:tcW w:w="0" w:type="auto"/>
            <w:tcBorders>
              <w:top w:val="nil"/>
              <w:left w:val="nil"/>
              <w:bottom w:val="nil"/>
              <w:right w:val="nil"/>
            </w:tcBorders>
            <w:shd w:val="clear" w:color="auto" w:fill="auto"/>
            <w:noWrap/>
            <w:vAlign w:val="bottom"/>
          </w:tcPr>
          <w:p w14:paraId="21B00BB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(.215)</w:t>
            </w:r>
          </w:p>
        </w:tc>
      </w:tr>
      <w:tr w:rsidR="00DF2657" w:rsidRPr="00351E73" w14:paraId="401CE997" w14:textId="77777777" w:rsidTr="009D6779">
        <w:trPr>
          <w:trHeight w:val="255"/>
          <w:jc w:val="center"/>
        </w:trPr>
        <w:tc>
          <w:tcPr>
            <w:tcW w:w="0" w:type="auto"/>
            <w:tcBorders>
              <w:top w:val="nil"/>
              <w:left w:val="nil"/>
              <w:bottom w:val="nil"/>
              <w:right w:val="nil"/>
            </w:tcBorders>
            <w:shd w:val="clear" w:color="auto" w:fill="auto"/>
            <w:noWrap/>
            <w:vAlign w:val="bottom"/>
          </w:tcPr>
          <w:p w14:paraId="1FA22046"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OwnerOcc</w:t>
            </w:r>
          </w:p>
        </w:tc>
        <w:tc>
          <w:tcPr>
            <w:tcW w:w="0" w:type="auto"/>
            <w:tcBorders>
              <w:top w:val="nil"/>
              <w:left w:val="nil"/>
              <w:bottom w:val="nil"/>
              <w:right w:val="nil"/>
            </w:tcBorders>
            <w:shd w:val="clear" w:color="auto" w:fill="auto"/>
            <w:noWrap/>
            <w:vAlign w:val="bottom"/>
          </w:tcPr>
          <w:p w14:paraId="29BCE5E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.311</w:t>
            </w:r>
          </w:p>
        </w:tc>
        <w:tc>
          <w:tcPr>
            <w:tcW w:w="0" w:type="auto"/>
            <w:tcBorders>
              <w:top w:val="nil"/>
              <w:left w:val="nil"/>
              <w:bottom w:val="nil"/>
              <w:right w:val="nil"/>
            </w:tcBorders>
            <w:shd w:val="clear" w:color="auto" w:fill="auto"/>
            <w:noWrap/>
            <w:vAlign w:val="bottom"/>
          </w:tcPr>
          <w:p w14:paraId="4ECC01B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.401</w:t>
            </w:r>
          </w:p>
        </w:tc>
        <w:tc>
          <w:tcPr>
            <w:tcW w:w="0" w:type="auto"/>
            <w:tcBorders>
              <w:top w:val="nil"/>
              <w:left w:val="nil"/>
              <w:bottom w:val="nil"/>
              <w:right w:val="nil"/>
            </w:tcBorders>
            <w:shd w:val="clear" w:color="auto" w:fill="auto"/>
            <w:noWrap/>
            <w:vAlign w:val="bottom"/>
          </w:tcPr>
          <w:p w14:paraId="036BAC6B"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.446</w:t>
            </w:r>
          </w:p>
        </w:tc>
        <w:tc>
          <w:tcPr>
            <w:tcW w:w="0" w:type="auto"/>
            <w:tcBorders>
              <w:top w:val="nil"/>
              <w:left w:val="nil"/>
              <w:bottom w:val="nil"/>
              <w:right w:val="nil"/>
            </w:tcBorders>
            <w:shd w:val="clear" w:color="auto" w:fill="auto"/>
            <w:noWrap/>
            <w:vAlign w:val="bottom"/>
          </w:tcPr>
          <w:p w14:paraId="54C248E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.373</w:t>
            </w:r>
          </w:p>
        </w:tc>
        <w:tc>
          <w:tcPr>
            <w:tcW w:w="0" w:type="auto"/>
            <w:tcBorders>
              <w:top w:val="nil"/>
              <w:left w:val="nil"/>
              <w:bottom w:val="nil"/>
              <w:right w:val="nil"/>
            </w:tcBorders>
            <w:shd w:val="clear" w:color="auto" w:fill="auto"/>
            <w:noWrap/>
            <w:vAlign w:val="bottom"/>
          </w:tcPr>
          <w:p w14:paraId="3C73C36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.322</w:t>
            </w:r>
          </w:p>
        </w:tc>
      </w:tr>
      <w:tr w:rsidR="00DF2657" w:rsidRPr="00351E73" w14:paraId="56BB3533" w14:textId="77777777" w:rsidTr="009D6779">
        <w:trPr>
          <w:trHeight w:val="255"/>
          <w:jc w:val="center"/>
        </w:trPr>
        <w:tc>
          <w:tcPr>
            <w:tcW w:w="0" w:type="auto"/>
            <w:tcBorders>
              <w:top w:val="nil"/>
              <w:left w:val="nil"/>
              <w:bottom w:val="nil"/>
              <w:right w:val="nil"/>
            </w:tcBorders>
            <w:shd w:val="clear" w:color="auto" w:fill="auto"/>
            <w:noWrap/>
            <w:vAlign w:val="bottom"/>
          </w:tcPr>
          <w:p w14:paraId="303A1A2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00A0AE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(.514)</w:t>
            </w:r>
          </w:p>
        </w:tc>
        <w:tc>
          <w:tcPr>
            <w:tcW w:w="0" w:type="auto"/>
            <w:tcBorders>
              <w:top w:val="nil"/>
              <w:left w:val="nil"/>
              <w:bottom w:val="nil"/>
              <w:right w:val="nil"/>
            </w:tcBorders>
            <w:shd w:val="clear" w:color="auto" w:fill="auto"/>
            <w:noWrap/>
            <w:vAlign w:val="bottom"/>
          </w:tcPr>
          <w:p w14:paraId="5C513DB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(.367)</w:t>
            </w:r>
          </w:p>
        </w:tc>
        <w:tc>
          <w:tcPr>
            <w:tcW w:w="0" w:type="auto"/>
            <w:tcBorders>
              <w:top w:val="nil"/>
              <w:left w:val="nil"/>
              <w:bottom w:val="nil"/>
              <w:right w:val="nil"/>
            </w:tcBorders>
            <w:shd w:val="clear" w:color="auto" w:fill="auto"/>
            <w:noWrap/>
            <w:vAlign w:val="bottom"/>
          </w:tcPr>
          <w:p w14:paraId="33B9BB1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(.374)</w:t>
            </w:r>
          </w:p>
        </w:tc>
        <w:tc>
          <w:tcPr>
            <w:tcW w:w="0" w:type="auto"/>
            <w:tcBorders>
              <w:top w:val="nil"/>
              <w:left w:val="nil"/>
              <w:bottom w:val="nil"/>
              <w:right w:val="nil"/>
            </w:tcBorders>
            <w:shd w:val="clear" w:color="auto" w:fill="auto"/>
            <w:noWrap/>
            <w:vAlign w:val="bottom"/>
          </w:tcPr>
          <w:p w14:paraId="774A8BB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(.382)</w:t>
            </w:r>
          </w:p>
        </w:tc>
        <w:tc>
          <w:tcPr>
            <w:tcW w:w="0" w:type="auto"/>
            <w:tcBorders>
              <w:top w:val="nil"/>
              <w:left w:val="nil"/>
              <w:bottom w:val="nil"/>
              <w:right w:val="nil"/>
            </w:tcBorders>
            <w:shd w:val="clear" w:color="auto" w:fill="auto"/>
            <w:noWrap/>
            <w:vAlign w:val="bottom"/>
          </w:tcPr>
          <w:p w14:paraId="01DEADB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(.378)</w:t>
            </w:r>
          </w:p>
        </w:tc>
      </w:tr>
      <w:tr w:rsidR="00DF2657" w:rsidRPr="00351E73" w14:paraId="717786F4" w14:textId="77777777" w:rsidTr="009D6779">
        <w:trPr>
          <w:trHeight w:val="255"/>
          <w:jc w:val="center"/>
        </w:trPr>
        <w:tc>
          <w:tcPr>
            <w:tcW w:w="0" w:type="auto"/>
            <w:tcBorders>
              <w:top w:val="nil"/>
              <w:left w:val="nil"/>
              <w:bottom w:val="nil"/>
              <w:right w:val="nil"/>
            </w:tcBorders>
            <w:shd w:val="clear" w:color="auto" w:fill="auto"/>
            <w:noWrap/>
            <w:vAlign w:val="bottom"/>
          </w:tcPr>
          <w:p w14:paraId="66F4B8B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Term30</w:t>
            </w:r>
          </w:p>
        </w:tc>
        <w:tc>
          <w:tcPr>
            <w:tcW w:w="0" w:type="auto"/>
            <w:tcBorders>
              <w:top w:val="nil"/>
              <w:left w:val="nil"/>
              <w:bottom w:val="nil"/>
              <w:right w:val="nil"/>
            </w:tcBorders>
            <w:shd w:val="clear" w:color="auto" w:fill="auto"/>
            <w:noWrap/>
            <w:vAlign w:val="bottom"/>
          </w:tcPr>
          <w:p w14:paraId="555E8D5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16.07***</w:t>
            </w:r>
          </w:p>
        </w:tc>
        <w:tc>
          <w:tcPr>
            <w:tcW w:w="0" w:type="auto"/>
            <w:tcBorders>
              <w:top w:val="nil"/>
              <w:left w:val="nil"/>
              <w:bottom w:val="nil"/>
              <w:right w:val="nil"/>
            </w:tcBorders>
            <w:shd w:val="clear" w:color="auto" w:fill="auto"/>
            <w:noWrap/>
            <w:vAlign w:val="bottom"/>
          </w:tcPr>
          <w:p w14:paraId="2760DBB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16.14***</w:t>
            </w:r>
          </w:p>
        </w:tc>
        <w:tc>
          <w:tcPr>
            <w:tcW w:w="0" w:type="auto"/>
            <w:tcBorders>
              <w:top w:val="nil"/>
              <w:left w:val="nil"/>
              <w:bottom w:val="nil"/>
              <w:right w:val="nil"/>
            </w:tcBorders>
            <w:shd w:val="clear" w:color="auto" w:fill="auto"/>
            <w:noWrap/>
            <w:vAlign w:val="bottom"/>
          </w:tcPr>
          <w:p w14:paraId="49D982D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17.16***</w:t>
            </w:r>
          </w:p>
        </w:tc>
        <w:tc>
          <w:tcPr>
            <w:tcW w:w="0" w:type="auto"/>
            <w:tcBorders>
              <w:top w:val="nil"/>
              <w:left w:val="nil"/>
              <w:bottom w:val="nil"/>
              <w:right w:val="nil"/>
            </w:tcBorders>
            <w:shd w:val="clear" w:color="auto" w:fill="auto"/>
            <w:noWrap/>
            <w:vAlign w:val="bottom"/>
          </w:tcPr>
          <w:p w14:paraId="387CAAD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17.07***</w:t>
            </w:r>
          </w:p>
        </w:tc>
        <w:tc>
          <w:tcPr>
            <w:tcW w:w="0" w:type="auto"/>
            <w:tcBorders>
              <w:top w:val="nil"/>
              <w:left w:val="nil"/>
              <w:bottom w:val="nil"/>
              <w:right w:val="nil"/>
            </w:tcBorders>
            <w:shd w:val="clear" w:color="auto" w:fill="auto"/>
            <w:noWrap/>
            <w:vAlign w:val="bottom"/>
          </w:tcPr>
          <w:p w14:paraId="21B32AA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16.8</w:t>
            </w:r>
            <w:r w:rsidR="00E61DBF">
              <w:rPr>
                <w:rFonts w:ascii="Calibri" w:hAnsi="Calibri" w:cs="Calibri"/>
                <w:sz w:val="20"/>
                <w:szCs w:val="20"/>
              </w:rPr>
              <w:t>0</w:t>
            </w:r>
            <w:r>
              <w:rPr>
                <w:rFonts w:ascii="Calibri" w:hAnsi="Calibri" w:cs="Calibri"/>
                <w:sz w:val="20"/>
                <w:szCs w:val="20"/>
              </w:rPr>
              <w:t>***</w:t>
            </w:r>
          </w:p>
        </w:tc>
      </w:tr>
      <w:tr w:rsidR="00DF2657" w:rsidRPr="00351E73" w14:paraId="2C1F5986" w14:textId="77777777" w:rsidTr="009D6779">
        <w:trPr>
          <w:trHeight w:val="255"/>
          <w:jc w:val="center"/>
        </w:trPr>
        <w:tc>
          <w:tcPr>
            <w:tcW w:w="0" w:type="auto"/>
            <w:tcBorders>
              <w:top w:val="nil"/>
              <w:left w:val="nil"/>
              <w:bottom w:val="nil"/>
              <w:right w:val="nil"/>
            </w:tcBorders>
            <w:shd w:val="clear" w:color="auto" w:fill="auto"/>
            <w:noWrap/>
            <w:vAlign w:val="bottom"/>
          </w:tcPr>
          <w:p w14:paraId="11813362"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49CEA1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(1.37</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2CCD2F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(.977)</w:t>
            </w:r>
          </w:p>
        </w:tc>
        <w:tc>
          <w:tcPr>
            <w:tcW w:w="0" w:type="auto"/>
            <w:tcBorders>
              <w:top w:val="nil"/>
              <w:left w:val="nil"/>
              <w:bottom w:val="nil"/>
              <w:right w:val="nil"/>
            </w:tcBorders>
            <w:shd w:val="clear" w:color="auto" w:fill="auto"/>
            <w:noWrap/>
            <w:vAlign w:val="bottom"/>
          </w:tcPr>
          <w:p w14:paraId="76C51A9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(1.053)</w:t>
            </w:r>
          </w:p>
        </w:tc>
        <w:tc>
          <w:tcPr>
            <w:tcW w:w="0" w:type="auto"/>
            <w:tcBorders>
              <w:top w:val="nil"/>
              <w:left w:val="nil"/>
              <w:bottom w:val="nil"/>
              <w:right w:val="nil"/>
            </w:tcBorders>
            <w:shd w:val="clear" w:color="auto" w:fill="auto"/>
            <w:noWrap/>
            <w:vAlign w:val="bottom"/>
          </w:tcPr>
          <w:p w14:paraId="02996DF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(1.081)</w:t>
            </w:r>
          </w:p>
        </w:tc>
        <w:tc>
          <w:tcPr>
            <w:tcW w:w="0" w:type="auto"/>
            <w:tcBorders>
              <w:top w:val="nil"/>
              <w:left w:val="nil"/>
              <w:bottom w:val="nil"/>
              <w:right w:val="nil"/>
            </w:tcBorders>
            <w:shd w:val="clear" w:color="auto" w:fill="auto"/>
            <w:noWrap/>
            <w:vAlign w:val="bottom"/>
          </w:tcPr>
          <w:p w14:paraId="531D750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(1.061)</w:t>
            </w:r>
          </w:p>
        </w:tc>
      </w:tr>
      <w:tr w:rsidR="006751BB" w:rsidRPr="00351E73" w14:paraId="67F95F16" w14:textId="77777777" w:rsidTr="009D6779">
        <w:trPr>
          <w:trHeight w:val="255"/>
          <w:jc w:val="center"/>
        </w:trPr>
        <w:tc>
          <w:tcPr>
            <w:tcW w:w="0" w:type="auto"/>
            <w:tcBorders>
              <w:top w:val="nil"/>
              <w:left w:val="nil"/>
              <w:bottom w:val="nil"/>
              <w:right w:val="nil"/>
            </w:tcBorders>
            <w:shd w:val="clear" w:color="auto" w:fill="auto"/>
            <w:noWrap/>
            <w:vAlign w:val="bottom"/>
          </w:tcPr>
          <w:p w14:paraId="49BA3B34"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Age15-34</w:t>
            </w:r>
          </w:p>
        </w:tc>
        <w:tc>
          <w:tcPr>
            <w:tcW w:w="0" w:type="auto"/>
            <w:tcBorders>
              <w:top w:val="nil"/>
              <w:left w:val="nil"/>
              <w:bottom w:val="nil"/>
              <w:right w:val="nil"/>
            </w:tcBorders>
            <w:shd w:val="clear" w:color="auto" w:fill="auto"/>
            <w:noWrap/>
            <w:vAlign w:val="bottom"/>
          </w:tcPr>
          <w:p w14:paraId="087E055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.102***</w:t>
            </w:r>
          </w:p>
        </w:tc>
        <w:tc>
          <w:tcPr>
            <w:tcW w:w="0" w:type="auto"/>
            <w:tcBorders>
              <w:top w:val="nil"/>
              <w:left w:val="nil"/>
              <w:bottom w:val="nil"/>
              <w:right w:val="nil"/>
            </w:tcBorders>
            <w:shd w:val="clear" w:color="auto" w:fill="auto"/>
            <w:noWrap/>
            <w:vAlign w:val="bottom"/>
          </w:tcPr>
          <w:p w14:paraId="659FD76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.100***</w:t>
            </w:r>
          </w:p>
        </w:tc>
        <w:tc>
          <w:tcPr>
            <w:tcW w:w="0" w:type="auto"/>
            <w:tcBorders>
              <w:top w:val="nil"/>
              <w:left w:val="nil"/>
              <w:bottom w:val="nil"/>
              <w:right w:val="nil"/>
            </w:tcBorders>
            <w:shd w:val="clear" w:color="auto" w:fill="auto"/>
            <w:noWrap/>
            <w:vAlign w:val="bottom"/>
          </w:tcPr>
          <w:p w14:paraId="4018AEB1"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.0997***</w:t>
            </w:r>
          </w:p>
        </w:tc>
        <w:tc>
          <w:tcPr>
            <w:tcW w:w="0" w:type="auto"/>
            <w:tcBorders>
              <w:top w:val="nil"/>
              <w:left w:val="nil"/>
              <w:bottom w:val="nil"/>
              <w:right w:val="nil"/>
            </w:tcBorders>
            <w:shd w:val="clear" w:color="auto" w:fill="auto"/>
            <w:noWrap/>
            <w:vAlign w:val="bottom"/>
          </w:tcPr>
          <w:p w14:paraId="0DF28F5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.0983***</w:t>
            </w:r>
          </w:p>
        </w:tc>
        <w:tc>
          <w:tcPr>
            <w:tcW w:w="0" w:type="auto"/>
            <w:tcBorders>
              <w:top w:val="nil"/>
              <w:left w:val="nil"/>
              <w:bottom w:val="nil"/>
              <w:right w:val="nil"/>
            </w:tcBorders>
            <w:shd w:val="clear" w:color="auto" w:fill="auto"/>
            <w:noWrap/>
            <w:vAlign w:val="bottom"/>
          </w:tcPr>
          <w:p w14:paraId="2D71208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.101***</w:t>
            </w:r>
          </w:p>
        </w:tc>
      </w:tr>
      <w:tr w:rsidR="006751BB" w:rsidRPr="00351E73" w14:paraId="5D6DA532" w14:textId="77777777" w:rsidTr="009D6779">
        <w:trPr>
          <w:trHeight w:val="255"/>
          <w:jc w:val="center"/>
        </w:trPr>
        <w:tc>
          <w:tcPr>
            <w:tcW w:w="0" w:type="auto"/>
            <w:tcBorders>
              <w:top w:val="nil"/>
              <w:left w:val="nil"/>
              <w:bottom w:val="nil"/>
              <w:right w:val="nil"/>
            </w:tcBorders>
            <w:shd w:val="clear" w:color="auto" w:fill="auto"/>
            <w:noWrap/>
            <w:vAlign w:val="bottom"/>
          </w:tcPr>
          <w:p w14:paraId="64C1C7D9"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791CCF8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(.0198)</w:t>
            </w:r>
          </w:p>
        </w:tc>
        <w:tc>
          <w:tcPr>
            <w:tcW w:w="0" w:type="auto"/>
            <w:tcBorders>
              <w:top w:val="nil"/>
              <w:left w:val="nil"/>
              <w:bottom w:val="nil"/>
              <w:right w:val="nil"/>
            </w:tcBorders>
            <w:shd w:val="clear" w:color="auto" w:fill="auto"/>
            <w:noWrap/>
            <w:vAlign w:val="bottom"/>
          </w:tcPr>
          <w:p w14:paraId="61519BD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(.0142)</w:t>
            </w:r>
          </w:p>
        </w:tc>
        <w:tc>
          <w:tcPr>
            <w:tcW w:w="0" w:type="auto"/>
            <w:tcBorders>
              <w:top w:val="nil"/>
              <w:left w:val="nil"/>
              <w:bottom w:val="nil"/>
              <w:right w:val="nil"/>
            </w:tcBorders>
            <w:shd w:val="clear" w:color="auto" w:fill="auto"/>
            <w:noWrap/>
            <w:vAlign w:val="bottom"/>
          </w:tcPr>
          <w:p w14:paraId="12D4A3C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(.0154)</w:t>
            </w:r>
          </w:p>
        </w:tc>
        <w:tc>
          <w:tcPr>
            <w:tcW w:w="0" w:type="auto"/>
            <w:tcBorders>
              <w:top w:val="nil"/>
              <w:left w:val="nil"/>
              <w:bottom w:val="nil"/>
              <w:right w:val="nil"/>
            </w:tcBorders>
            <w:shd w:val="clear" w:color="auto" w:fill="auto"/>
            <w:noWrap/>
            <w:vAlign w:val="bottom"/>
          </w:tcPr>
          <w:p w14:paraId="029C023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(.0157)</w:t>
            </w:r>
          </w:p>
        </w:tc>
        <w:tc>
          <w:tcPr>
            <w:tcW w:w="0" w:type="auto"/>
            <w:tcBorders>
              <w:top w:val="nil"/>
              <w:left w:val="nil"/>
              <w:bottom w:val="nil"/>
              <w:right w:val="nil"/>
            </w:tcBorders>
            <w:shd w:val="clear" w:color="auto" w:fill="auto"/>
            <w:noWrap/>
            <w:vAlign w:val="bottom"/>
          </w:tcPr>
          <w:p w14:paraId="360E4B5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(.0161)</w:t>
            </w:r>
          </w:p>
        </w:tc>
      </w:tr>
      <w:tr w:rsidR="006751BB" w:rsidRPr="00351E73" w14:paraId="6C4154FD" w14:textId="77777777" w:rsidTr="009D6779">
        <w:trPr>
          <w:trHeight w:val="255"/>
          <w:jc w:val="center"/>
        </w:trPr>
        <w:tc>
          <w:tcPr>
            <w:tcW w:w="0" w:type="auto"/>
            <w:tcBorders>
              <w:top w:val="nil"/>
              <w:left w:val="nil"/>
              <w:bottom w:val="nil"/>
              <w:right w:val="nil"/>
            </w:tcBorders>
            <w:shd w:val="clear" w:color="auto" w:fill="auto"/>
            <w:noWrap/>
            <w:vAlign w:val="bottom"/>
          </w:tcPr>
          <w:p w14:paraId="5267566A"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Age35-54</w:t>
            </w:r>
          </w:p>
        </w:tc>
        <w:tc>
          <w:tcPr>
            <w:tcW w:w="0" w:type="auto"/>
            <w:tcBorders>
              <w:top w:val="nil"/>
              <w:left w:val="nil"/>
              <w:bottom w:val="nil"/>
              <w:right w:val="nil"/>
            </w:tcBorders>
            <w:shd w:val="clear" w:color="auto" w:fill="auto"/>
            <w:noWrap/>
            <w:vAlign w:val="bottom"/>
          </w:tcPr>
          <w:p w14:paraId="616B05E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.133***</w:t>
            </w:r>
          </w:p>
        </w:tc>
        <w:tc>
          <w:tcPr>
            <w:tcW w:w="0" w:type="auto"/>
            <w:tcBorders>
              <w:top w:val="nil"/>
              <w:left w:val="nil"/>
              <w:bottom w:val="nil"/>
              <w:right w:val="nil"/>
            </w:tcBorders>
            <w:shd w:val="clear" w:color="auto" w:fill="auto"/>
            <w:noWrap/>
            <w:vAlign w:val="bottom"/>
          </w:tcPr>
          <w:p w14:paraId="61CDA61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.0954***</w:t>
            </w:r>
          </w:p>
        </w:tc>
        <w:tc>
          <w:tcPr>
            <w:tcW w:w="0" w:type="auto"/>
            <w:tcBorders>
              <w:top w:val="nil"/>
              <w:left w:val="nil"/>
              <w:bottom w:val="nil"/>
              <w:right w:val="nil"/>
            </w:tcBorders>
            <w:shd w:val="clear" w:color="auto" w:fill="auto"/>
            <w:noWrap/>
            <w:vAlign w:val="bottom"/>
          </w:tcPr>
          <w:p w14:paraId="296984E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.0942***</w:t>
            </w:r>
          </w:p>
        </w:tc>
        <w:tc>
          <w:tcPr>
            <w:tcW w:w="0" w:type="auto"/>
            <w:tcBorders>
              <w:top w:val="nil"/>
              <w:left w:val="nil"/>
              <w:bottom w:val="nil"/>
              <w:right w:val="nil"/>
            </w:tcBorders>
            <w:shd w:val="clear" w:color="auto" w:fill="auto"/>
            <w:noWrap/>
            <w:vAlign w:val="bottom"/>
          </w:tcPr>
          <w:p w14:paraId="501CE69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.0939***</w:t>
            </w:r>
          </w:p>
        </w:tc>
        <w:tc>
          <w:tcPr>
            <w:tcW w:w="0" w:type="auto"/>
            <w:tcBorders>
              <w:top w:val="nil"/>
              <w:left w:val="nil"/>
              <w:bottom w:val="nil"/>
              <w:right w:val="nil"/>
            </w:tcBorders>
            <w:shd w:val="clear" w:color="auto" w:fill="auto"/>
            <w:noWrap/>
            <w:vAlign w:val="bottom"/>
          </w:tcPr>
          <w:p w14:paraId="7FC60F2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.0845***</w:t>
            </w:r>
          </w:p>
        </w:tc>
      </w:tr>
      <w:tr w:rsidR="006751BB" w:rsidRPr="00351E73" w14:paraId="224F8ECE" w14:textId="77777777" w:rsidTr="009D6779">
        <w:trPr>
          <w:trHeight w:val="255"/>
          <w:jc w:val="center"/>
        </w:trPr>
        <w:tc>
          <w:tcPr>
            <w:tcW w:w="0" w:type="auto"/>
            <w:tcBorders>
              <w:top w:val="nil"/>
              <w:left w:val="nil"/>
              <w:bottom w:val="nil"/>
              <w:right w:val="nil"/>
            </w:tcBorders>
            <w:shd w:val="clear" w:color="auto" w:fill="auto"/>
            <w:noWrap/>
            <w:vAlign w:val="bottom"/>
          </w:tcPr>
          <w:p w14:paraId="216662BA"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6FE633F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(.0354)</w:t>
            </w:r>
          </w:p>
        </w:tc>
        <w:tc>
          <w:tcPr>
            <w:tcW w:w="0" w:type="auto"/>
            <w:tcBorders>
              <w:top w:val="nil"/>
              <w:left w:val="nil"/>
              <w:bottom w:val="nil"/>
              <w:right w:val="nil"/>
            </w:tcBorders>
            <w:shd w:val="clear" w:color="auto" w:fill="auto"/>
            <w:noWrap/>
            <w:vAlign w:val="bottom"/>
          </w:tcPr>
          <w:p w14:paraId="6D636B21"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(.0254)</w:t>
            </w:r>
          </w:p>
        </w:tc>
        <w:tc>
          <w:tcPr>
            <w:tcW w:w="0" w:type="auto"/>
            <w:tcBorders>
              <w:top w:val="nil"/>
              <w:left w:val="nil"/>
              <w:bottom w:val="nil"/>
              <w:right w:val="nil"/>
            </w:tcBorders>
            <w:shd w:val="clear" w:color="auto" w:fill="auto"/>
            <w:noWrap/>
            <w:vAlign w:val="bottom"/>
          </w:tcPr>
          <w:p w14:paraId="1A11D56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(.0277)</w:t>
            </w:r>
          </w:p>
        </w:tc>
        <w:tc>
          <w:tcPr>
            <w:tcW w:w="0" w:type="auto"/>
            <w:tcBorders>
              <w:top w:val="nil"/>
              <w:left w:val="nil"/>
              <w:bottom w:val="nil"/>
              <w:right w:val="nil"/>
            </w:tcBorders>
            <w:shd w:val="clear" w:color="auto" w:fill="auto"/>
            <w:noWrap/>
            <w:vAlign w:val="bottom"/>
          </w:tcPr>
          <w:p w14:paraId="39340F4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(.0283)</w:t>
            </w:r>
          </w:p>
        </w:tc>
        <w:tc>
          <w:tcPr>
            <w:tcW w:w="0" w:type="auto"/>
            <w:tcBorders>
              <w:top w:val="nil"/>
              <w:left w:val="nil"/>
              <w:bottom w:val="nil"/>
              <w:right w:val="nil"/>
            </w:tcBorders>
            <w:shd w:val="clear" w:color="auto" w:fill="auto"/>
            <w:noWrap/>
            <w:vAlign w:val="bottom"/>
          </w:tcPr>
          <w:p w14:paraId="1D3C031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(.0291)</w:t>
            </w:r>
          </w:p>
        </w:tc>
      </w:tr>
      <w:tr w:rsidR="006751BB" w:rsidRPr="00351E73" w14:paraId="6AB2DFC0" w14:textId="77777777" w:rsidTr="009D6779">
        <w:trPr>
          <w:trHeight w:val="255"/>
          <w:jc w:val="center"/>
        </w:trPr>
        <w:tc>
          <w:tcPr>
            <w:tcW w:w="0" w:type="auto"/>
            <w:tcBorders>
              <w:top w:val="nil"/>
              <w:left w:val="nil"/>
              <w:right w:val="nil"/>
            </w:tcBorders>
            <w:shd w:val="clear" w:color="auto" w:fill="auto"/>
            <w:noWrap/>
            <w:vAlign w:val="bottom"/>
          </w:tcPr>
          <w:p w14:paraId="61263B91"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Age55-69</w:t>
            </w:r>
          </w:p>
        </w:tc>
        <w:tc>
          <w:tcPr>
            <w:tcW w:w="0" w:type="auto"/>
            <w:tcBorders>
              <w:top w:val="nil"/>
              <w:left w:val="nil"/>
              <w:right w:val="nil"/>
            </w:tcBorders>
            <w:shd w:val="clear" w:color="auto" w:fill="auto"/>
            <w:noWrap/>
            <w:vAlign w:val="bottom"/>
          </w:tcPr>
          <w:p w14:paraId="12C8158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-.120***</w:t>
            </w:r>
          </w:p>
        </w:tc>
        <w:tc>
          <w:tcPr>
            <w:tcW w:w="0" w:type="auto"/>
            <w:tcBorders>
              <w:top w:val="nil"/>
              <w:left w:val="nil"/>
              <w:right w:val="nil"/>
            </w:tcBorders>
            <w:shd w:val="clear" w:color="auto" w:fill="auto"/>
            <w:noWrap/>
            <w:vAlign w:val="bottom"/>
          </w:tcPr>
          <w:p w14:paraId="20ED919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-.116***</w:t>
            </w:r>
          </w:p>
        </w:tc>
        <w:tc>
          <w:tcPr>
            <w:tcW w:w="0" w:type="auto"/>
            <w:tcBorders>
              <w:top w:val="nil"/>
              <w:left w:val="nil"/>
              <w:right w:val="nil"/>
            </w:tcBorders>
            <w:shd w:val="clear" w:color="auto" w:fill="auto"/>
            <w:noWrap/>
            <w:vAlign w:val="bottom"/>
          </w:tcPr>
          <w:p w14:paraId="54F7094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-.115***</w:t>
            </w:r>
          </w:p>
        </w:tc>
        <w:tc>
          <w:tcPr>
            <w:tcW w:w="0" w:type="auto"/>
            <w:tcBorders>
              <w:top w:val="nil"/>
              <w:left w:val="nil"/>
              <w:right w:val="nil"/>
            </w:tcBorders>
            <w:shd w:val="clear" w:color="auto" w:fill="auto"/>
            <w:noWrap/>
            <w:vAlign w:val="bottom"/>
          </w:tcPr>
          <w:p w14:paraId="242B9DD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-.117***</w:t>
            </w:r>
          </w:p>
        </w:tc>
        <w:tc>
          <w:tcPr>
            <w:tcW w:w="0" w:type="auto"/>
            <w:tcBorders>
              <w:top w:val="nil"/>
              <w:left w:val="nil"/>
              <w:right w:val="nil"/>
            </w:tcBorders>
            <w:shd w:val="clear" w:color="auto" w:fill="auto"/>
            <w:noWrap/>
            <w:vAlign w:val="bottom"/>
          </w:tcPr>
          <w:p w14:paraId="3853320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-.124***</w:t>
            </w:r>
          </w:p>
        </w:tc>
      </w:tr>
      <w:tr w:rsidR="006751BB" w:rsidRPr="00351E73" w14:paraId="74F16059" w14:textId="77777777" w:rsidTr="009D6779">
        <w:trPr>
          <w:trHeight w:val="255"/>
          <w:jc w:val="center"/>
        </w:trPr>
        <w:tc>
          <w:tcPr>
            <w:tcW w:w="0" w:type="auto"/>
            <w:tcBorders>
              <w:top w:val="nil"/>
              <w:left w:val="nil"/>
              <w:right w:val="nil"/>
            </w:tcBorders>
            <w:shd w:val="clear" w:color="auto" w:fill="auto"/>
            <w:noWrap/>
            <w:vAlign w:val="bottom"/>
          </w:tcPr>
          <w:p w14:paraId="6B3EC534"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622050C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(.0257)</w:t>
            </w:r>
          </w:p>
        </w:tc>
        <w:tc>
          <w:tcPr>
            <w:tcW w:w="0" w:type="auto"/>
            <w:tcBorders>
              <w:top w:val="nil"/>
              <w:left w:val="nil"/>
              <w:right w:val="nil"/>
            </w:tcBorders>
            <w:shd w:val="clear" w:color="auto" w:fill="auto"/>
            <w:noWrap/>
            <w:vAlign w:val="bottom"/>
          </w:tcPr>
          <w:p w14:paraId="0CC7C9E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(.0184)</w:t>
            </w:r>
          </w:p>
        </w:tc>
        <w:tc>
          <w:tcPr>
            <w:tcW w:w="0" w:type="auto"/>
            <w:tcBorders>
              <w:top w:val="nil"/>
              <w:left w:val="nil"/>
              <w:right w:val="nil"/>
            </w:tcBorders>
            <w:shd w:val="clear" w:color="auto" w:fill="auto"/>
            <w:noWrap/>
            <w:vAlign w:val="bottom"/>
          </w:tcPr>
          <w:p w14:paraId="679A1E3A"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(.0198)</w:t>
            </w:r>
          </w:p>
        </w:tc>
        <w:tc>
          <w:tcPr>
            <w:tcW w:w="0" w:type="auto"/>
            <w:tcBorders>
              <w:top w:val="nil"/>
              <w:left w:val="nil"/>
              <w:right w:val="nil"/>
            </w:tcBorders>
            <w:shd w:val="clear" w:color="auto" w:fill="auto"/>
            <w:noWrap/>
            <w:vAlign w:val="bottom"/>
          </w:tcPr>
          <w:p w14:paraId="1E86797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(.0202)</w:t>
            </w:r>
          </w:p>
        </w:tc>
        <w:tc>
          <w:tcPr>
            <w:tcW w:w="0" w:type="auto"/>
            <w:tcBorders>
              <w:top w:val="nil"/>
              <w:left w:val="nil"/>
              <w:right w:val="nil"/>
            </w:tcBorders>
            <w:shd w:val="clear" w:color="auto" w:fill="auto"/>
            <w:noWrap/>
            <w:vAlign w:val="bottom"/>
          </w:tcPr>
          <w:p w14:paraId="27EE1D9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(.0207)</w:t>
            </w:r>
          </w:p>
        </w:tc>
      </w:tr>
      <w:tr w:rsidR="006751BB" w:rsidRPr="00351E73" w14:paraId="383AED23" w14:textId="77777777" w:rsidTr="009D6779">
        <w:trPr>
          <w:trHeight w:val="255"/>
          <w:jc w:val="center"/>
        </w:trPr>
        <w:tc>
          <w:tcPr>
            <w:tcW w:w="0" w:type="auto"/>
            <w:tcBorders>
              <w:top w:val="nil"/>
              <w:left w:val="nil"/>
              <w:right w:val="nil"/>
            </w:tcBorders>
            <w:shd w:val="clear" w:color="auto" w:fill="auto"/>
            <w:noWrap/>
            <w:vAlign w:val="bottom"/>
          </w:tcPr>
          <w:p w14:paraId="6B0A2F44"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Age70plus</w:t>
            </w:r>
          </w:p>
        </w:tc>
        <w:tc>
          <w:tcPr>
            <w:tcW w:w="0" w:type="auto"/>
            <w:tcBorders>
              <w:top w:val="nil"/>
              <w:left w:val="nil"/>
              <w:right w:val="nil"/>
            </w:tcBorders>
            <w:shd w:val="clear" w:color="auto" w:fill="auto"/>
            <w:noWrap/>
            <w:vAlign w:val="bottom"/>
          </w:tcPr>
          <w:p w14:paraId="00C4242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-.0544**</w:t>
            </w:r>
          </w:p>
        </w:tc>
        <w:tc>
          <w:tcPr>
            <w:tcW w:w="0" w:type="auto"/>
            <w:tcBorders>
              <w:top w:val="nil"/>
              <w:left w:val="nil"/>
              <w:right w:val="nil"/>
            </w:tcBorders>
            <w:shd w:val="clear" w:color="auto" w:fill="auto"/>
            <w:noWrap/>
            <w:vAlign w:val="bottom"/>
          </w:tcPr>
          <w:p w14:paraId="7FAB23D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-.0678***</w:t>
            </w:r>
          </w:p>
        </w:tc>
        <w:tc>
          <w:tcPr>
            <w:tcW w:w="0" w:type="auto"/>
            <w:tcBorders>
              <w:top w:val="nil"/>
              <w:left w:val="nil"/>
              <w:right w:val="nil"/>
            </w:tcBorders>
            <w:shd w:val="clear" w:color="auto" w:fill="auto"/>
            <w:noWrap/>
            <w:vAlign w:val="bottom"/>
          </w:tcPr>
          <w:p w14:paraId="638BA44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-.0617***</w:t>
            </w:r>
          </w:p>
        </w:tc>
        <w:tc>
          <w:tcPr>
            <w:tcW w:w="0" w:type="auto"/>
            <w:tcBorders>
              <w:top w:val="nil"/>
              <w:left w:val="nil"/>
              <w:right w:val="nil"/>
            </w:tcBorders>
            <w:shd w:val="clear" w:color="auto" w:fill="auto"/>
            <w:noWrap/>
            <w:vAlign w:val="bottom"/>
          </w:tcPr>
          <w:p w14:paraId="7F296E9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-.0632***</w:t>
            </w:r>
          </w:p>
        </w:tc>
        <w:tc>
          <w:tcPr>
            <w:tcW w:w="0" w:type="auto"/>
            <w:tcBorders>
              <w:top w:val="nil"/>
              <w:left w:val="nil"/>
              <w:right w:val="nil"/>
            </w:tcBorders>
            <w:shd w:val="clear" w:color="auto" w:fill="auto"/>
            <w:noWrap/>
            <w:vAlign w:val="bottom"/>
          </w:tcPr>
          <w:p w14:paraId="73845EE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-.0607***</w:t>
            </w:r>
          </w:p>
        </w:tc>
      </w:tr>
      <w:tr w:rsidR="00DF2657" w:rsidRPr="00351E73" w14:paraId="1281304A" w14:textId="77777777" w:rsidTr="009D6779">
        <w:trPr>
          <w:trHeight w:val="255"/>
          <w:jc w:val="center"/>
        </w:trPr>
        <w:tc>
          <w:tcPr>
            <w:tcW w:w="0" w:type="auto"/>
            <w:tcBorders>
              <w:top w:val="nil"/>
              <w:left w:val="nil"/>
              <w:right w:val="nil"/>
            </w:tcBorders>
            <w:shd w:val="clear" w:color="auto" w:fill="auto"/>
            <w:noWrap/>
            <w:vAlign w:val="bottom"/>
          </w:tcPr>
          <w:p w14:paraId="47A82A5C"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196DF2A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(.0255)</w:t>
            </w:r>
          </w:p>
        </w:tc>
        <w:tc>
          <w:tcPr>
            <w:tcW w:w="0" w:type="auto"/>
            <w:tcBorders>
              <w:top w:val="nil"/>
              <w:left w:val="nil"/>
              <w:right w:val="nil"/>
            </w:tcBorders>
            <w:shd w:val="clear" w:color="auto" w:fill="auto"/>
            <w:noWrap/>
            <w:vAlign w:val="bottom"/>
          </w:tcPr>
          <w:p w14:paraId="2A0395D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(.0184)</w:t>
            </w:r>
          </w:p>
        </w:tc>
        <w:tc>
          <w:tcPr>
            <w:tcW w:w="0" w:type="auto"/>
            <w:tcBorders>
              <w:top w:val="nil"/>
              <w:left w:val="nil"/>
              <w:right w:val="nil"/>
            </w:tcBorders>
            <w:shd w:val="clear" w:color="auto" w:fill="auto"/>
            <w:noWrap/>
            <w:vAlign w:val="bottom"/>
          </w:tcPr>
          <w:p w14:paraId="66990FE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w:t>
            </w:r>
            <w:r w:rsidR="00E61DBF">
              <w:rPr>
                <w:rFonts w:ascii="Calibri" w:hAnsi="Calibri" w:cs="Calibri"/>
                <w:sz w:val="20"/>
                <w:szCs w:val="20"/>
              </w:rPr>
              <w:t>00</w:t>
            </w:r>
            <w:r>
              <w:rPr>
                <w:rFonts w:ascii="Calibri" w:hAnsi="Calibri" w:cs="Calibri"/>
                <w:sz w:val="20"/>
                <w:szCs w:val="20"/>
              </w:rPr>
              <w:t>)</w:t>
            </w:r>
          </w:p>
        </w:tc>
        <w:tc>
          <w:tcPr>
            <w:tcW w:w="0" w:type="auto"/>
            <w:tcBorders>
              <w:top w:val="nil"/>
              <w:left w:val="nil"/>
              <w:right w:val="nil"/>
            </w:tcBorders>
            <w:shd w:val="clear" w:color="auto" w:fill="auto"/>
            <w:noWrap/>
            <w:vAlign w:val="bottom"/>
          </w:tcPr>
          <w:p w14:paraId="1904223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(.0204)</w:t>
            </w:r>
          </w:p>
        </w:tc>
        <w:tc>
          <w:tcPr>
            <w:tcW w:w="0" w:type="auto"/>
            <w:tcBorders>
              <w:top w:val="nil"/>
              <w:left w:val="nil"/>
              <w:right w:val="nil"/>
            </w:tcBorders>
            <w:shd w:val="clear" w:color="auto" w:fill="auto"/>
            <w:noWrap/>
            <w:vAlign w:val="bottom"/>
          </w:tcPr>
          <w:p w14:paraId="4EA1067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w:t>
            </w:r>
            <w:r w:rsidR="00E61DBF">
              <w:rPr>
                <w:rFonts w:ascii="Calibri" w:hAnsi="Calibri" w:cs="Calibri"/>
                <w:sz w:val="20"/>
                <w:szCs w:val="20"/>
              </w:rPr>
              <w:t>0</w:t>
            </w:r>
            <w:r>
              <w:rPr>
                <w:rFonts w:ascii="Calibri" w:hAnsi="Calibri" w:cs="Calibri"/>
                <w:sz w:val="20"/>
                <w:szCs w:val="20"/>
              </w:rPr>
              <w:t>)</w:t>
            </w:r>
          </w:p>
        </w:tc>
      </w:tr>
      <w:tr w:rsidR="00DF2657" w:rsidRPr="00351E73" w14:paraId="1947EB2B" w14:textId="77777777" w:rsidTr="009D6779">
        <w:trPr>
          <w:trHeight w:val="255"/>
          <w:jc w:val="center"/>
        </w:trPr>
        <w:tc>
          <w:tcPr>
            <w:tcW w:w="0" w:type="auto"/>
            <w:tcBorders>
              <w:top w:val="nil"/>
              <w:left w:val="nil"/>
              <w:right w:val="nil"/>
            </w:tcBorders>
            <w:shd w:val="clear" w:color="auto" w:fill="auto"/>
            <w:noWrap/>
            <w:vAlign w:val="bottom"/>
          </w:tcPr>
          <w:p w14:paraId="01263771"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Value$1-$2</w:t>
            </w:r>
          </w:p>
        </w:tc>
        <w:tc>
          <w:tcPr>
            <w:tcW w:w="0" w:type="auto"/>
            <w:tcBorders>
              <w:top w:val="nil"/>
              <w:left w:val="nil"/>
              <w:right w:val="nil"/>
            </w:tcBorders>
            <w:shd w:val="clear" w:color="auto" w:fill="auto"/>
            <w:noWrap/>
            <w:vAlign w:val="bottom"/>
          </w:tcPr>
          <w:p w14:paraId="3229922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-.0712***</w:t>
            </w:r>
          </w:p>
        </w:tc>
        <w:tc>
          <w:tcPr>
            <w:tcW w:w="0" w:type="auto"/>
            <w:tcBorders>
              <w:top w:val="nil"/>
              <w:left w:val="nil"/>
              <w:right w:val="nil"/>
            </w:tcBorders>
            <w:shd w:val="clear" w:color="auto" w:fill="auto"/>
            <w:noWrap/>
            <w:vAlign w:val="bottom"/>
          </w:tcPr>
          <w:p w14:paraId="7FD8295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-.0676***</w:t>
            </w:r>
          </w:p>
        </w:tc>
        <w:tc>
          <w:tcPr>
            <w:tcW w:w="0" w:type="auto"/>
            <w:tcBorders>
              <w:top w:val="nil"/>
              <w:left w:val="nil"/>
              <w:right w:val="nil"/>
            </w:tcBorders>
            <w:shd w:val="clear" w:color="auto" w:fill="auto"/>
            <w:noWrap/>
            <w:vAlign w:val="bottom"/>
          </w:tcPr>
          <w:p w14:paraId="22B812F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-.0713***</w:t>
            </w:r>
          </w:p>
        </w:tc>
        <w:tc>
          <w:tcPr>
            <w:tcW w:w="0" w:type="auto"/>
            <w:tcBorders>
              <w:top w:val="nil"/>
              <w:left w:val="nil"/>
              <w:right w:val="nil"/>
            </w:tcBorders>
            <w:shd w:val="clear" w:color="auto" w:fill="auto"/>
            <w:noWrap/>
            <w:vAlign w:val="bottom"/>
          </w:tcPr>
          <w:p w14:paraId="0ABD64A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-.0732***</w:t>
            </w:r>
          </w:p>
        </w:tc>
        <w:tc>
          <w:tcPr>
            <w:tcW w:w="0" w:type="auto"/>
            <w:tcBorders>
              <w:top w:val="nil"/>
              <w:left w:val="nil"/>
              <w:right w:val="nil"/>
            </w:tcBorders>
            <w:shd w:val="clear" w:color="auto" w:fill="auto"/>
            <w:noWrap/>
            <w:vAlign w:val="bottom"/>
          </w:tcPr>
          <w:p w14:paraId="1ECC28D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-.0738***</w:t>
            </w:r>
          </w:p>
        </w:tc>
      </w:tr>
      <w:tr w:rsidR="00DF2657" w:rsidRPr="00351E73" w14:paraId="1D528C6C" w14:textId="77777777" w:rsidTr="009D6779">
        <w:trPr>
          <w:trHeight w:val="255"/>
          <w:jc w:val="center"/>
        </w:trPr>
        <w:tc>
          <w:tcPr>
            <w:tcW w:w="0" w:type="auto"/>
            <w:tcBorders>
              <w:top w:val="nil"/>
              <w:left w:val="nil"/>
              <w:right w:val="nil"/>
            </w:tcBorders>
            <w:shd w:val="clear" w:color="auto" w:fill="auto"/>
            <w:noWrap/>
            <w:vAlign w:val="bottom"/>
          </w:tcPr>
          <w:p w14:paraId="77159E65"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136A775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(.0164)</w:t>
            </w:r>
          </w:p>
        </w:tc>
        <w:tc>
          <w:tcPr>
            <w:tcW w:w="0" w:type="auto"/>
            <w:tcBorders>
              <w:top w:val="nil"/>
              <w:left w:val="nil"/>
              <w:right w:val="nil"/>
            </w:tcBorders>
            <w:shd w:val="clear" w:color="auto" w:fill="auto"/>
            <w:noWrap/>
            <w:vAlign w:val="bottom"/>
          </w:tcPr>
          <w:p w14:paraId="7671E93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(.0115)</w:t>
            </w:r>
          </w:p>
        </w:tc>
        <w:tc>
          <w:tcPr>
            <w:tcW w:w="0" w:type="auto"/>
            <w:tcBorders>
              <w:top w:val="nil"/>
              <w:left w:val="nil"/>
              <w:right w:val="nil"/>
            </w:tcBorders>
            <w:shd w:val="clear" w:color="auto" w:fill="auto"/>
            <w:noWrap/>
            <w:vAlign w:val="bottom"/>
          </w:tcPr>
          <w:p w14:paraId="0B0C2F2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(.0128)</w:t>
            </w:r>
          </w:p>
        </w:tc>
        <w:tc>
          <w:tcPr>
            <w:tcW w:w="0" w:type="auto"/>
            <w:tcBorders>
              <w:top w:val="nil"/>
              <w:left w:val="nil"/>
              <w:right w:val="nil"/>
            </w:tcBorders>
            <w:shd w:val="clear" w:color="auto" w:fill="auto"/>
            <w:noWrap/>
            <w:vAlign w:val="bottom"/>
          </w:tcPr>
          <w:p w14:paraId="6D78EA8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(.0131)</w:t>
            </w:r>
          </w:p>
        </w:tc>
        <w:tc>
          <w:tcPr>
            <w:tcW w:w="0" w:type="auto"/>
            <w:tcBorders>
              <w:top w:val="nil"/>
              <w:left w:val="nil"/>
              <w:right w:val="nil"/>
            </w:tcBorders>
            <w:shd w:val="clear" w:color="auto" w:fill="auto"/>
            <w:noWrap/>
            <w:vAlign w:val="bottom"/>
          </w:tcPr>
          <w:p w14:paraId="52C9A88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(.0132)</w:t>
            </w:r>
          </w:p>
        </w:tc>
      </w:tr>
      <w:tr w:rsidR="00DF2657" w:rsidRPr="00351E73" w14:paraId="31212474" w14:textId="77777777" w:rsidTr="009D6779">
        <w:trPr>
          <w:trHeight w:val="255"/>
          <w:jc w:val="center"/>
        </w:trPr>
        <w:tc>
          <w:tcPr>
            <w:tcW w:w="0" w:type="auto"/>
            <w:tcBorders>
              <w:top w:val="nil"/>
              <w:left w:val="nil"/>
              <w:right w:val="nil"/>
            </w:tcBorders>
            <w:shd w:val="clear" w:color="auto" w:fill="auto"/>
            <w:noWrap/>
            <w:vAlign w:val="bottom"/>
          </w:tcPr>
          <w:p w14:paraId="02E1D51E"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Value$2-$3</w:t>
            </w:r>
          </w:p>
        </w:tc>
        <w:tc>
          <w:tcPr>
            <w:tcW w:w="0" w:type="auto"/>
            <w:tcBorders>
              <w:top w:val="nil"/>
              <w:left w:val="nil"/>
              <w:right w:val="nil"/>
            </w:tcBorders>
            <w:shd w:val="clear" w:color="auto" w:fill="auto"/>
            <w:noWrap/>
            <w:vAlign w:val="bottom"/>
          </w:tcPr>
          <w:p w14:paraId="2CB9971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-.158***</w:t>
            </w:r>
          </w:p>
        </w:tc>
        <w:tc>
          <w:tcPr>
            <w:tcW w:w="0" w:type="auto"/>
            <w:tcBorders>
              <w:top w:val="nil"/>
              <w:left w:val="nil"/>
              <w:right w:val="nil"/>
            </w:tcBorders>
            <w:shd w:val="clear" w:color="auto" w:fill="auto"/>
            <w:noWrap/>
            <w:vAlign w:val="bottom"/>
          </w:tcPr>
          <w:p w14:paraId="66E7551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-.155***</w:t>
            </w:r>
          </w:p>
        </w:tc>
        <w:tc>
          <w:tcPr>
            <w:tcW w:w="0" w:type="auto"/>
            <w:tcBorders>
              <w:top w:val="nil"/>
              <w:left w:val="nil"/>
              <w:right w:val="nil"/>
            </w:tcBorders>
            <w:shd w:val="clear" w:color="auto" w:fill="auto"/>
            <w:noWrap/>
            <w:vAlign w:val="bottom"/>
          </w:tcPr>
          <w:p w14:paraId="53B7E8C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-.156***</w:t>
            </w:r>
          </w:p>
        </w:tc>
        <w:tc>
          <w:tcPr>
            <w:tcW w:w="0" w:type="auto"/>
            <w:tcBorders>
              <w:top w:val="nil"/>
              <w:left w:val="nil"/>
              <w:right w:val="nil"/>
            </w:tcBorders>
            <w:shd w:val="clear" w:color="auto" w:fill="auto"/>
            <w:noWrap/>
            <w:vAlign w:val="bottom"/>
          </w:tcPr>
          <w:p w14:paraId="516A3EE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-.159***</w:t>
            </w:r>
          </w:p>
        </w:tc>
        <w:tc>
          <w:tcPr>
            <w:tcW w:w="0" w:type="auto"/>
            <w:tcBorders>
              <w:top w:val="nil"/>
              <w:left w:val="nil"/>
              <w:right w:val="nil"/>
            </w:tcBorders>
            <w:shd w:val="clear" w:color="auto" w:fill="auto"/>
            <w:noWrap/>
            <w:vAlign w:val="bottom"/>
          </w:tcPr>
          <w:p w14:paraId="73FC4CF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-.159***</w:t>
            </w:r>
          </w:p>
        </w:tc>
      </w:tr>
      <w:tr w:rsidR="00DF2657" w:rsidRPr="00351E73" w14:paraId="46BB7BC3" w14:textId="77777777" w:rsidTr="009D6779">
        <w:trPr>
          <w:trHeight w:val="255"/>
          <w:jc w:val="center"/>
        </w:trPr>
        <w:tc>
          <w:tcPr>
            <w:tcW w:w="0" w:type="auto"/>
            <w:tcBorders>
              <w:top w:val="nil"/>
              <w:left w:val="nil"/>
              <w:right w:val="nil"/>
            </w:tcBorders>
            <w:shd w:val="clear" w:color="auto" w:fill="auto"/>
            <w:noWrap/>
            <w:vAlign w:val="bottom"/>
          </w:tcPr>
          <w:p w14:paraId="5F803AB3"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5558C69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(.0153)</w:t>
            </w:r>
          </w:p>
        </w:tc>
        <w:tc>
          <w:tcPr>
            <w:tcW w:w="0" w:type="auto"/>
            <w:tcBorders>
              <w:top w:val="nil"/>
              <w:left w:val="nil"/>
              <w:right w:val="nil"/>
            </w:tcBorders>
            <w:shd w:val="clear" w:color="auto" w:fill="auto"/>
            <w:noWrap/>
            <w:vAlign w:val="bottom"/>
          </w:tcPr>
          <w:p w14:paraId="49C72F0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(.0108)</w:t>
            </w:r>
          </w:p>
        </w:tc>
        <w:tc>
          <w:tcPr>
            <w:tcW w:w="0" w:type="auto"/>
            <w:tcBorders>
              <w:top w:val="nil"/>
              <w:left w:val="nil"/>
              <w:right w:val="nil"/>
            </w:tcBorders>
            <w:shd w:val="clear" w:color="auto" w:fill="auto"/>
            <w:noWrap/>
            <w:vAlign w:val="bottom"/>
          </w:tcPr>
          <w:p w14:paraId="7962E9E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(.0119)</w:t>
            </w:r>
          </w:p>
        </w:tc>
        <w:tc>
          <w:tcPr>
            <w:tcW w:w="0" w:type="auto"/>
            <w:tcBorders>
              <w:top w:val="nil"/>
              <w:left w:val="nil"/>
              <w:right w:val="nil"/>
            </w:tcBorders>
            <w:shd w:val="clear" w:color="auto" w:fill="auto"/>
            <w:noWrap/>
            <w:vAlign w:val="bottom"/>
          </w:tcPr>
          <w:p w14:paraId="62B4AAD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(.0122)</w:t>
            </w:r>
          </w:p>
        </w:tc>
        <w:tc>
          <w:tcPr>
            <w:tcW w:w="0" w:type="auto"/>
            <w:tcBorders>
              <w:top w:val="nil"/>
              <w:left w:val="nil"/>
              <w:right w:val="nil"/>
            </w:tcBorders>
            <w:shd w:val="clear" w:color="auto" w:fill="auto"/>
            <w:noWrap/>
            <w:vAlign w:val="bottom"/>
          </w:tcPr>
          <w:p w14:paraId="480A1B0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(.0123)</w:t>
            </w:r>
          </w:p>
        </w:tc>
      </w:tr>
      <w:tr w:rsidR="00DF2657" w:rsidRPr="00351E73" w14:paraId="00852AC9" w14:textId="77777777" w:rsidTr="009D6779">
        <w:trPr>
          <w:trHeight w:val="255"/>
          <w:jc w:val="center"/>
        </w:trPr>
        <w:tc>
          <w:tcPr>
            <w:tcW w:w="0" w:type="auto"/>
            <w:tcBorders>
              <w:top w:val="nil"/>
              <w:left w:val="nil"/>
              <w:right w:val="nil"/>
            </w:tcBorders>
            <w:shd w:val="clear" w:color="auto" w:fill="auto"/>
            <w:noWrap/>
            <w:vAlign w:val="bottom"/>
          </w:tcPr>
          <w:p w14:paraId="2187C5BA"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Value$3-$5</w:t>
            </w:r>
          </w:p>
        </w:tc>
        <w:tc>
          <w:tcPr>
            <w:tcW w:w="0" w:type="auto"/>
            <w:tcBorders>
              <w:top w:val="nil"/>
              <w:left w:val="nil"/>
              <w:right w:val="nil"/>
            </w:tcBorders>
            <w:shd w:val="clear" w:color="auto" w:fill="auto"/>
            <w:noWrap/>
            <w:vAlign w:val="bottom"/>
          </w:tcPr>
          <w:p w14:paraId="70B93AE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-.118***</w:t>
            </w:r>
          </w:p>
        </w:tc>
        <w:tc>
          <w:tcPr>
            <w:tcW w:w="0" w:type="auto"/>
            <w:tcBorders>
              <w:top w:val="nil"/>
              <w:left w:val="nil"/>
              <w:right w:val="nil"/>
            </w:tcBorders>
            <w:shd w:val="clear" w:color="auto" w:fill="auto"/>
            <w:noWrap/>
            <w:vAlign w:val="bottom"/>
          </w:tcPr>
          <w:p w14:paraId="0D156A9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-.123***</w:t>
            </w:r>
          </w:p>
        </w:tc>
        <w:tc>
          <w:tcPr>
            <w:tcW w:w="0" w:type="auto"/>
            <w:tcBorders>
              <w:top w:val="nil"/>
              <w:left w:val="nil"/>
              <w:right w:val="nil"/>
            </w:tcBorders>
            <w:shd w:val="clear" w:color="auto" w:fill="auto"/>
            <w:noWrap/>
            <w:vAlign w:val="bottom"/>
          </w:tcPr>
          <w:p w14:paraId="09A6DF07"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-.129***</w:t>
            </w:r>
          </w:p>
        </w:tc>
        <w:tc>
          <w:tcPr>
            <w:tcW w:w="0" w:type="auto"/>
            <w:tcBorders>
              <w:top w:val="nil"/>
              <w:left w:val="nil"/>
              <w:right w:val="nil"/>
            </w:tcBorders>
            <w:shd w:val="clear" w:color="auto" w:fill="auto"/>
            <w:noWrap/>
            <w:vAlign w:val="bottom"/>
          </w:tcPr>
          <w:p w14:paraId="61C6BD8C"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-.131***</w:t>
            </w:r>
          </w:p>
        </w:tc>
        <w:tc>
          <w:tcPr>
            <w:tcW w:w="0" w:type="auto"/>
            <w:tcBorders>
              <w:top w:val="nil"/>
              <w:left w:val="nil"/>
              <w:right w:val="nil"/>
            </w:tcBorders>
            <w:shd w:val="clear" w:color="auto" w:fill="auto"/>
            <w:noWrap/>
            <w:vAlign w:val="bottom"/>
          </w:tcPr>
          <w:p w14:paraId="206291EE"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w:t>
            </w:r>
            <w:r w:rsidR="00E61DBF">
              <w:rPr>
                <w:rFonts w:ascii="Calibri" w:hAnsi="Calibri" w:cs="Calibri"/>
                <w:sz w:val="20"/>
                <w:szCs w:val="20"/>
              </w:rPr>
              <w:t>0</w:t>
            </w:r>
            <w:r>
              <w:rPr>
                <w:rFonts w:ascii="Calibri" w:hAnsi="Calibri" w:cs="Calibri"/>
                <w:sz w:val="20"/>
                <w:szCs w:val="20"/>
              </w:rPr>
              <w:t>***</w:t>
            </w:r>
          </w:p>
        </w:tc>
      </w:tr>
      <w:tr w:rsidR="00DF2657" w:rsidRPr="00351E73" w14:paraId="335A6287" w14:textId="77777777" w:rsidTr="009D6779">
        <w:trPr>
          <w:trHeight w:val="255"/>
          <w:jc w:val="center"/>
        </w:trPr>
        <w:tc>
          <w:tcPr>
            <w:tcW w:w="0" w:type="auto"/>
            <w:tcBorders>
              <w:top w:val="nil"/>
              <w:left w:val="nil"/>
              <w:right w:val="nil"/>
            </w:tcBorders>
            <w:shd w:val="clear" w:color="auto" w:fill="auto"/>
            <w:noWrap/>
            <w:vAlign w:val="bottom"/>
          </w:tcPr>
          <w:p w14:paraId="0FC713E6"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63531ED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(.0161)</w:t>
            </w:r>
          </w:p>
        </w:tc>
        <w:tc>
          <w:tcPr>
            <w:tcW w:w="0" w:type="auto"/>
            <w:tcBorders>
              <w:top w:val="nil"/>
              <w:left w:val="nil"/>
              <w:right w:val="nil"/>
            </w:tcBorders>
            <w:shd w:val="clear" w:color="auto" w:fill="auto"/>
            <w:noWrap/>
            <w:vAlign w:val="bottom"/>
          </w:tcPr>
          <w:p w14:paraId="06D323F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(.0114)</w:t>
            </w:r>
          </w:p>
        </w:tc>
        <w:tc>
          <w:tcPr>
            <w:tcW w:w="0" w:type="auto"/>
            <w:tcBorders>
              <w:top w:val="nil"/>
              <w:left w:val="nil"/>
              <w:right w:val="nil"/>
            </w:tcBorders>
            <w:shd w:val="clear" w:color="auto" w:fill="auto"/>
            <w:noWrap/>
            <w:vAlign w:val="bottom"/>
          </w:tcPr>
          <w:p w14:paraId="6D1794A4"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(.0126)</w:t>
            </w:r>
          </w:p>
        </w:tc>
        <w:tc>
          <w:tcPr>
            <w:tcW w:w="0" w:type="auto"/>
            <w:tcBorders>
              <w:top w:val="nil"/>
              <w:left w:val="nil"/>
              <w:right w:val="nil"/>
            </w:tcBorders>
            <w:shd w:val="clear" w:color="auto" w:fill="auto"/>
            <w:noWrap/>
            <w:vAlign w:val="bottom"/>
          </w:tcPr>
          <w:p w14:paraId="3CAE5695"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(.0129)</w:t>
            </w:r>
          </w:p>
        </w:tc>
        <w:tc>
          <w:tcPr>
            <w:tcW w:w="0" w:type="auto"/>
            <w:tcBorders>
              <w:top w:val="nil"/>
              <w:left w:val="nil"/>
              <w:right w:val="nil"/>
            </w:tcBorders>
            <w:shd w:val="clear" w:color="auto" w:fill="auto"/>
            <w:noWrap/>
            <w:vAlign w:val="bottom"/>
          </w:tcPr>
          <w:p w14:paraId="073C677A"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(.0129)</w:t>
            </w:r>
          </w:p>
        </w:tc>
      </w:tr>
      <w:tr w:rsidR="00DF2657" w:rsidRPr="00351E73" w14:paraId="51960F86" w14:textId="77777777" w:rsidTr="009D6779">
        <w:trPr>
          <w:trHeight w:val="255"/>
          <w:jc w:val="center"/>
        </w:trPr>
        <w:tc>
          <w:tcPr>
            <w:tcW w:w="0" w:type="auto"/>
            <w:tcBorders>
              <w:top w:val="nil"/>
              <w:left w:val="nil"/>
              <w:right w:val="nil"/>
            </w:tcBorders>
            <w:shd w:val="clear" w:color="auto" w:fill="auto"/>
            <w:noWrap/>
            <w:vAlign w:val="bottom"/>
          </w:tcPr>
          <w:p w14:paraId="2D829927" w14:textId="77777777" w:rsidR="00DF2657" w:rsidRPr="004961A2" w:rsidRDefault="00DF2657"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Value$5plus</w:t>
            </w:r>
          </w:p>
        </w:tc>
        <w:tc>
          <w:tcPr>
            <w:tcW w:w="0" w:type="auto"/>
            <w:tcBorders>
              <w:top w:val="nil"/>
              <w:left w:val="nil"/>
              <w:right w:val="nil"/>
            </w:tcBorders>
            <w:shd w:val="clear" w:color="auto" w:fill="auto"/>
            <w:noWrap/>
            <w:vAlign w:val="bottom"/>
          </w:tcPr>
          <w:p w14:paraId="063A4B4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-.259***</w:t>
            </w:r>
          </w:p>
        </w:tc>
        <w:tc>
          <w:tcPr>
            <w:tcW w:w="0" w:type="auto"/>
            <w:tcBorders>
              <w:top w:val="nil"/>
              <w:left w:val="nil"/>
              <w:right w:val="nil"/>
            </w:tcBorders>
            <w:shd w:val="clear" w:color="auto" w:fill="auto"/>
            <w:noWrap/>
            <w:vAlign w:val="bottom"/>
          </w:tcPr>
          <w:p w14:paraId="0566C20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-.259***</w:t>
            </w:r>
          </w:p>
        </w:tc>
        <w:tc>
          <w:tcPr>
            <w:tcW w:w="0" w:type="auto"/>
            <w:tcBorders>
              <w:top w:val="nil"/>
              <w:left w:val="nil"/>
              <w:right w:val="nil"/>
            </w:tcBorders>
            <w:shd w:val="clear" w:color="auto" w:fill="auto"/>
            <w:noWrap/>
            <w:vAlign w:val="bottom"/>
          </w:tcPr>
          <w:p w14:paraId="522E5B3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-.259***</w:t>
            </w:r>
          </w:p>
        </w:tc>
        <w:tc>
          <w:tcPr>
            <w:tcW w:w="0" w:type="auto"/>
            <w:tcBorders>
              <w:top w:val="nil"/>
              <w:left w:val="nil"/>
              <w:right w:val="nil"/>
            </w:tcBorders>
            <w:shd w:val="clear" w:color="auto" w:fill="auto"/>
            <w:noWrap/>
            <w:vAlign w:val="bottom"/>
          </w:tcPr>
          <w:p w14:paraId="576E0A3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-.262***</w:t>
            </w:r>
          </w:p>
        </w:tc>
        <w:tc>
          <w:tcPr>
            <w:tcW w:w="0" w:type="auto"/>
            <w:tcBorders>
              <w:top w:val="nil"/>
              <w:left w:val="nil"/>
              <w:right w:val="nil"/>
            </w:tcBorders>
            <w:shd w:val="clear" w:color="auto" w:fill="auto"/>
            <w:noWrap/>
            <w:vAlign w:val="bottom"/>
          </w:tcPr>
          <w:p w14:paraId="338A095D"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-.259***</w:t>
            </w:r>
          </w:p>
        </w:tc>
      </w:tr>
      <w:tr w:rsidR="00DF2657" w:rsidRPr="00351E73" w14:paraId="4E7EDB9C" w14:textId="77777777" w:rsidTr="009D6779">
        <w:trPr>
          <w:trHeight w:val="255"/>
          <w:jc w:val="center"/>
        </w:trPr>
        <w:tc>
          <w:tcPr>
            <w:tcW w:w="0" w:type="auto"/>
            <w:tcBorders>
              <w:top w:val="nil"/>
              <w:left w:val="nil"/>
              <w:right w:val="nil"/>
            </w:tcBorders>
            <w:shd w:val="clear" w:color="auto" w:fill="auto"/>
            <w:noWrap/>
            <w:vAlign w:val="bottom"/>
          </w:tcPr>
          <w:p w14:paraId="04DE6040"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right w:val="nil"/>
            </w:tcBorders>
            <w:shd w:val="clear" w:color="auto" w:fill="auto"/>
            <w:noWrap/>
            <w:vAlign w:val="bottom"/>
          </w:tcPr>
          <w:p w14:paraId="621F1F2F"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(.0155)</w:t>
            </w:r>
          </w:p>
        </w:tc>
        <w:tc>
          <w:tcPr>
            <w:tcW w:w="0" w:type="auto"/>
            <w:tcBorders>
              <w:top w:val="nil"/>
              <w:left w:val="nil"/>
              <w:right w:val="nil"/>
            </w:tcBorders>
            <w:shd w:val="clear" w:color="auto" w:fill="auto"/>
            <w:noWrap/>
            <w:vAlign w:val="bottom"/>
          </w:tcPr>
          <w:p w14:paraId="5EFC4728"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(.011</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right w:val="nil"/>
            </w:tcBorders>
            <w:shd w:val="clear" w:color="auto" w:fill="auto"/>
            <w:noWrap/>
            <w:vAlign w:val="bottom"/>
          </w:tcPr>
          <w:p w14:paraId="0F42B7C1"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(.0123)</w:t>
            </w:r>
          </w:p>
        </w:tc>
        <w:tc>
          <w:tcPr>
            <w:tcW w:w="0" w:type="auto"/>
            <w:tcBorders>
              <w:top w:val="nil"/>
              <w:left w:val="nil"/>
              <w:right w:val="nil"/>
            </w:tcBorders>
            <w:shd w:val="clear" w:color="auto" w:fill="auto"/>
            <w:noWrap/>
            <w:vAlign w:val="bottom"/>
          </w:tcPr>
          <w:p w14:paraId="0D902203"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(.0125)</w:t>
            </w:r>
          </w:p>
        </w:tc>
        <w:tc>
          <w:tcPr>
            <w:tcW w:w="0" w:type="auto"/>
            <w:tcBorders>
              <w:top w:val="nil"/>
              <w:left w:val="nil"/>
              <w:right w:val="nil"/>
            </w:tcBorders>
            <w:shd w:val="clear" w:color="auto" w:fill="auto"/>
            <w:noWrap/>
            <w:vAlign w:val="bottom"/>
          </w:tcPr>
          <w:p w14:paraId="6D7577B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(.0125)</w:t>
            </w:r>
          </w:p>
        </w:tc>
      </w:tr>
      <w:tr w:rsidR="00DF2657" w:rsidRPr="00351E73" w14:paraId="7D43BA35" w14:textId="77777777" w:rsidTr="009D6779">
        <w:trPr>
          <w:trHeight w:val="255"/>
          <w:jc w:val="center"/>
        </w:trPr>
        <w:tc>
          <w:tcPr>
            <w:tcW w:w="0" w:type="auto"/>
            <w:tcBorders>
              <w:top w:val="nil"/>
              <w:left w:val="nil"/>
              <w:right w:val="nil"/>
            </w:tcBorders>
            <w:shd w:val="clear" w:color="auto" w:fill="auto"/>
            <w:noWrap/>
            <w:vAlign w:val="bottom"/>
          </w:tcPr>
          <w:p w14:paraId="73BBBC9F" w14:textId="77777777" w:rsidR="00DF2657" w:rsidRPr="00351E73" w:rsidRDefault="00DF2657" w:rsidP="009D6779">
            <w:pPr>
              <w:spacing w:after="0" w:line="240" w:lineRule="auto"/>
              <w:contextualSpacing/>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04400E82"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287956B0"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51FF600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4D13A7F6"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061F63C9" w14:textId="77777777" w:rsidR="00DF2657" w:rsidRPr="00C72371" w:rsidRDefault="00DF2657" w:rsidP="009D6779">
            <w:pPr>
              <w:spacing w:after="0" w:line="240" w:lineRule="auto"/>
              <w:contextualSpacing/>
              <w:jc w:val="center"/>
              <w:rPr>
                <w:rFonts w:ascii="Calibri" w:eastAsia="Times New Roman" w:hAnsi="Calibri" w:cs="Calibri"/>
                <w:sz w:val="20"/>
                <w:szCs w:val="20"/>
              </w:rPr>
            </w:pPr>
          </w:p>
        </w:tc>
      </w:tr>
      <w:tr w:rsidR="00DF2657" w:rsidRPr="00351E73" w14:paraId="627C9F52" w14:textId="77777777" w:rsidTr="009D6779">
        <w:trPr>
          <w:trHeight w:val="255"/>
          <w:jc w:val="center"/>
        </w:trPr>
        <w:tc>
          <w:tcPr>
            <w:tcW w:w="0" w:type="auto"/>
            <w:tcBorders>
              <w:top w:val="nil"/>
              <w:left w:val="nil"/>
              <w:right w:val="nil"/>
            </w:tcBorders>
            <w:shd w:val="clear" w:color="auto" w:fill="auto"/>
            <w:noWrap/>
            <w:vAlign w:val="bottom"/>
          </w:tcPr>
          <w:p w14:paraId="2A4B7931"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Observations</w:t>
            </w:r>
          </w:p>
        </w:tc>
        <w:tc>
          <w:tcPr>
            <w:tcW w:w="0" w:type="auto"/>
            <w:tcBorders>
              <w:top w:val="nil"/>
              <w:left w:val="nil"/>
              <w:right w:val="nil"/>
            </w:tcBorders>
            <w:shd w:val="clear" w:color="auto" w:fill="auto"/>
            <w:noWrap/>
            <w:vAlign w:val="bottom"/>
          </w:tcPr>
          <w:p w14:paraId="2C75230B"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54,551</w:t>
            </w:r>
          </w:p>
        </w:tc>
        <w:tc>
          <w:tcPr>
            <w:tcW w:w="0" w:type="auto"/>
            <w:tcBorders>
              <w:top w:val="nil"/>
              <w:left w:val="nil"/>
              <w:right w:val="nil"/>
            </w:tcBorders>
            <w:shd w:val="clear" w:color="auto" w:fill="auto"/>
            <w:noWrap/>
            <w:vAlign w:val="bottom"/>
          </w:tcPr>
          <w:p w14:paraId="24CE3976"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48,869</w:t>
            </w:r>
          </w:p>
        </w:tc>
        <w:tc>
          <w:tcPr>
            <w:tcW w:w="0" w:type="auto"/>
            <w:tcBorders>
              <w:top w:val="nil"/>
              <w:left w:val="nil"/>
              <w:right w:val="nil"/>
            </w:tcBorders>
            <w:shd w:val="clear" w:color="auto" w:fill="auto"/>
            <w:noWrap/>
            <w:vAlign w:val="bottom"/>
          </w:tcPr>
          <w:p w14:paraId="167F1CE4"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42,532</w:t>
            </w:r>
          </w:p>
        </w:tc>
        <w:tc>
          <w:tcPr>
            <w:tcW w:w="0" w:type="auto"/>
            <w:tcBorders>
              <w:top w:val="nil"/>
              <w:left w:val="nil"/>
              <w:right w:val="nil"/>
            </w:tcBorders>
            <w:shd w:val="clear" w:color="auto" w:fill="auto"/>
            <w:noWrap/>
            <w:vAlign w:val="bottom"/>
          </w:tcPr>
          <w:p w14:paraId="25841313"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40,920</w:t>
            </w:r>
          </w:p>
        </w:tc>
        <w:tc>
          <w:tcPr>
            <w:tcW w:w="0" w:type="auto"/>
            <w:tcBorders>
              <w:top w:val="nil"/>
              <w:left w:val="nil"/>
              <w:right w:val="nil"/>
            </w:tcBorders>
            <w:shd w:val="clear" w:color="auto" w:fill="auto"/>
            <w:noWrap/>
            <w:vAlign w:val="bottom"/>
          </w:tcPr>
          <w:p w14:paraId="56DC74E0"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38,540</w:t>
            </w:r>
          </w:p>
        </w:tc>
      </w:tr>
      <w:tr w:rsidR="00DF2657" w:rsidRPr="00351E73" w14:paraId="2F90F42B"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tcPr>
          <w:p w14:paraId="61F906D8" w14:textId="77777777" w:rsidR="00DF2657" w:rsidRPr="00351E73" w:rsidRDefault="00DF2657"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R</w:t>
            </w:r>
            <w:r w:rsidRPr="00351E73">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tcPr>
          <w:p w14:paraId="2988888D"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0.08</w:t>
            </w:r>
          </w:p>
        </w:tc>
        <w:tc>
          <w:tcPr>
            <w:tcW w:w="0" w:type="auto"/>
            <w:tcBorders>
              <w:top w:val="nil"/>
              <w:left w:val="nil"/>
              <w:bottom w:val="single" w:sz="4" w:space="0" w:color="auto"/>
              <w:right w:val="nil"/>
            </w:tcBorders>
            <w:shd w:val="clear" w:color="auto" w:fill="auto"/>
            <w:noWrap/>
            <w:vAlign w:val="bottom"/>
          </w:tcPr>
          <w:p w14:paraId="75EB5B44"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0.159</w:t>
            </w:r>
          </w:p>
        </w:tc>
        <w:tc>
          <w:tcPr>
            <w:tcW w:w="0" w:type="auto"/>
            <w:tcBorders>
              <w:top w:val="nil"/>
              <w:left w:val="nil"/>
              <w:bottom w:val="single" w:sz="4" w:space="0" w:color="auto"/>
              <w:right w:val="nil"/>
            </w:tcBorders>
            <w:shd w:val="clear" w:color="auto" w:fill="auto"/>
            <w:noWrap/>
            <w:vAlign w:val="bottom"/>
          </w:tcPr>
          <w:p w14:paraId="61193BEF"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0.139</w:t>
            </w:r>
          </w:p>
        </w:tc>
        <w:tc>
          <w:tcPr>
            <w:tcW w:w="0" w:type="auto"/>
            <w:tcBorders>
              <w:top w:val="nil"/>
              <w:left w:val="nil"/>
              <w:bottom w:val="single" w:sz="4" w:space="0" w:color="auto"/>
              <w:right w:val="nil"/>
            </w:tcBorders>
            <w:shd w:val="clear" w:color="auto" w:fill="auto"/>
            <w:noWrap/>
            <w:vAlign w:val="bottom"/>
          </w:tcPr>
          <w:p w14:paraId="201D1FF6"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0.135</w:t>
            </w:r>
          </w:p>
        </w:tc>
        <w:tc>
          <w:tcPr>
            <w:tcW w:w="0" w:type="auto"/>
            <w:tcBorders>
              <w:top w:val="nil"/>
              <w:left w:val="nil"/>
              <w:bottom w:val="single" w:sz="4" w:space="0" w:color="auto"/>
              <w:right w:val="nil"/>
            </w:tcBorders>
            <w:shd w:val="clear" w:color="auto" w:fill="auto"/>
            <w:noWrap/>
            <w:vAlign w:val="bottom"/>
          </w:tcPr>
          <w:p w14:paraId="185FD592" w14:textId="77777777" w:rsidR="00DF2657" w:rsidRPr="00C72371" w:rsidRDefault="00DF2657"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0.141</w:t>
            </w:r>
          </w:p>
        </w:tc>
      </w:tr>
    </w:tbl>
    <w:p w14:paraId="66F3DCF3" w14:textId="77777777" w:rsidR="00626866" w:rsidRDefault="00626866" w:rsidP="00847A0D">
      <w:pPr>
        <w:spacing w:after="0"/>
        <w:contextualSpacing/>
      </w:pPr>
    </w:p>
    <w:p w14:paraId="3470537C" w14:textId="06752AFE" w:rsidR="003520CC" w:rsidRDefault="00847A0D" w:rsidP="003520CC">
      <w:pPr>
        <w:spacing w:after="0"/>
        <w:contextualSpacing/>
      </w:pPr>
      <w:r>
        <w:br w:type="page"/>
      </w:r>
      <w:r w:rsidR="003520CC">
        <w:rPr>
          <w:b/>
        </w:rPr>
        <w:lastRenderedPageBreak/>
        <w:t>Table A</w:t>
      </w:r>
      <w:r w:rsidR="00DC4756">
        <w:rPr>
          <w:b/>
        </w:rPr>
        <w:t>13</w:t>
      </w:r>
    </w:p>
    <w:p w14:paraId="543F8387" w14:textId="43E4340F" w:rsidR="003520CC" w:rsidRDefault="003520CC" w:rsidP="003520CC">
      <w:pPr>
        <w:contextualSpacing/>
      </w:pPr>
      <w:r>
        <w:t xml:space="preserve">Two-stage least squares regressions based on loan-level observations of first-lien, conventional, amortizing (non-balloon, non-interest only), fixed-rate mortgages for purchases of single-family residences or condominiums in Maryland and Virginia originated by nonbank originators between 2000 and 2015.  The sample is restricted to only subprime mortgages (defined as those originated to borrowers with a FICO score of 660 or less).  The sample is restricted to only mortgages originated by lenders that originated at least one mortgage before the policy change and at least one mortgage after the policy change (as in Table </w:t>
      </w:r>
      <w:r w:rsidR="005C7B9C">
        <w:t>A3</w:t>
      </w:r>
      <w:r>
        <w:t xml:space="preserve">).  </w:t>
      </w:r>
      <w:r w:rsidRPr="006A5966">
        <w:rPr>
          <w:i/>
        </w:rPr>
        <w:t>InitialRate</w:t>
      </w:r>
      <w:r>
        <w:t xml:space="preserve"> is the mortgage interest rate at origination.  </w:t>
      </w:r>
      <w:r w:rsidRPr="006A5966">
        <w:rPr>
          <w:i/>
        </w:rPr>
        <w:t>LTV</w:t>
      </w:r>
      <w:r>
        <w:t xml:space="preserve"> is the mortgage loan-to-value ratio at origination.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Pr="00EB01F8">
        <w:rPr>
          <w:i/>
        </w:rPr>
        <w:t>FICO</w:t>
      </w:r>
      <w:r>
        <w:t xml:space="preserve"> is the borrower’s FICO score at origination.  </w:t>
      </w:r>
      <w:r w:rsidRPr="006879D3">
        <w:rPr>
          <w:i/>
        </w:rPr>
        <w:t>RelLoanSize</w:t>
      </w:r>
      <w:r>
        <w:t xml:space="preserve"> is the loan amount at origination divided by the average loan amount for originations in the same vintage year and county.  </w:t>
      </w:r>
      <w:r w:rsidRPr="005339F7">
        <w:rPr>
          <w:i/>
        </w:rPr>
        <w:t>OwnerOcc</w:t>
      </w:r>
      <w:r>
        <w:t xml:space="preserve"> equals 1 if the mortgage is associated with an owner-occupied property, 0 otherwise.  </w:t>
      </w:r>
      <w:r w:rsidRPr="005339F7">
        <w:rPr>
          <w:i/>
        </w:rPr>
        <w:t>Term30</w:t>
      </w:r>
      <w:r>
        <w:t xml:space="preserve"> equals 1 if the mortgage has a thirty-year maturity and equals 0 if the mortgage has a fifteen-year maturity.  </w:t>
      </w:r>
      <w:r w:rsidRPr="005339F7">
        <w:rPr>
          <w:i/>
        </w:rPr>
        <w:t>Prime</w:t>
      </w:r>
      <w:r>
        <w:t xml:space="preserve"> is the monthly average bank prime lending rate at the time of origination from the Federal Reserve.  </w:t>
      </w:r>
      <w:r w:rsidRPr="00407E6D">
        <w:rPr>
          <w:i/>
        </w:rPr>
        <w:t>CensusAge15-34</w:t>
      </w:r>
      <w:r>
        <w:t xml:space="preserve"> is the percentage of residents in the borrower’s census tract between the ages of 15 and 34 years old.  </w:t>
      </w:r>
      <w:r w:rsidRPr="00407E6D">
        <w:rPr>
          <w:i/>
        </w:rPr>
        <w:t>Census</w:t>
      </w:r>
      <w:r w:rsidRPr="00562A33">
        <w:rPr>
          <w:i/>
        </w:rPr>
        <w:t>Age35-54</w:t>
      </w:r>
      <w:r>
        <w:t xml:space="preserve">, </w:t>
      </w:r>
      <w:r w:rsidRPr="00407E6D">
        <w:rPr>
          <w:i/>
        </w:rPr>
        <w:t>Census</w:t>
      </w:r>
      <w:r w:rsidRPr="00562A33">
        <w:rPr>
          <w:i/>
        </w:rPr>
        <w:t>Age55-69</w:t>
      </w:r>
      <w:r>
        <w:t xml:space="preserve">, and </w:t>
      </w:r>
      <w:r w:rsidRPr="00407E6D">
        <w:rPr>
          <w:i/>
        </w:rPr>
        <w:t>Census</w:t>
      </w:r>
      <w:r w:rsidRPr="00562A33">
        <w:rPr>
          <w:i/>
        </w:rPr>
        <w:t>Age70plus</w:t>
      </w:r>
      <w:r>
        <w:t xml:space="preserve"> are defined similarly for other age ranges.  </w:t>
      </w:r>
      <w:r w:rsidRPr="000520C4">
        <w:rPr>
          <w:i/>
        </w:rPr>
        <w:t>Value$1-$2</w:t>
      </w:r>
      <w:r>
        <w:t xml:space="preserve"> is the percentage of owner-occupied residences in the borrower’s census tract valued between $100,000 and $200,000.  </w:t>
      </w:r>
      <w:r w:rsidRPr="00562A33">
        <w:rPr>
          <w:i/>
        </w:rPr>
        <w:t>Value$2-$3</w:t>
      </w:r>
      <w:r>
        <w:t xml:space="preserve">, </w:t>
      </w:r>
      <w:r w:rsidRPr="00562A33">
        <w:rPr>
          <w:i/>
        </w:rPr>
        <w:t>Value$3-$5</w:t>
      </w:r>
      <w:r>
        <w:t xml:space="preserve">, and </w:t>
      </w:r>
      <w:r w:rsidRPr="00562A33">
        <w:rPr>
          <w:i/>
        </w:rPr>
        <w:t>Value$5plus</w:t>
      </w:r>
      <w:r>
        <w:t xml:space="preserve"> are defined similarly for other price ranges.  Vintage year indicators and a constant term are included in each specification.  Standard errors appear in parentheses</w:t>
      </w:r>
      <w:r w:rsidRPr="00957138">
        <w:t xml:space="preserve">.  </w:t>
      </w:r>
      <w:r>
        <w:t>Levels of significance are indicated by *, **, and *** for 10%, 5%, and 1%, respectively.</w:t>
      </w:r>
    </w:p>
    <w:p w14:paraId="23A5B6D3" w14:textId="77777777" w:rsidR="003520CC" w:rsidRDefault="003520CC" w:rsidP="003520CC">
      <w:pPr>
        <w:spacing w:after="0"/>
        <w:contextualSpacing/>
      </w:pPr>
    </w:p>
    <w:tbl>
      <w:tblPr>
        <w:tblW w:w="0" w:type="auto"/>
        <w:jc w:val="center"/>
        <w:tblLook w:val="04A0" w:firstRow="1" w:lastRow="0" w:firstColumn="1" w:lastColumn="0" w:noHBand="0" w:noVBand="1"/>
      </w:tblPr>
      <w:tblGrid>
        <w:gridCol w:w="1624"/>
        <w:gridCol w:w="262"/>
        <w:gridCol w:w="1134"/>
        <w:gridCol w:w="1134"/>
        <w:gridCol w:w="1134"/>
        <w:gridCol w:w="262"/>
        <w:gridCol w:w="1033"/>
        <w:gridCol w:w="1033"/>
        <w:gridCol w:w="1033"/>
      </w:tblGrid>
      <w:tr w:rsidR="00626866" w:rsidRPr="00351E73" w14:paraId="58E807DE" w14:textId="77777777" w:rsidTr="00E775FA">
        <w:trPr>
          <w:trHeight w:val="255"/>
          <w:jc w:val="center"/>
        </w:trPr>
        <w:tc>
          <w:tcPr>
            <w:tcW w:w="0" w:type="auto"/>
            <w:tcBorders>
              <w:top w:val="single" w:sz="4" w:space="0" w:color="auto"/>
              <w:left w:val="nil"/>
              <w:bottom w:val="nil"/>
              <w:right w:val="nil"/>
            </w:tcBorders>
            <w:shd w:val="clear" w:color="auto" w:fill="auto"/>
            <w:noWrap/>
            <w:vAlign w:val="bottom"/>
            <w:hideMark/>
          </w:tcPr>
          <w:p w14:paraId="27637BE5"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single" w:sz="4" w:space="0" w:color="auto"/>
              <w:left w:val="nil"/>
              <w:bottom w:val="nil"/>
              <w:right w:val="nil"/>
            </w:tcBorders>
            <w:shd w:val="clear" w:color="auto" w:fill="auto"/>
            <w:noWrap/>
            <w:vAlign w:val="bottom"/>
            <w:hideMark/>
          </w:tcPr>
          <w:p w14:paraId="2E94BF5B"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gridSpan w:val="3"/>
            <w:tcBorders>
              <w:top w:val="single" w:sz="4" w:space="0" w:color="auto"/>
              <w:left w:val="nil"/>
              <w:right w:val="nil"/>
            </w:tcBorders>
            <w:shd w:val="clear" w:color="auto" w:fill="auto"/>
            <w:noWrap/>
            <w:vAlign w:val="bottom"/>
            <w:hideMark/>
          </w:tcPr>
          <w:p w14:paraId="1B7DE49F" w14:textId="77777777" w:rsidR="00626866" w:rsidRPr="00351E73" w:rsidRDefault="00626866" w:rsidP="009D6779">
            <w:pPr>
              <w:spacing w:after="0" w:line="240" w:lineRule="auto"/>
              <w:contextualSpacing/>
              <w:jc w:val="center"/>
              <w:rPr>
                <w:rFonts w:ascii="Calibri" w:eastAsia="Times New Roman" w:hAnsi="Calibri" w:cs="Calibri"/>
              </w:rPr>
            </w:pPr>
            <w:r w:rsidRPr="00351E73">
              <w:rPr>
                <w:rFonts w:ascii="Calibri" w:eastAsia="Times New Roman" w:hAnsi="Calibri" w:cs="Calibri"/>
              </w:rPr>
              <w:t xml:space="preserve">Dependent variable: </w:t>
            </w:r>
            <w:r w:rsidRPr="004961A2">
              <w:rPr>
                <w:rFonts w:ascii="Calibri" w:eastAsia="Times New Roman" w:hAnsi="Calibri" w:cs="Calibri"/>
                <w:i/>
              </w:rPr>
              <w:t>InitialRate</w:t>
            </w:r>
          </w:p>
        </w:tc>
        <w:tc>
          <w:tcPr>
            <w:tcW w:w="0" w:type="auto"/>
            <w:tcBorders>
              <w:top w:val="single" w:sz="4" w:space="0" w:color="auto"/>
              <w:left w:val="nil"/>
              <w:bottom w:val="nil"/>
              <w:right w:val="nil"/>
            </w:tcBorders>
            <w:shd w:val="clear" w:color="auto" w:fill="auto"/>
            <w:noWrap/>
            <w:vAlign w:val="bottom"/>
            <w:hideMark/>
          </w:tcPr>
          <w:p w14:paraId="47B86414"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gridSpan w:val="3"/>
            <w:tcBorders>
              <w:top w:val="single" w:sz="4" w:space="0" w:color="auto"/>
              <w:left w:val="nil"/>
              <w:right w:val="nil"/>
            </w:tcBorders>
            <w:shd w:val="clear" w:color="auto" w:fill="auto"/>
            <w:noWrap/>
            <w:vAlign w:val="bottom"/>
            <w:hideMark/>
          </w:tcPr>
          <w:p w14:paraId="07E43593" w14:textId="77777777" w:rsidR="00626866" w:rsidRPr="00351E73" w:rsidRDefault="00626866" w:rsidP="009D6779">
            <w:pPr>
              <w:spacing w:after="0" w:line="240" w:lineRule="auto"/>
              <w:contextualSpacing/>
              <w:jc w:val="center"/>
              <w:rPr>
                <w:rFonts w:ascii="Calibri" w:eastAsia="Times New Roman" w:hAnsi="Calibri" w:cs="Calibri"/>
              </w:rPr>
            </w:pPr>
            <w:r w:rsidRPr="00351E73">
              <w:rPr>
                <w:rFonts w:ascii="Calibri" w:eastAsia="Times New Roman" w:hAnsi="Calibri" w:cs="Calibri"/>
              </w:rPr>
              <w:t xml:space="preserve">Dependent variable: </w:t>
            </w:r>
            <w:r w:rsidRPr="004961A2">
              <w:rPr>
                <w:rFonts w:ascii="Calibri" w:eastAsia="Times New Roman" w:hAnsi="Calibri" w:cs="Calibri"/>
                <w:i/>
              </w:rPr>
              <w:t>LTV</w:t>
            </w:r>
          </w:p>
        </w:tc>
      </w:tr>
      <w:tr w:rsidR="00626866" w:rsidRPr="00351E73" w14:paraId="6C8FCE1A" w14:textId="77777777" w:rsidTr="00E775FA">
        <w:trPr>
          <w:trHeight w:val="255"/>
          <w:jc w:val="center"/>
        </w:trPr>
        <w:tc>
          <w:tcPr>
            <w:tcW w:w="0" w:type="auto"/>
            <w:tcBorders>
              <w:top w:val="nil"/>
              <w:left w:val="nil"/>
              <w:bottom w:val="single" w:sz="4" w:space="0" w:color="auto"/>
              <w:right w:val="nil"/>
            </w:tcBorders>
            <w:shd w:val="clear" w:color="auto" w:fill="auto"/>
            <w:noWrap/>
            <w:vAlign w:val="bottom"/>
            <w:hideMark/>
          </w:tcPr>
          <w:p w14:paraId="5882A3B8"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26CF9C0B"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hideMark/>
          </w:tcPr>
          <w:p w14:paraId="05A20F71"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center"/>
            <w:hideMark/>
          </w:tcPr>
          <w:p w14:paraId="3537136E"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center"/>
            <w:hideMark/>
          </w:tcPr>
          <w:p w14:paraId="1CF13157"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(3)</w:t>
            </w:r>
          </w:p>
        </w:tc>
        <w:tc>
          <w:tcPr>
            <w:tcW w:w="0" w:type="auto"/>
            <w:tcBorders>
              <w:top w:val="nil"/>
              <w:left w:val="nil"/>
              <w:bottom w:val="nil"/>
              <w:right w:val="nil"/>
            </w:tcBorders>
            <w:shd w:val="clear" w:color="auto" w:fill="auto"/>
            <w:noWrap/>
            <w:vAlign w:val="center"/>
            <w:hideMark/>
          </w:tcPr>
          <w:p w14:paraId="6BFE89EE"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center"/>
            <w:hideMark/>
          </w:tcPr>
          <w:p w14:paraId="1EFE5990"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(4)</w:t>
            </w:r>
          </w:p>
        </w:tc>
        <w:tc>
          <w:tcPr>
            <w:tcW w:w="0" w:type="auto"/>
            <w:tcBorders>
              <w:top w:val="nil"/>
              <w:left w:val="nil"/>
              <w:bottom w:val="single" w:sz="4" w:space="0" w:color="auto"/>
              <w:right w:val="nil"/>
            </w:tcBorders>
            <w:shd w:val="clear" w:color="auto" w:fill="auto"/>
            <w:noWrap/>
            <w:vAlign w:val="center"/>
            <w:hideMark/>
          </w:tcPr>
          <w:p w14:paraId="1EBEA495"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(5)</w:t>
            </w:r>
          </w:p>
        </w:tc>
        <w:tc>
          <w:tcPr>
            <w:tcW w:w="0" w:type="auto"/>
            <w:tcBorders>
              <w:top w:val="nil"/>
              <w:left w:val="nil"/>
              <w:bottom w:val="single" w:sz="4" w:space="0" w:color="auto"/>
              <w:right w:val="nil"/>
            </w:tcBorders>
            <w:shd w:val="clear" w:color="auto" w:fill="auto"/>
            <w:noWrap/>
            <w:vAlign w:val="center"/>
            <w:hideMark/>
          </w:tcPr>
          <w:p w14:paraId="12BCB59C" w14:textId="77777777" w:rsidR="00626866" w:rsidRPr="00351E73" w:rsidRDefault="00626866"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(6)</w:t>
            </w:r>
          </w:p>
        </w:tc>
      </w:tr>
      <w:tr w:rsidR="00207A8E" w:rsidRPr="00351E73" w14:paraId="303CD4F1" w14:textId="77777777" w:rsidTr="00E775FA">
        <w:trPr>
          <w:trHeight w:val="255"/>
          <w:jc w:val="center"/>
        </w:trPr>
        <w:tc>
          <w:tcPr>
            <w:tcW w:w="0" w:type="auto"/>
            <w:tcBorders>
              <w:top w:val="single" w:sz="4" w:space="0" w:color="auto"/>
              <w:left w:val="nil"/>
              <w:bottom w:val="nil"/>
              <w:right w:val="nil"/>
            </w:tcBorders>
            <w:shd w:val="clear" w:color="auto" w:fill="auto"/>
            <w:noWrap/>
            <w:vAlign w:val="bottom"/>
            <w:hideMark/>
          </w:tcPr>
          <w:p w14:paraId="63E2B0A2"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nil"/>
              <w:left w:val="nil"/>
              <w:bottom w:val="nil"/>
              <w:right w:val="nil"/>
            </w:tcBorders>
            <w:shd w:val="clear" w:color="auto" w:fill="auto"/>
            <w:noWrap/>
            <w:vAlign w:val="bottom"/>
            <w:hideMark/>
          </w:tcPr>
          <w:p w14:paraId="0A9F13FE"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single" w:sz="4" w:space="0" w:color="auto"/>
              <w:left w:val="nil"/>
              <w:bottom w:val="nil"/>
              <w:right w:val="nil"/>
            </w:tcBorders>
            <w:shd w:val="clear" w:color="auto" w:fill="auto"/>
            <w:noWrap/>
            <w:vAlign w:val="bottom"/>
          </w:tcPr>
          <w:p w14:paraId="13CEA24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single" w:sz="4" w:space="0" w:color="auto"/>
              <w:left w:val="nil"/>
              <w:bottom w:val="nil"/>
              <w:right w:val="nil"/>
            </w:tcBorders>
            <w:shd w:val="clear" w:color="auto" w:fill="auto"/>
            <w:noWrap/>
            <w:vAlign w:val="bottom"/>
          </w:tcPr>
          <w:p w14:paraId="7934880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-.0874***</w:t>
            </w:r>
          </w:p>
        </w:tc>
        <w:tc>
          <w:tcPr>
            <w:tcW w:w="0" w:type="auto"/>
            <w:tcBorders>
              <w:top w:val="single" w:sz="4" w:space="0" w:color="auto"/>
              <w:left w:val="nil"/>
              <w:bottom w:val="nil"/>
              <w:right w:val="nil"/>
            </w:tcBorders>
            <w:shd w:val="clear" w:color="auto" w:fill="auto"/>
            <w:noWrap/>
            <w:vAlign w:val="bottom"/>
          </w:tcPr>
          <w:p w14:paraId="6F539FFA"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-.125***</w:t>
            </w:r>
          </w:p>
        </w:tc>
        <w:tc>
          <w:tcPr>
            <w:tcW w:w="0" w:type="auto"/>
            <w:tcBorders>
              <w:top w:val="nil"/>
              <w:left w:val="nil"/>
              <w:bottom w:val="nil"/>
              <w:right w:val="nil"/>
            </w:tcBorders>
            <w:shd w:val="clear" w:color="auto" w:fill="auto"/>
            <w:noWrap/>
            <w:vAlign w:val="bottom"/>
          </w:tcPr>
          <w:p w14:paraId="762D2A6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DC1E4D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274604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-1.959***</w:t>
            </w:r>
          </w:p>
        </w:tc>
        <w:tc>
          <w:tcPr>
            <w:tcW w:w="0" w:type="auto"/>
            <w:tcBorders>
              <w:top w:val="nil"/>
              <w:left w:val="nil"/>
              <w:bottom w:val="nil"/>
              <w:right w:val="nil"/>
            </w:tcBorders>
            <w:shd w:val="clear" w:color="auto" w:fill="auto"/>
            <w:noWrap/>
            <w:vAlign w:val="bottom"/>
          </w:tcPr>
          <w:p w14:paraId="559E2D4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-1.45</w:t>
            </w:r>
            <w:r w:rsidR="00E61DBF">
              <w:rPr>
                <w:rFonts w:ascii="Calibri" w:hAnsi="Calibri" w:cs="Calibri"/>
                <w:sz w:val="20"/>
                <w:szCs w:val="20"/>
              </w:rPr>
              <w:t>0</w:t>
            </w:r>
            <w:r>
              <w:rPr>
                <w:rFonts w:ascii="Calibri" w:hAnsi="Calibri" w:cs="Calibri"/>
                <w:sz w:val="20"/>
                <w:szCs w:val="20"/>
              </w:rPr>
              <w:t>***</w:t>
            </w:r>
          </w:p>
        </w:tc>
      </w:tr>
      <w:tr w:rsidR="00207A8E" w:rsidRPr="00351E73" w14:paraId="66DC2020"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28C1DF98"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30AB8CFB"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04C4CF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A31095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(.0149)</w:t>
            </w:r>
          </w:p>
        </w:tc>
        <w:tc>
          <w:tcPr>
            <w:tcW w:w="0" w:type="auto"/>
            <w:tcBorders>
              <w:top w:val="nil"/>
              <w:left w:val="nil"/>
              <w:bottom w:val="nil"/>
              <w:right w:val="nil"/>
            </w:tcBorders>
            <w:shd w:val="clear" w:color="auto" w:fill="auto"/>
            <w:noWrap/>
            <w:vAlign w:val="bottom"/>
          </w:tcPr>
          <w:p w14:paraId="563FA97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(.0156)</w:t>
            </w:r>
          </w:p>
        </w:tc>
        <w:tc>
          <w:tcPr>
            <w:tcW w:w="0" w:type="auto"/>
            <w:tcBorders>
              <w:top w:val="nil"/>
              <w:left w:val="nil"/>
              <w:bottom w:val="nil"/>
              <w:right w:val="nil"/>
            </w:tcBorders>
            <w:shd w:val="clear" w:color="auto" w:fill="auto"/>
            <w:noWrap/>
            <w:vAlign w:val="bottom"/>
          </w:tcPr>
          <w:p w14:paraId="63542A4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EE75BB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CB60E2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(.446)</w:t>
            </w:r>
          </w:p>
        </w:tc>
        <w:tc>
          <w:tcPr>
            <w:tcW w:w="0" w:type="auto"/>
            <w:tcBorders>
              <w:top w:val="nil"/>
              <w:left w:val="nil"/>
              <w:bottom w:val="nil"/>
              <w:right w:val="nil"/>
            </w:tcBorders>
            <w:shd w:val="clear" w:color="auto" w:fill="auto"/>
            <w:noWrap/>
            <w:vAlign w:val="bottom"/>
          </w:tcPr>
          <w:p w14:paraId="6F49375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(.502)</w:t>
            </w:r>
          </w:p>
        </w:tc>
      </w:tr>
      <w:tr w:rsidR="00207A8E" w:rsidRPr="00351E73" w14:paraId="7F1645D6"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25C955A7"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hideMark/>
          </w:tcPr>
          <w:p w14:paraId="37E79BF8"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B574AB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ED93AB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.491***</w:t>
            </w:r>
          </w:p>
        </w:tc>
        <w:tc>
          <w:tcPr>
            <w:tcW w:w="0" w:type="auto"/>
            <w:tcBorders>
              <w:top w:val="nil"/>
              <w:left w:val="nil"/>
              <w:bottom w:val="nil"/>
              <w:right w:val="nil"/>
            </w:tcBorders>
            <w:shd w:val="clear" w:color="auto" w:fill="auto"/>
            <w:noWrap/>
            <w:vAlign w:val="bottom"/>
          </w:tcPr>
          <w:p w14:paraId="1EAE9D8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.42</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BDF1C0A"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943821A"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DE2EA7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-18.54***</w:t>
            </w:r>
          </w:p>
        </w:tc>
        <w:tc>
          <w:tcPr>
            <w:tcW w:w="0" w:type="auto"/>
            <w:tcBorders>
              <w:top w:val="nil"/>
              <w:left w:val="nil"/>
              <w:bottom w:val="nil"/>
              <w:right w:val="nil"/>
            </w:tcBorders>
            <w:shd w:val="clear" w:color="auto" w:fill="auto"/>
            <w:noWrap/>
            <w:vAlign w:val="bottom"/>
          </w:tcPr>
          <w:p w14:paraId="254910C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-17.43***</w:t>
            </w:r>
          </w:p>
        </w:tc>
      </w:tr>
      <w:tr w:rsidR="00207A8E" w:rsidRPr="00351E73" w14:paraId="28B20EB2"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48219E2"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5E279F62"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11A59D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AF5E59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(.111)</w:t>
            </w:r>
          </w:p>
        </w:tc>
        <w:tc>
          <w:tcPr>
            <w:tcW w:w="0" w:type="auto"/>
            <w:tcBorders>
              <w:top w:val="nil"/>
              <w:left w:val="nil"/>
              <w:bottom w:val="nil"/>
              <w:right w:val="nil"/>
            </w:tcBorders>
            <w:shd w:val="clear" w:color="auto" w:fill="auto"/>
            <w:noWrap/>
            <w:vAlign w:val="bottom"/>
          </w:tcPr>
          <w:p w14:paraId="2675090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(.111)</w:t>
            </w:r>
          </w:p>
        </w:tc>
        <w:tc>
          <w:tcPr>
            <w:tcW w:w="0" w:type="auto"/>
            <w:tcBorders>
              <w:top w:val="nil"/>
              <w:left w:val="nil"/>
              <w:bottom w:val="nil"/>
              <w:right w:val="nil"/>
            </w:tcBorders>
            <w:shd w:val="clear" w:color="auto" w:fill="auto"/>
            <w:noWrap/>
            <w:vAlign w:val="bottom"/>
          </w:tcPr>
          <w:p w14:paraId="72E8161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CA4C50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8267E0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(2.353)</w:t>
            </w:r>
          </w:p>
        </w:tc>
        <w:tc>
          <w:tcPr>
            <w:tcW w:w="0" w:type="auto"/>
            <w:tcBorders>
              <w:top w:val="nil"/>
              <w:left w:val="nil"/>
              <w:bottom w:val="nil"/>
              <w:right w:val="nil"/>
            </w:tcBorders>
            <w:shd w:val="clear" w:color="auto" w:fill="auto"/>
            <w:noWrap/>
            <w:vAlign w:val="bottom"/>
          </w:tcPr>
          <w:p w14:paraId="27BD6AA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(2.355)</w:t>
            </w:r>
          </w:p>
        </w:tc>
      </w:tr>
      <w:tr w:rsidR="00207A8E" w:rsidRPr="00351E73" w14:paraId="3C031045"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51EA7DB5"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hideMark/>
          </w:tcPr>
          <w:p w14:paraId="2BE567B1"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AC7AA1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8D54EC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A3C365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.364***</w:t>
            </w:r>
          </w:p>
        </w:tc>
        <w:tc>
          <w:tcPr>
            <w:tcW w:w="0" w:type="auto"/>
            <w:tcBorders>
              <w:top w:val="nil"/>
              <w:left w:val="nil"/>
              <w:bottom w:val="nil"/>
              <w:right w:val="nil"/>
            </w:tcBorders>
            <w:shd w:val="clear" w:color="auto" w:fill="auto"/>
            <w:noWrap/>
            <w:vAlign w:val="bottom"/>
          </w:tcPr>
          <w:p w14:paraId="62FE29E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B99A15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FD0339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1581AA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-5.023***</w:t>
            </w:r>
          </w:p>
        </w:tc>
      </w:tr>
      <w:tr w:rsidR="00207A8E" w:rsidRPr="00351E73" w14:paraId="327E7EEE"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5C940939"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3632A799"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05474E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31546A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243C60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(.0486)</w:t>
            </w:r>
          </w:p>
        </w:tc>
        <w:tc>
          <w:tcPr>
            <w:tcW w:w="0" w:type="auto"/>
            <w:tcBorders>
              <w:top w:val="nil"/>
              <w:left w:val="nil"/>
              <w:bottom w:val="nil"/>
              <w:right w:val="nil"/>
            </w:tcBorders>
            <w:shd w:val="clear" w:color="auto" w:fill="auto"/>
            <w:noWrap/>
            <w:vAlign w:val="bottom"/>
          </w:tcPr>
          <w:p w14:paraId="2D122E6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D8AF01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62AB2C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F1923C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(1.205)</w:t>
            </w:r>
          </w:p>
        </w:tc>
      </w:tr>
      <w:tr w:rsidR="00207A8E" w:rsidRPr="00351E73" w14:paraId="4F473634"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9D85132"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LTV</w:t>
            </w:r>
          </w:p>
        </w:tc>
        <w:tc>
          <w:tcPr>
            <w:tcW w:w="0" w:type="auto"/>
            <w:tcBorders>
              <w:top w:val="nil"/>
              <w:left w:val="nil"/>
              <w:bottom w:val="nil"/>
              <w:right w:val="nil"/>
            </w:tcBorders>
            <w:shd w:val="clear" w:color="auto" w:fill="auto"/>
            <w:noWrap/>
            <w:vAlign w:val="bottom"/>
            <w:hideMark/>
          </w:tcPr>
          <w:p w14:paraId="3AAFB1BF"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142CA4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.0212***</w:t>
            </w:r>
          </w:p>
        </w:tc>
        <w:tc>
          <w:tcPr>
            <w:tcW w:w="0" w:type="auto"/>
            <w:tcBorders>
              <w:top w:val="nil"/>
              <w:left w:val="nil"/>
              <w:bottom w:val="nil"/>
              <w:right w:val="nil"/>
            </w:tcBorders>
            <w:shd w:val="clear" w:color="auto" w:fill="auto"/>
            <w:noWrap/>
            <w:vAlign w:val="bottom"/>
          </w:tcPr>
          <w:p w14:paraId="7A56A9C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.0215***</w:t>
            </w:r>
          </w:p>
        </w:tc>
        <w:tc>
          <w:tcPr>
            <w:tcW w:w="0" w:type="auto"/>
            <w:tcBorders>
              <w:top w:val="nil"/>
              <w:left w:val="nil"/>
              <w:bottom w:val="nil"/>
              <w:right w:val="nil"/>
            </w:tcBorders>
            <w:shd w:val="clear" w:color="auto" w:fill="auto"/>
            <w:noWrap/>
            <w:vAlign w:val="bottom"/>
          </w:tcPr>
          <w:p w14:paraId="69BB588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.0219***</w:t>
            </w:r>
          </w:p>
        </w:tc>
        <w:tc>
          <w:tcPr>
            <w:tcW w:w="0" w:type="auto"/>
            <w:tcBorders>
              <w:top w:val="nil"/>
              <w:left w:val="nil"/>
              <w:bottom w:val="nil"/>
              <w:right w:val="nil"/>
            </w:tcBorders>
            <w:shd w:val="clear" w:color="auto" w:fill="auto"/>
            <w:noWrap/>
            <w:vAlign w:val="bottom"/>
          </w:tcPr>
          <w:p w14:paraId="533F614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18473E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1604AB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61E9BAE" w14:textId="77777777" w:rsidR="00207A8E" w:rsidRPr="00C72371" w:rsidRDefault="00207A8E" w:rsidP="009D6779">
            <w:pPr>
              <w:spacing w:after="0" w:line="240" w:lineRule="auto"/>
              <w:contextualSpacing/>
              <w:jc w:val="center"/>
              <w:rPr>
                <w:rFonts w:ascii="Times New Roman" w:eastAsia="Times New Roman" w:hAnsi="Times New Roman" w:cs="Times New Roman"/>
                <w:sz w:val="20"/>
                <w:szCs w:val="20"/>
              </w:rPr>
            </w:pPr>
          </w:p>
        </w:tc>
      </w:tr>
      <w:tr w:rsidR="00207A8E" w:rsidRPr="00351E73" w14:paraId="4AFDD19D"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9F75A7B"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2157089D"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2F2201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(.00158)</w:t>
            </w:r>
          </w:p>
        </w:tc>
        <w:tc>
          <w:tcPr>
            <w:tcW w:w="0" w:type="auto"/>
            <w:tcBorders>
              <w:top w:val="nil"/>
              <w:left w:val="nil"/>
              <w:bottom w:val="nil"/>
              <w:right w:val="nil"/>
            </w:tcBorders>
            <w:shd w:val="clear" w:color="auto" w:fill="auto"/>
            <w:noWrap/>
            <w:vAlign w:val="bottom"/>
          </w:tcPr>
          <w:p w14:paraId="3DC6D16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(.00158)</w:t>
            </w:r>
          </w:p>
        </w:tc>
        <w:tc>
          <w:tcPr>
            <w:tcW w:w="0" w:type="auto"/>
            <w:tcBorders>
              <w:top w:val="nil"/>
              <w:left w:val="nil"/>
              <w:bottom w:val="nil"/>
              <w:right w:val="nil"/>
            </w:tcBorders>
            <w:shd w:val="clear" w:color="auto" w:fill="auto"/>
            <w:noWrap/>
            <w:vAlign w:val="bottom"/>
          </w:tcPr>
          <w:p w14:paraId="0F5C203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(.00159)</w:t>
            </w:r>
          </w:p>
        </w:tc>
        <w:tc>
          <w:tcPr>
            <w:tcW w:w="0" w:type="auto"/>
            <w:tcBorders>
              <w:top w:val="nil"/>
              <w:left w:val="nil"/>
              <w:bottom w:val="nil"/>
              <w:right w:val="nil"/>
            </w:tcBorders>
            <w:shd w:val="clear" w:color="auto" w:fill="auto"/>
            <w:noWrap/>
            <w:vAlign w:val="bottom"/>
          </w:tcPr>
          <w:p w14:paraId="5C4D39A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9AA44D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41FBF4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0F9D219" w14:textId="77777777" w:rsidR="00207A8E" w:rsidRPr="00C72371" w:rsidRDefault="00207A8E" w:rsidP="009D6779">
            <w:pPr>
              <w:spacing w:after="0" w:line="240" w:lineRule="auto"/>
              <w:contextualSpacing/>
              <w:jc w:val="center"/>
              <w:rPr>
                <w:rFonts w:ascii="Times New Roman" w:eastAsia="Times New Roman" w:hAnsi="Times New Roman" w:cs="Times New Roman"/>
                <w:sz w:val="20"/>
                <w:szCs w:val="20"/>
              </w:rPr>
            </w:pPr>
          </w:p>
        </w:tc>
      </w:tr>
      <w:tr w:rsidR="00207A8E" w:rsidRPr="00351E73" w14:paraId="3496E896"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65F4749"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InitialRate</w:t>
            </w:r>
          </w:p>
        </w:tc>
        <w:tc>
          <w:tcPr>
            <w:tcW w:w="0" w:type="auto"/>
            <w:tcBorders>
              <w:top w:val="nil"/>
              <w:left w:val="nil"/>
              <w:bottom w:val="nil"/>
              <w:right w:val="nil"/>
            </w:tcBorders>
            <w:shd w:val="clear" w:color="auto" w:fill="auto"/>
            <w:noWrap/>
            <w:vAlign w:val="bottom"/>
            <w:hideMark/>
          </w:tcPr>
          <w:p w14:paraId="103E676E"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512AB5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8452F2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12DFA1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BE08DB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0A8756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-1.052</w:t>
            </w:r>
          </w:p>
        </w:tc>
        <w:tc>
          <w:tcPr>
            <w:tcW w:w="0" w:type="auto"/>
            <w:tcBorders>
              <w:top w:val="nil"/>
              <w:left w:val="nil"/>
              <w:bottom w:val="nil"/>
              <w:right w:val="nil"/>
            </w:tcBorders>
            <w:shd w:val="clear" w:color="auto" w:fill="auto"/>
            <w:noWrap/>
            <w:vAlign w:val="bottom"/>
          </w:tcPr>
          <w:p w14:paraId="39ACA97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w:t>
            </w:r>
            <w:r w:rsidR="00E61DBF">
              <w:rPr>
                <w:rFonts w:ascii="Calibri" w:hAnsi="Calibri" w:cs="Calibri"/>
                <w:sz w:val="20"/>
                <w:szCs w:val="20"/>
              </w:rPr>
              <w:t>0</w:t>
            </w:r>
          </w:p>
        </w:tc>
        <w:tc>
          <w:tcPr>
            <w:tcW w:w="0" w:type="auto"/>
            <w:tcBorders>
              <w:top w:val="nil"/>
              <w:left w:val="nil"/>
              <w:bottom w:val="nil"/>
              <w:right w:val="nil"/>
            </w:tcBorders>
            <w:shd w:val="clear" w:color="auto" w:fill="auto"/>
            <w:noWrap/>
            <w:vAlign w:val="bottom"/>
          </w:tcPr>
          <w:p w14:paraId="2FED104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-.54</w:t>
            </w:r>
            <w:r w:rsidR="00E61DBF">
              <w:rPr>
                <w:rFonts w:ascii="Calibri" w:hAnsi="Calibri" w:cs="Calibri"/>
                <w:sz w:val="20"/>
                <w:szCs w:val="20"/>
              </w:rPr>
              <w:t>0</w:t>
            </w:r>
          </w:p>
        </w:tc>
      </w:tr>
      <w:tr w:rsidR="00207A8E" w:rsidRPr="00351E73" w14:paraId="1DD72F58"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C658614"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7DD580F5"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2C1331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8D1A50A"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DB5468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E5E937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D4CE6F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(2.62</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A4599A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(2.49</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5B24622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(2.471)</w:t>
            </w:r>
          </w:p>
        </w:tc>
      </w:tr>
      <w:tr w:rsidR="00207A8E" w:rsidRPr="00351E73" w14:paraId="05F80E13"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633FF206"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hideMark/>
          </w:tcPr>
          <w:p w14:paraId="2734ACB8"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AD2CED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-.0064</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4559FD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-.00632***</w:t>
            </w:r>
          </w:p>
        </w:tc>
        <w:tc>
          <w:tcPr>
            <w:tcW w:w="0" w:type="auto"/>
            <w:tcBorders>
              <w:top w:val="nil"/>
              <w:left w:val="nil"/>
              <w:bottom w:val="nil"/>
              <w:right w:val="nil"/>
            </w:tcBorders>
            <w:shd w:val="clear" w:color="auto" w:fill="auto"/>
            <w:noWrap/>
            <w:vAlign w:val="bottom"/>
          </w:tcPr>
          <w:p w14:paraId="13E2BD0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-.00629***</w:t>
            </w:r>
          </w:p>
        </w:tc>
        <w:tc>
          <w:tcPr>
            <w:tcW w:w="0" w:type="auto"/>
            <w:tcBorders>
              <w:top w:val="nil"/>
              <w:left w:val="nil"/>
              <w:bottom w:val="nil"/>
              <w:right w:val="nil"/>
            </w:tcBorders>
            <w:shd w:val="clear" w:color="auto" w:fill="auto"/>
            <w:noWrap/>
            <w:vAlign w:val="bottom"/>
          </w:tcPr>
          <w:p w14:paraId="7C79690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8C0704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.0141</w:t>
            </w:r>
          </w:p>
        </w:tc>
        <w:tc>
          <w:tcPr>
            <w:tcW w:w="0" w:type="auto"/>
            <w:tcBorders>
              <w:top w:val="nil"/>
              <w:left w:val="nil"/>
              <w:bottom w:val="nil"/>
              <w:right w:val="nil"/>
            </w:tcBorders>
            <w:shd w:val="clear" w:color="auto" w:fill="auto"/>
            <w:noWrap/>
            <w:vAlign w:val="bottom"/>
          </w:tcPr>
          <w:p w14:paraId="699FB87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.0205</w:t>
            </w:r>
          </w:p>
        </w:tc>
        <w:tc>
          <w:tcPr>
            <w:tcW w:w="0" w:type="auto"/>
            <w:tcBorders>
              <w:top w:val="nil"/>
              <w:left w:val="nil"/>
              <w:bottom w:val="nil"/>
              <w:right w:val="nil"/>
            </w:tcBorders>
            <w:shd w:val="clear" w:color="auto" w:fill="auto"/>
            <w:noWrap/>
            <w:vAlign w:val="bottom"/>
          </w:tcPr>
          <w:p w14:paraId="2F73BBCA"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.0191</w:t>
            </w:r>
          </w:p>
        </w:tc>
      </w:tr>
      <w:tr w:rsidR="00207A8E" w:rsidRPr="00351E73" w14:paraId="27528934"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840B2A4"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0511F8DA"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D846A4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(.000249)</w:t>
            </w:r>
          </w:p>
        </w:tc>
        <w:tc>
          <w:tcPr>
            <w:tcW w:w="0" w:type="auto"/>
            <w:tcBorders>
              <w:top w:val="nil"/>
              <w:left w:val="nil"/>
              <w:bottom w:val="nil"/>
              <w:right w:val="nil"/>
            </w:tcBorders>
            <w:shd w:val="clear" w:color="auto" w:fill="auto"/>
            <w:noWrap/>
            <w:vAlign w:val="bottom"/>
          </w:tcPr>
          <w:p w14:paraId="7BEF2B7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(.000249)</w:t>
            </w:r>
          </w:p>
        </w:tc>
        <w:tc>
          <w:tcPr>
            <w:tcW w:w="0" w:type="auto"/>
            <w:tcBorders>
              <w:top w:val="nil"/>
              <w:left w:val="nil"/>
              <w:bottom w:val="nil"/>
              <w:right w:val="nil"/>
            </w:tcBorders>
            <w:shd w:val="clear" w:color="auto" w:fill="auto"/>
            <w:noWrap/>
            <w:vAlign w:val="bottom"/>
          </w:tcPr>
          <w:p w14:paraId="216475F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(.000249)</w:t>
            </w:r>
          </w:p>
        </w:tc>
        <w:tc>
          <w:tcPr>
            <w:tcW w:w="0" w:type="auto"/>
            <w:tcBorders>
              <w:top w:val="nil"/>
              <w:left w:val="nil"/>
              <w:bottom w:val="nil"/>
              <w:right w:val="nil"/>
            </w:tcBorders>
            <w:shd w:val="clear" w:color="auto" w:fill="auto"/>
            <w:noWrap/>
            <w:vAlign w:val="bottom"/>
          </w:tcPr>
          <w:p w14:paraId="260E3B8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B0D953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(.0167)</w:t>
            </w:r>
          </w:p>
        </w:tc>
        <w:tc>
          <w:tcPr>
            <w:tcW w:w="0" w:type="auto"/>
            <w:tcBorders>
              <w:top w:val="nil"/>
              <w:left w:val="nil"/>
              <w:bottom w:val="nil"/>
              <w:right w:val="nil"/>
            </w:tcBorders>
            <w:shd w:val="clear" w:color="auto" w:fill="auto"/>
            <w:noWrap/>
            <w:vAlign w:val="bottom"/>
          </w:tcPr>
          <w:p w14:paraId="232302A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(.0156)</w:t>
            </w:r>
          </w:p>
        </w:tc>
        <w:tc>
          <w:tcPr>
            <w:tcW w:w="0" w:type="auto"/>
            <w:tcBorders>
              <w:top w:val="nil"/>
              <w:left w:val="nil"/>
              <w:bottom w:val="nil"/>
              <w:right w:val="nil"/>
            </w:tcBorders>
            <w:shd w:val="clear" w:color="auto" w:fill="auto"/>
            <w:noWrap/>
            <w:vAlign w:val="bottom"/>
          </w:tcPr>
          <w:p w14:paraId="112A858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(.0154)</w:t>
            </w:r>
          </w:p>
        </w:tc>
      </w:tr>
      <w:tr w:rsidR="00207A8E" w:rsidRPr="00351E73" w14:paraId="0B8DFA8E"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246669F5"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hideMark/>
          </w:tcPr>
          <w:p w14:paraId="07FB9C39"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AA4DD5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-.396***</w:t>
            </w:r>
          </w:p>
        </w:tc>
        <w:tc>
          <w:tcPr>
            <w:tcW w:w="0" w:type="auto"/>
            <w:tcBorders>
              <w:top w:val="nil"/>
              <w:left w:val="nil"/>
              <w:bottom w:val="nil"/>
              <w:right w:val="nil"/>
            </w:tcBorders>
            <w:shd w:val="clear" w:color="auto" w:fill="auto"/>
            <w:noWrap/>
            <w:vAlign w:val="bottom"/>
          </w:tcPr>
          <w:p w14:paraId="01CD54D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w:t>
            </w:r>
            <w:r w:rsidR="00E61DBF">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D3D637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-.403***</w:t>
            </w:r>
          </w:p>
        </w:tc>
        <w:tc>
          <w:tcPr>
            <w:tcW w:w="0" w:type="auto"/>
            <w:tcBorders>
              <w:top w:val="nil"/>
              <w:left w:val="nil"/>
              <w:bottom w:val="nil"/>
              <w:right w:val="nil"/>
            </w:tcBorders>
            <w:shd w:val="clear" w:color="auto" w:fill="auto"/>
            <w:noWrap/>
            <w:vAlign w:val="bottom"/>
          </w:tcPr>
          <w:p w14:paraId="771DF3D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320A2F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10.6</w:t>
            </w:r>
            <w:r w:rsidR="00E61DBF">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6190DE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10.74***</w:t>
            </w:r>
          </w:p>
        </w:tc>
        <w:tc>
          <w:tcPr>
            <w:tcW w:w="0" w:type="auto"/>
            <w:tcBorders>
              <w:top w:val="nil"/>
              <w:left w:val="nil"/>
              <w:bottom w:val="nil"/>
              <w:right w:val="nil"/>
            </w:tcBorders>
            <w:shd w:val="clear" w:color="auto" w:fill="auto"/>
            <w:noWrap/>
            <w:vAlign w:val="bottom"/>
          </w:tcPr>
          <w:p w14:paraId="2A3698B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10.71***</w:t>
            </w:r>
          </w:p>
        </w:tc>
      </w:tr>
      <w:tr w:rsidR="00207A8E" w:rsidRPr="00351E73" w14:paraId="286227DF"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60D1CB09"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6B6713F9"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C76336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(.0238)</w:t>
            </w:r>
          </w:p>
        </w:tc>
        <w:tc>
          <w:tcPr>
            <w:tcW w:w="0" w:type="auto"/>
            <w:tcBorders>
              <w:top w:val="nil"/>
              <w:left w:val="nil"/>
              <w:bottom w:val="nil"/>
              <w:right w:val="nil"/>
            </w:tcBorders>
            <w:shd w:val="clear" w:color="auto" w:fill="auto"/>
            <w:noWrap/>
            <w:vAlign w:val="bottom"/>
          </w:tcPr>
          <w:p w14:paraId="0D9E479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(.0238)</w:t>
            </w:r>
          </w:p>
        </w:tc>
        <w:tc>
          <w:tcPr>
            <w:tcW w:w="0" w:type="auto"/>
            <w:tcBorders>
              <w:top w:val="nil"/>
              <w:left w:val="nil"/>
              <w:bottom w:val="nil"/>
              <w:right w:val="nil"/>
            </w:tcBorders>
            <w:shd w:val="clear" w:color="auto" w:fill="auto"/>
            <w:noWrap/>
            <w:vAlign w:val="bottom"/>
          </w:tcPr>
          <w:p w14:paraId="0C2D319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(.0239)</w:t>
            </w:r>
          </w:p>
        </w:tc>
        <w:tc>
          <w:tcPr>
            <w:tcW w:w="0" w:type="auto"/>
            <w:tcBorders>
              <w:top w:val="nil"/>
              <w:left w:val="nil"/>
              <w:bottom w:val="nil"/>
              <w:right w:val="nil"/>
            </w:tcBorders>
            <w:shd w:val="clear" w:color="auto" w:fill="auto"/>
            <w:noWrap/>
            <w:vAlign w:val="bottom"/>
          </w:tcPr>
          <w:p w14:paraId="3CD531F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9EBD4E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(.601)</w:t>
            </w:r>
          </w:p>
        </w:tc>
        <w:tc>
          <w:tcPr>
            <w:tcW w:w="0" w:type="auto"/>
            <w:tcBorders>
              <w:top w:val="nil"/>
              <w:left w:val="nil"/>
              <w:bottom w:val="nil"/>
              <w:right w:val="nil"/>
            </w:tcBorders>
            <w:shd w:val="clear" w:color="auto" w:fill="auto"/>
            <w:noWrap/>
            <w:vAlign w:val="bottom"/>
          </w:tcPr>
          <w:p w14:paraId="4754B1B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(.586)</w:t>
            </w:r>
          </w:p>
        </w:tc>
        <w:tc>
          <w:tcPr>
            <w:tcW w:w="0" w:type="auto"/>
            <w:tcBorders>
              <w:top w:val="nil"/>
              <w:left w:val="nil"/>
              <w:bottom w:val="nil"/>
              <w:right w:val="nil"/>
            </w:tcBorders>
            <w:shd w:val="clear" w:color="auto" w:fill="auto"/>
            <w:noWrap/>
            <w:vAlign w:val="bottom"/>
          </w:tcPr>
          <w:p w14:paraId="17335C2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(.583)</w:t>
            </w:r>
          </w:p>
        </w:tc>
      </w:tr>
      <w:tr w:rsidR="00207A8E" w:rsidRPr="00351E73" w14:paraId="2A57C860"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58A04D3C"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OwnerOcc</w:t>
            </w:r>
          </w:p>
        </w:tc>
        <w:tc>
          <w:tcPr>
            <w:tcW w:w="0" w:type="auto"/>
            <w:tcBorders>
              <w:top w:val="nil"/>
              <w:left w:val="nil"/>
              <w:bottom w:val="nil"/>
              <w:right w:val="nil"/>
            </w:tcBorders>
            <w:shd w:val="clear" w:color="auto" w:fill="auto"/>
            <w:noWrap/>
            <w:vAlign w:val="bottom"/>
            <w:hideMark/>
          </w:tcPr>
          <w:p w14:paraId="18BFCB9E"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0F3378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-.247***</w:t>
            </w:r>
          </w:p>
        </w:tc>
        <w:tc>
          <w:tcPr>
            <w:tcW w:w="0" w:type="auto"/>
            <w:tcBorders>
              <w:top w:val="nil"/>
              <w:left w:val="nil"/>
              <w:bottom w:val="nil"/>
              <w:right w:val="nil"/>
            </w:tcBorders>
            <w:shd w:val="clear" w:color="auto" w:fill="auto"/>
            <w:noWrap/>
            <w:vAlign w:val="bottom"/>
          </w:tcPr>
          <w:p w14:paraId="5DA6FD2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-.251***</w:t>
            </w:r>
          </w:p>
        </w:tc>
        <w:tc>
          <w:tcPr>
            <w:tcW w:w="0" w:type="auto"/>
            <w:tcBorders>
              <w:top w:val="nil"/>
              <w:left w:val="nil"/>
              <w:bottom w:val="nil"/>
              <w:right w:val="nil"/>
            </w:tcBorders>
            <w:shd w:val="clear" w:color="auto" w:fill="auto"/>
            <w:noWrap/>
            <w:vAlign w:val="bottom"/>
          </w:tcPr>
          <w:p w14:paraId="6A4BA93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-.253***</w:t>
            </w:r>
          </w:p>
        </w:tc>
        <w:tc>
          <w:tcPr>
            <w:tcW w:w="0" w:type="auto"/>
            <w:tcBorders>
              <w:top w:val="nil"/>
              <w:left w:val="nil"/>
              <w:bottom w:val="nil"/>
              <w:right w:val="nil"/>
            </w:tcBorders>
            <w:shd w:val="clear" w:color="auto" w:fill="auto"/>
            <w:noWrap/>
            <w:vAlign w:val="bottom"/>
          </w:tcPr>
          <w:p w14:paraId="73A6DB0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32E4D2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3.062***</w:t>
            </w:r>
          </w:p>
        </w:tc>
        <w:tc>
          <w:tcPr>
            <w:tcW w:w="0" w:type="auto"/>
            <w:tcBorders>
              <w:top w:val="nil"/>
              <w:left w:val="nil"/>
              <w:bottom w:val="nil"/>
              <w:right w:val="nil"/>
            </w:tcBorders>
            <w:shd w:val="clear" w:color="auto" w:fill="auto"/>
            <w:noWrap/>
            <w:vAlign w:val="bottom"/>
          </w:tcPr>
          <w:p w14:paraId="02538DE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3.171***</w:t>
            </w:r>
          </w:p>
        </w:tc>
        <w:tc>
          <w:tcPr>
            <w:tcW w:w="0" w:type="auto"/>
            <w:tcBorders>
              <w:top w:val="nil"/>
              <w:left w:val="nil"/>
              <w:bottom w:val="nil"/>
              <w:right w:val="nil"/>
            </w:tcBorders>
            <w:shd w:val="clear" w:color="auto" w:fill="auto"/>
            <w:noWrap/>
            <w:vAlign w:val="bottom"/>
          </w:tcPr>
          <w:p w14:paraId="5A7735C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3.144***</w:t>
            </w:r>
          </w:p>
        </w:tc>
      </w:tr>
      <w:tr w:rsidR="00207A8E" w:rsidRPr="00351E73" w14:paraId="650B59C7"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4AEDF9F"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43C59AF2"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ED61AF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(.0225)</w:t>
            </w:r>
          </w:p>
        </w:tc>
        <w:tc>
          <w:tcPr>
            <w:tcW w:w="0" w:type="auto"/>
            <w:tcBorders>
              <w:top w:val="nil"/>
              <w:left w:val="nil"/>
              <w:bottom w:val="nil"/>
              <w:right w:val="nil"/>
            </w:tcBorders>
            <w:shd w:val="clear" w:color="auto" w:fill="auto"/>
            <w:noWrap/>
            <w:vAlign w:val="bottom"/>
          </w:tcPr>
          <w:p w14:paraId="46D65D6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(.0225)</w:t>
            </w:r>
          </w:p>
        </w:tc>
        <w:tc>
          <w:tcPr>
            <w:tcW w:w="0" w:type="auto"/>
            <w:tcBorders>
              <w:top w:val="nil"/>
              <w:left w:val="nil"/>
              <w:bottom w:val="nil"/>
              <w:right w:val="nil"/>
            </w:tcBorders>
            <w:shd w:val="clear" w:color="auto" w:fill="auto"/>
            <w:noWrap/>
            <w:vAlign w:val="bottom"/>
          </w:tcPr>
          <w:p w14:paraId="28C9740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(.0225)</w:t>
            </w:r>
          </w:p>
        </w:tc>
        <w:tc>
          <w:tcPr>
            <w:tcW w:w="0" w:type="auto"/>
            <w:tcBorders>
              <w:top w:val="nil"/>
              <w:left w:val="nil"/>
              <w:bottom w:val="nil"/>
              <w:right w:val="nil"/>
            </w:tcBorders>
            <w:shd w:val="clear" w:color="auto" w:fill="auto"/>
            <w:noWrap/>
            <w:vAlign w:val="bottom"/>
          </w:tcPr>
          <w:p w14:paraId="537450C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04C039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(.669)</w:t>
            </w:r>
          </w:p>
        </w:tc>
        <w:tc>
          <w:tcPr>
            <w:tcW w:w="0" w:type="auto"/>
            <w:tcBorders>
              <w:top w:val="nil"/>
              <w:left w:val="nil"/>
              <w:bottom w:val="nil"/>
              <w:right w:val="nil"/>
            </w:tcBorders>
            <w:shd w:val="clear" w:color="auto" w:fill="auto"/>
            <w:noWrap/>
            <w:vAlign w:val="bottom"/>
          </w:tcPr>
          <w:p w14:paraId="6F337AA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(.655)</w:t>
            </w:r>
          </w:p>
        </w:tc>
        <w:tc>
          <w:tcPr>
            <w:tcW w:w="0" w:type="auto"/>
            <w:tcBorders>
              <w:top w:val="nil"/>
              <w:left w:val="nil"/>
              <w:bottom w:val="nil"/>
              <w:right w:val="nil"/>
            </w:tcBorders>
            <w:shd w:val="clear" w:color="auto" w:fill="auto"/>
            <w:noWrap/>
            <w:vAlign w:val="bottom"/>
          </w:tcPr>
          <w:p w14:paraId="24F4F94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(.653)</w:t>
            </w:r>
          </w:p>
        </w:tc>
      </w:tr>
      <w:tr w:rsidR="00207A8E" w:rsidRPr="00351E73" w14:paraId="3807D81B"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F800A58"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Term30</w:t>
            </w:r>
          </w:p>
        </w:tc>
        <w:tc>
          <w:tcPr>
            <w:tcW w:w="0" w:type="auto"/>
            <w:tcBorders>
              <w:top w:val="nil"/>
              <w:left w:val="nil"/>
              <w:bottom w:val="nil"/>
              <w:right w:val="nil"/>
            </w:tcBorders>
            <w:shd w:val="clear" w:color="auto" w:fill="auto"/>
            <w:noWrap/>
            <w:vAlign w:val="bottom"/>
            <w:hideMark/>
          </w:tcPr>
          <w:p w14:paraId="6E19D71D"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05E6B3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.382***</w:t>
            </w:r>
          </w:p>
        </w:tc>
        <w:tc>
          <w:tcPr>
            <w:tcW w:w="0" w:type="auto"/>
            <w:tcBorders>
              <w:top w:val="nil"/>
              <w:left w:val="nil"/>
              <w:bottom w:val="nil"/>
              <w:right w:val="nil"/>
            </w:tcBorders>
            <w:shd w:val="clear" w:color="auto" w:fill="auto"/>
            <w:noWrap/>
            <w:vAlign w:val="bottom"/>
          </w:tcPr>
          <w:p w14:paraId="71433A2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.391***</w:t>
            </w:r>
          </w:p>
        </w:tc>
        <w:tc>
          <w:tcPr>
            <w:tcW w:w="0" w:type="auto"/>
            <w:tcBorders>
              <w:top w:val="nil"/>
              <w:left w:val="nil"/>
              <w:bottom w:val="nil"/>
              <w:right w:val="nil"/>
            </w:tcBorders>
            <w:shd w:val="clear" w:color="auto" w:fill="auto"/>
            <w:noWrap/>
            <w:vAlign w:val="bottom"/>
          </w:tcPr>
          <w:p w14:paraId="3B1AADA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.393***</w:t>
            </w:r>
          </w:p>
        </w:tc>
        <w:tc>
          <w:tcPr>
            <w:tcW w:w="0" w:type="auto"/>
            <w:tcBorders>
              <w:top w:val="nil"/>
              <w:left w:val="nil"/>
              <w:bottom w:val="nil"/>
              <w:right w:val="nil"/>
            </w:tcBorders>
            <w:shd w:val="clear" w:color="auto" w:fill="auto"/>
            <w:noWrap/>
            <w:vAlign w:val="bottom"/>
          </w:tcPr>
          <w:p w14:paraId="0985B90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A1788E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14.87***</w:t>
            </w:r>
          </w:p>
        </w:tc>
        <w:tc>
          <w:tcPr>
            <w:tcW w:w="0" w:type="auto"/>
            <w:tcBorders>
              <w:top w:val="nil"/>
              <w:left w:val="nil"/>
              <w:bottom w:val="nil"/>
              <w:right w:val="nil"/>
            </w:tcBorders>
            <w:shd w:val="clear" w:color="auto" w:fill="auto"/>
            <w:noWrap/>
            <w:vAlign w:val="bottom"/>
          </w:tcPr>
          <w:p w14:paraId="23EBAD1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14.09***</w:t>
            </w:r>
          </w:p>
        </w:tc>
        <w:tc>
          <w:tcPr>
            <w:tcW w:w="0" w:type="auto"/>
            <w:tcBorders>
              <w:top w:val="nil"/>
              <w:left w:val="nil"/>
              <w:bottom w:val="nil"/>
              <w:right w:val="nil"/>
            </w:tcBorders>
            <w:shd w:val="clear" w:color="auto" w:fill="auto"/>
            <w:noWrap/>
            <w:vAlign w:val="bottom"/>
          </w:tcPr>
          <w:p w14:paraId="235CBE9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14.08***</w:t>
            </w:r>
          </w:p>
        </w:tc>
      </w:tr>
      <w:tr w:rsidR="00207A8E" w:rsidRPr="00351E73" w14:paraId="2050E10D"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FFA6152"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637454A3"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0DFE6D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(.0578)</w:t>
            </w:r>
          </w:p>
        </w:tc>
        <w:tc>
          <w:tcPr>
            <w:tcW w:w="0" w:type="auto"/>
            <w:tcBorders>
              <w:top w:val="nil"/>
              <w:left w:val="nil"/>
              <w:bottom w:val="nil"/>
              <w:right w:val="nil"/>
            </w:tcBorders>
            <w:shd w:val="clear" w:color="auto" w:fill="auto"/>
            <w:noWrap/>
            <w:vAlign w:val="bottom"/>
          </w:tcPr>
          <w:p w14:paraId="28A819C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(.0576)</w:t>
            </w:r>
          </w:p>
        </w:tc>
        <w:tc>
          <w:tcPr>
            <w:tcW w:w="0" w:type="auto"/>
            <w:tcBorders>
              <w:top w:val="nil"/>
              <w:left w:val="nil"/>
              <w:bottom w:val="nil"/>
              <w:right w:val="nil"/>
            </w:tcBorders>
            <w:shd w:val="clear" w:color="auto" w:fill="auto"/>
            <w:noWrap/>
            <w:vAlign w:val="bottom"/>
          </w:tcPr>
          <w:p w14:paraId="53F1C64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(.0576)</w:t>
            </w:r>
          </w:p>
        </w:tc>
        <w:tc>
          <w:tcPr>
            <w:tcW w:w="0" w:type="auto"/>
            <w:tcBorders>
              <w:top w:val="nil"/>
              <w:left w:val="nil"/>
              <w:bottom w:val="nil"/>
              <w:right w:val="nil"/>
            </w:tcBorders>
            <w:shd w:val="clear" w:color="auto" w:fill="auto"/>
            <w:noWrap/>
            <w:vAlign w:val="bottom"/>
          </w:tcPr>
          <w:p w14:paraId="7D51699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74D113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(2.175)</w:t>
            </w:r>
          </w:p>
        </w:tc>
        <w:tc>
          <w:tcPr>
            <w:tcW w:w="0" w:type="auto"/>
            <w:tcBorders>
              <w:top w:val="nil"/>
              <w:left w:val="nil"/>
              <w:bottom w:val="nil"/>
              <w:right w:val="nil"/>
            </w:tcBorders>
            <w:shd w:val="clear" w:color="auto" w:fill="auto"/>
            <w:noWrap/>
            <w:vAlign w:val="bottom"/>
          </w:tcPr>
          <w:p w14:paraId="229A1D8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(2.104)</w:t>
            </w:r>
          </w:p>
        </w:tc>
        <w:tc>
          <w:tcPr>
            <w:tcW w:w="0" w:type="auto"/>
            <w:tcBorders>
              <w:top w:val="nil"/>
              <w:left w:val="nil"/>
              <w:bottom w:val="nil"/>
              <w:right w:val="nil"/>
            </w:tcBorders>
            <w:shd w:val="clear" w:color="auto" w:fill="auto"/>
            <w:noWrap/>
            <w:vAlign w:val="bottom"/>
          </w:tcPr>
          <w:p w14:paraId="0D6CC1B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(2.104)</w:t>
            </w:r>
          </w:p>
        </w:tc>
      </w:tr>
      <w:tr w:rsidR="00207A8E" w:rsidRPr="00351E73" w14:paraId="752445C6"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59D67973"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Prime</w:t>
            </w:r>
          </w:p>
        </w:tc>
        <w:tc>
          <w:tcPr>
            <w:tcW w:w="0" w:type="auto"/>
            <w:tcBorders>
              <w:top w:val="nil"/>
              <w:left w:val="nil"/>
              <w:bottom w:val="nil"/>
              <w:right w:val="nil"/>
            </w:tcBorders>
            <w:shd w:val="clear" w:color="auto" w:fill="auto"/>
            <w:noWrap/>
            <w:vAlign w:val="bottom"/>
            <w:hideMark/>
          </w:tcPr>
          <w:p w14:paraId="13FE26CB"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822F07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.139***</w:t>
            </w:r>
          </w:p>
        </w:tc>
        <w:tc>
          <w:tcPr>
            <w:tcW w:w="0" w:type="auto"/>
            <w:tcBorders>
              <w:top w:val="nil"/>
              <w:left w:val="nil"/>
              <w:bottom w:val="nil"/>
              <w:right w:val="nil"/>
            </w:tcBorders>
            <w:shd w:val="clear" w:color="auto" w:fill="auto"/>
            <w:noWrap/>
            <w:vAlign w:val="bottom"/>
          </w:tcPr>
          <w:p w14:paraId="0F6F0FD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.143***</w:t>
            </w:r>
          </w:p>
        </w:tc>
        <w:tc>
          <w:tcPr>
            <w:tcW w:w="0" w:type="auto"/>
            <w:tcBorders>
              <w:top w:val="nil"/>
              <w:left w:val="nil"/>
              <w:bottom w:val="nil"/>
              <w:right w:val="nil"/>
            </w:tcBorders>
            <w:shd w:val="clear" w:color="auto" w:fill="auto"/>
            <w:noWrap/>
            <w:vAlign w:val="bottom"/>
          </w:tcPr>
          <w:p w14:paraId="32BEACE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.145***</w:t>
            </w:r>
          </w:p>
        </w:tc>
        <w:tc>
          <w:tcPr>
            <w:tcW w:w="0" w:type="auto"/>
            <w:tcBorders>
              <w:top w:val="nil"/>
              <w:left w:val="nil"/>
              <w:bottom w:val="nil"/>
              <w:right w:val="nil"/>
            </w:tcBorders>
            <w:shd w:val="clear" w:color="auto" w:fill="auto"/>
            <w:noWrap/>
            <w:vAlign w:val="bottom"/>
          </w:tcPr>
          <w:p w14:paraId="57FCDE6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AEE161A"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AD2ABC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F13C974" w14:textId="77777777" w:rsidR="00207A8E" w:rsidRPr="00C72371" w:rsidRDefault="00207A8E" w:rsidP="009D6779">
            <w:pPr>
              <w:spacing w:after="0" w:line="240" w:lineRule="auto"/>
              <w:contextualSpacing/>
              <w:jc w:val="center"/>
              <w:rPr>
                <w:rFonts w:ascii="Times New Roman" w:eastAsia="Times New Roman" w:hAnsi="Times New Roman" w:cs="Times New Roman"/>
                <w:sz w:val="20"/>
                <w:szCs w:val="20"/>
              </w:rPr>
            </w:pPr>
          </w:p>
        </w:tc>
      </w:tr>
      <w:tr w:rsidR="00207A8E" w:rsidRPr="00351E73" w14:paraId="464C6D06"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B95A695"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07245A1B"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8A1653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(.0163)</w:t>
            </w:r>
          </w:p>
        </w:tc>
        <w:tc>
          <w:tcPr>
            <w:tcW w:w="0" w:type="auto"/>
            <w:tcBorders>
              <w:top w:val="nil"/>
              <w:left w:val="nil"/>
              <w:bottom w:val="nil"/>
              <w:right w:val="nil"/>
            </w:tcBorders>
            <w:shd w:val="clear" w:color="auto" w:fill="auto"/>
            <w:noWrap/>
            <w:vAlign w:val="bottom"/>
          </w:tcPr>
          <w:p w14:paraId="02B5040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(.0163)</w:t>
            </w:r>
          </w:p>
        </w:tc>
        <w:tc>
          <w:tcPr>
            <w:tcW w:w="0" w:type="auto"/>
            <w:tcBorders>
              <w:top w:val="nil"/>
              <w:left w:val="nil"/>
              <w:bottom w:val="nil"/>
              <w:right w:val="nil"/>
            </w:tcBorders>
            <w:shd w:val="clear" w:color="auto" w:fill="auto"/>
            <w:noWrap/>
            <w:vAlign w:val="bottom"/>
          </w:tcPr>
          <w:p w14:paraId="7567CBCA"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(.0163)</w:t>
            </w:r>
          </w:p>
        </w:tc>
        <w:tc>
          <w:tcPr>
            <w:tcW w:w="0" w:type="auto"/>
            <w:tcBorders>
              <w:top w:val="nil"/>
              <w:left w:val="nil"/>
              <w:bottom w:val="nil"/>
              <w:right w:val="nil"/>
            </w:tcBorders>
            <w:shd w:val="clear" w:color="auto" w:fill="auto"/>
            <w:noWrap/>
            <w:vAlign w:val="bottom"/>
          </w:tcPr>
          <w:p w14:paraId="2A02096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B2ECEE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DC3D5F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CF38BF1" w14:textId="77777777" w:rsidR="00207A8E" w:rsidRPr="00C72371" w:rsidRDefault="00207A8E" w:rsidP="009D6779">
            <w:pPr>
              <w:spacing w:after="0" w:line="240" w:lineRule="auto"/>
              <w:contextualSpacing/>
              <w:jc w:val="center"/>
              <w:rPr>
                <w:rFonts w:ascii="Times New Roman" w:eastAsia="Times New Roman" w:hAnsi="Times New Roman" w:cs="Times New Roman"/>
                <w:sz w:val="20"/>
                <w:szCs w:val="20"/>
              </w:rPr>
            </w:pPr>
          </w:p>
        </w:tc>
      </w:tr>
      <w:tr w:rsidR="006751BB" w:rsidRPr="00351E73" w14:paraId="64C3103D"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CFF5C2A"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Age15-34</w:t>
            </w:r>
          </w:p>
        </w:tc>
        <w:tc>
          <w:tcPr>
            <w:tcW w:w="0" w:type="auto"/>
            <w:tcBorders>
              <w:top w:val="nil"/>
              <w:left w:val="nil"/>
              <w:bottom w:val="nil"/>
              <w:right w:val="nil"/>
            </w:tcBorders>
            <w:shd w:val="clear" w:color="auto" w:fill="auto"/>
            <w:noWrap/>
            <w:vAlign w:val="bottom"/>
            <w:hideMark/>
          </w:tcPr>
          <w:p w14:paraId="6B7FA10E"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A52823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A5A094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B23342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0946E9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963A06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.0107</w:t>
            </w:r>
          </w:p>
        </w:tc>
        <w:tc>
          <w:tcPr>
            <w:tcW w:w="0" w:type="auto"/>
            <w:tcBorders>
              <w:top w:val="nil"/>
              <w:left w:val="nil"/>
              <w:bottom w:val="nil"/>
              <w:right w:val="nil"/>
            </w:tcBorders>
            <w:shd w:val="clear" w:color="auto" w:fill="auto"/>
            <w:noWrap/>
            <w:vAlign w:val="bottom"/>
          </w:tcPr>
          <w:p w14:paraId="0E0E3BF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.0150</w:t>
            </w:r>
          </w:p>
        </w:tc>
        <w:tc>
          <w:tcPr>
            <w:tcW w:w="0" w:type="auto"/>
            <w:tcBorders>
              <w:top w:val="nil"/>
              <w:left w:val="nil"/>
              <w:bottom w:val="nil"/>
              <w:right w:val="nil"/>
            </w:tcBorders>
            <w:shd w:val="clear" w:color="auto" w:fill="auto"/>
            <w:noWrap/>
            <w:vAlign w:val="bottom"/>
          </w:tcPr>
          <w:p w14:paraId="531EEEF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.0171</w:t>
            </w:r>
          </w:p>
        </w:tc>
      </w:tr>
      <w:tr w:rsidR="006751BB" w:rsidRPr="00351E73" w14:paraId="35689D2F"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2A52D412"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469E7D32"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935CC0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FE0A20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7B4A19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7A7D66D"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CD9F2C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(.0436)</w:t>
            </w:r>
          </w:p>
        </w:tc>
        <w:tc>
          <w:tcPr>
            <w:tcW w:w="0" w:type="auto"/>
            <w:tcBorders>
              <w:top w:val="nil"/>
              <w:left w:val="nil"/>
              <w:bottom w:val="nil"/>
              <w:right w:val="nil"/>
            </w:tcBorders>
            <w:shd w:val="clear" w:color="auto" w:fill="auto"/>
            <w:noWrap/>
            <w:vAlign w:val="bottom"/>
          </w:tcPr>
          <w:p w14:paraId="2042CA2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(.0431)</w:t>
            </w:r>
          </w:p>
        </w:tc>
        <w:tc>
          <w:tcPr>
            <w:tcW w:w="0" w:type="auto"/>
            <w:tcBorders>
              <w:top w:val="nil"/>
              <w:left w:val="nil"/>
              <w:bottom w:val="nil"/>
              <w:right w:val="nil"/>
            </w:tcBorders>
            <w:shd w:val="clear" w:color="auto" w:fill="auto"/>
            <w:noWrap/>
            <w:vAlign w:val="bottom"/>
          </w:tcPr>
          <w:p w14:paraId="3D53080D"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(.0431)</w:t>
            </w:r>
          </w:p>
        </w:tc>
      </w:tr>
      <w:tr w:rsidR="006751BB" w:rsidRPr="00351E73" w14:paraId="0A580849"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962F256"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lastRenderedPageBreak/>
              <w:t>Census</w:t>
            </w:r>
            <w:r w:rsidRPr="004961A2">
              <w:rPr>
                <w:rFonts w:ascii="Calibri" w:eastAsia="Times New Roman" w:hAnsi="Calibri" w:cs="Calibri"/>
                <w:i/>
                <w:sz w:val="20"/>
                <w:szCs w:val="20"/>
              </w:rPr>
              <w:t>Age35-54</w:t>
            </w:r>
          </w:p>
        </w:tc>
        <w:tc>
          <w:tcPr>
            <w:tcW w:w="0" w:type="auto"/>
            <w:tcBorders>
              <w:top w:val="nil"/>
              <w:left w:val="nil"/>
              <w:bottom w:val="nil"/>
              <w:right w:val="nil"/>
            </w:tcBorders>
            <w:shd w:val="clear" w:color="auto" w:fill="auto"/>
            <w:noWrap/>
            <w:vAlign w:val="bottom"/>
            <w:hideMark/>
          </w:tcPr>
          <w:p w14:paraId="33F7940D"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BF7832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16F2D2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123538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3477A1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824AD3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.00190</w:t>
            </w:r>
          </w:p>
        </w:tc>
        <w:tc>
          <w:tcPr>
            <w:tcW w:w="0" w:type="auto"/>
            <w:tcBorders>
              <w:top w:val="nil"/>
              <w:left w:val="nil"/>
              <w:bottom w:val="nil"/>
              <w:right w:val="nil"/>
            </w:tcBorders>
            <w:shd w:val="clear" w:color="auto" w:fill="auto"/>
            <w:noWrap/>
            <w:vAlign w:val="bottom"/>
          </w:tcPr>
          <w:p w14:paraId="6215C211"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.00801</w:t>
            </w:r>
          </w:p>
        </w:tc>
        <w:tc>
          <w:tcPr>
            <w:tcW w:w="0" w:type="auto"/>
            <w:tcBorders>
              <w:top w:val="nil"/>
              <w:left w:val="nil"/>
              <w:bottom w:val="nil"/>
              <w:right w:val="nil"/>
            </w:tcBorders>
            <w:shd w:val="clear" w:color="auto" w:fill="auto"/>
            <w:noWrap/>
            <w:vAlign w:val="bottom"/>
          </w:tcPr>
          <w:p w14:paraId="77C2E1A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.00719</w:t>
            </w:r>
          </w:p>
        </w:tc>
      </w:tr>
      <w:tr w:rsidR="006751BB" w:rsidRPr="00351E73" w14:paraId="717D80A5"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6E427D9B"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07D9A025"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2E1503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8CFC86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6477FD1"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FFF467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F3E753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(.0638)</w:t>
            </w:r>
          </w:p>
        </w:tc>
        <w:tc>
          <w:tcPr>
            <w:tcW w:w="0" w:type="auto"/>
            <w:tcBorders>
              <w:top w:val="nil"/>
              <w:left w:val="nil"/>
              <w:bottom w:val="nil"/>
              <w:right w:val="nil"/>
            </w:tcBorders>
            <w:shd w:val="clear" w:color="auto" w:fill="auto"/>
            <w:noWrap/>
            <w:vAlign w:val="bottom"/>
          </w:tcPr>
          <w:p w14:paraId="0A242EF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(.0631)</w:t>
            </w:r>
          </w:p>
        </w:tc>
        <w:tc>
          <w:tcPr>
            <w:tcW w:w="0" w:type="auto"/>
            <w:tcBorders>
              <w:top w:val="nil"/>
              <w:left w:val="nil"/>
              <w:bottom w:val="nil"/>
              <w:right w:val="nil"/>
            </w:tcBorders>
            <w:shd w:val="clear" w:color="auto" w:fill="auto"/>
            <w:noWrap/>
            <w:vAlign w:val="bottom"/>
          </w:tcPr>
          <w:p w14:paraId="292AFEC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(.0631)</w:t>
            </w:r>
          </w:p>
        </w:tc>
      </w:tr>
      <w:tr w:rsidR="006751BB" w:rsidRPr="00351E73" w14:paraId="1F7D9721"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6BD1E0B"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Age55-69</w:t>
            </w:r>
          </w:p>
        </w:tc>
        <w:tc>
          <w:tcPr>
            <w:tcW w:w="0" w:type="auto"/>
            <w:tcBorders>
              <w:top w:val="nil"/>
              <w:left w:val="nil"/>
              <w:bottom w:val="nil"/>
              <w:right w:val="nil"/>
            </w:tcBorders>
            <w:shd w:val="clear" w:color="auto" w:fill="auto"/>
            <w:noWrap/>
            <w:vAlign w:val="bottom"/>
            <w:hideMark/>
          </w:tcPr>
          <w:p w14:paraId="50367F9C"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55CA680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104AA2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B00986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0E4438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000234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-.149***</w:t>
            </w:r>
          </w:p>
        </w:tc>
        <w:tc>
          <w:tcPr>
            <w:tcW w:w="0" w:type="auto"/>
            <w:tcBorders>
              <w:top w:val="nil"/>
              <w:left w:val="nil"/>
              <w:bottom w:val="nil"/>
              <w:right w:val="nil"/>
            </w:tcBorders>
            <w:shd w:val="clear" w:color="auto" w:fill="auto"/>
            <w:noWrap/>
            <w:vAlign w:val="bottom"/>
          </w:tcPr>
          <w:p w14:paraId="5057522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-.134**</w:t>
            </w:r>
          </w:p>
        </w:tc>
        <w:tc>
          <w:tcPr>
            <w:tcW w:w="0" w:type="auto"/>
            <w:tcBorders>
              <w:top w:val="nil"/>
              <w:left w:val="nil"/>
              <w:bottom w:val="nil"/>
              <w:right w:val="nil"/>
            </w:tcBorders>
            <w:shd w:val="clear" w:color="auto" w:fill="auto"/>
            <w:noWrap/>
            <w:vAlign w:val="bottom"/>
          </w:tcPr>
          <w:p w14:paraId="40F8AFD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-.144***</w:t>
            </w:r>
          </w:p>
        </w:tc>
      </w:tr>
      <w:tr w:rsidR="006751BB" w:rsidRPr="00351E73" w14:paraId="028FA8FB"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01B9B4A"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2E21389B"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B855A2A"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5E0DE8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EC53EF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00CD7AD"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7BAFB2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(.0544)</w:t>
            </w:r>
          </w:p>
        </w:tc>
        <w:tc>
          <w:tcPr>
            <w:tcW w:w="0" w:type="auto"/>
            <w:tcBorders>
              <w:top w:val="nil"/>
              <w:left w:val="nil"/>
              <w:bottom w:val="nil"/>
              <w:right w:val="nil"/>
            </w:tcBorders>
            <w:shd w:val="clear" w:color="auto" w:fill="auto"/>
            <w:noWrap/>
            <w:vAlign w:val="bottom"/>
          </w:tcPr>
          <w:p w14:paraId="0B4242A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(.0537)</w:t>
            </w:r>
          </w:p>
        </w:tc>
        <w:tc>
          <w:tcPr>
            <w:tcW w:w="0" w:type="auto"/>
            <w:tcBorders>
              <w:top w:val="nil"/>
              <w:left w:val="nil"/>
              <w:bottom w:val="nil"/>
              <w:right w:val="nil"/>
            </w:tcBorders>
            <w:shd w:val="clear" w:color="auto" w:fill="auto"/>
            <w:noWrap/>
            <w:vAlign w:val="bottom"/>
          </w:tcPr>
          <w:p w14:paraId="080352E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(.0535)</w:t>
            </w:r>
          </w:p>
        </w:tc>
      </w:tr>
      <w:tr w:rsidR="006751BB" w:rsidRPr="00351E73" w14:paraId="5B3BDD46"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5C5268D8"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Age70plus</w:t>
            </w:r>
          </w:p>
        </w:tc>
        <w:tc>
          <w:tcPr>
            <w:tcW w:w="0" w:type="auto"/>
            <w:tcBorders>
              <w:top w:val="nil"/>
              <w:left w:val="nil"/>
              <w:bottom w:val="nil"/>
              <w:right w:val="nil"/>
            </w:tcBorders>
            <w:shd w:val="clear" w:color="auto" w:fill="auto"/>
            <w:noWrap/>
            <w:vAlign w:val="bottom"/>
            <w:hideMark/>
          </w:tcPr>
          <w:p w14:paraId="608D0122" w14:textId="77777777" w:rsidR="006751BB" w:rsidRPr="00351E73" w:rsidRDefault="006751BB" w:rsidP="006751BB">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C715DF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42E22F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90163C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55EC78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018686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-.176***</w:t>
            </w:r>
          </w:p>
        </w:tc>
        <w:tc>
          <w:tcPr>
            <w:tcW w:w="0" w:type="auto"/>
            <w:tcBorders>
              <w:top w:val="nil"/>
              <w:left w:val="nil"/>
              <w:bottom w:val="nil"/>
              <w:right w:val="nil"/>
            </w:tcBorders>
            <w:shd w:val="clear" w:color="auto" w:fill="auto"/>
            <w:noWrap/>
            <w:vAlign w:val="bottom"/>
          </w:tcPr>
          <w:p w14:paraId="6369BDE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-.178***</w:t>
            </w:r>
          </w:p>
        </w:tc>
        <w:tc>
          <w:tcPr>
            <w:tcW w:w="0" w:type="auto"/>
            <w:tcBorders>
              <w:top w:val="nil"/>
              <w:left w:val="nil"/>
              <w:bottom w:val="nil"/>
              <w:right w:val="nil"/>
            </w:tcBorders>
            <w:shd w:val="clear" w:color="auto" w:fill="auto"/>
            <w:noWrap/>
            <w:vAlign w:val="bottom"/>
          </w:tcPr>
          <w:p w14:paraId="6AA8727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-.177***</w:t>
            </w:r>
          </w:p>
        </w:tc>
      </w:tr>
      <w:tr w:rsidR="00207A8E" w:rsidRPr="00351E73" w14:paraId="62B63651"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22A4C06A"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25767142"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BE3C72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C5BABE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3DFD35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CBB1FC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1BDC13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(.0505)</w:t>
            </w:r>
          </w:p>
        </w:tc>
        <w:tc>
          <w:tcPr>
            <w:tcW w:w="0" w:type="auto"/>
            <w:tcBorders>
              <w:top w:val="nil"/>
              <w:left w:val="nil"/>
              <w:bottom w:val="nil"/>
              <w:right w:val="nil"/>
            </w:tcBorders>
            <w:shd w:val="clear" w:color="auto" w:fill="auto"/>
            <w:noWrap/>
            <w:vAlign w:val="bottom"/>
          </w:tcPr>
          <w:p w14:paraId="77AB661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(.0501)</w:t>
            </w:r>
          </w:p>
        </w:tc>
        <w:tc>
          <w:tcPr>
            <w:tcW w:w="0" w:type="auto"/>
            <w:tcBorders>
              <w:top w:val="nil"/>
              <w:left w:val="nil"/>
              <w:bottom w:val="nil"/>
              <w:right w:val="nil"/>
            </w:tcBorders>
            <w:shd w:val="clear" w:color="auto" w:fill="auto"/>
            <w:noWrap/>
            <w:vAlign w:val="bottom"/>
          </w:tcPr>
          <w:p w14:paraId="0577DF1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(.0501)</w:t>
            </w:r>
          </w:p>
        </w:tc>
      </w:tr>
      <w:tr w:rsidR="00207A8E" w:rsidRPr="00351E73" w14:paraId="68A8DDBF"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34EADC7"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Value$1-$2</w:t>
            </w:r>
          </w:p>
        </w:tc>
        <w:tc>
          <w:tcPr>
            <w:tcW w:w="0" w:type="auto"/>
            <w:tcBorders>
              <w:top w:val="nil"/>
              <w:left w:val="nil"/>
              <w:bottom w:val="nil"/>
              <w:right w:val="nil"/>
            </w:tcBorders>
            <w:shd w:val="clear" w:color="auto" w:fill="auto"/>
            <w:noWrap/>
            <w:vAlign w:val="bottom"/>
            <w:hideMark/>
          </w:tcPr>
          <w:p w14:paraId="7C6D516E"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8D9D44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7B0DD1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71E918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AC1972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FD1567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-.0456**</w:t>
            </w:r>
          </w:p>
        </w:tc>
        <w:tc>
          <w:tcPr>
            <w:tcW w:w="0" w:type="auto"/>
            <w:tcBorders>
              <w:top w:val="nil"/>
              <w:left w:val="nil"/>
              <w:bottom w:val="nil"/>
              <w:right w:val="nil"/>
            </w:tcBorders>
            <w:shd w:val="clear" w:color="auto" w:fill="auto"/>
            <w:noWrap/>
            <w:vAlign w:val="bottom"/>
          </w:tcPr>
          <w:p w14:paraId="4CEFDBA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-.0415**</w:t>
            </w:r>
          </w:p>
        </w:tc>
        <w:tc>
          <w:tcPr>
            <w:tcW w:w="0" w:type="auto"/>
            <w:tcBorders>
              <w:top w:val="nil"/>
              <w:left w:val="nil"/>
              <w:bottom w:val="nil"/>
              <w:right w:val="nil"/>
            </w:tcBorders>
            <w:shd w:val="clear" w:color="auto" w:fill="auto"/>
            <w:noWrap/>
            <w:vAlign w:val="bottom"/>
          </w:tcPr>
          <w:p w14:paraId="28CA018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-.0418**</w:t>
            </w:r>
          </w:p>
        </w:tc>
      </w:tr>
      <w:tr w:rsidR="00207A8E" w:rsidRPr="00351E73" w14:paraId="188300E9"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14FDC74"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5FC90F7A"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F63A42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C9CFDB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DBDA93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010D60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0EFB5D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(.0193)</w:t>
            </w:r>
          </w:p>
        </w:tc>
        <w:tc>
          <w:tcPr>
            <w:tcW w:w="0" w:type="auto"/>
            <w:tcBorders>
              <w:top w:val="nil"/>
              <w:left w:val="nil"/>
              <w:bottom w:val="nil"/>
              <w:right w:val="nil"/>
            </w:tcBorders>
            <w:shd w:val="clear" w:color="auto" w:fill="auto"/>
            <w:noWrap/>
            <w:vAlign w:val="bottom"/>
          </w:tcPr>
          <w:p w14:paraId="771FD72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(.0188)</w:t>
            </w:r>
          </w:p>
        </w:tc>
        <w:tc>
          <w:tcPr>
            <w:tcW w:w="0" w:type="auto"/>
            <w:tcBorders>
              <w:top w:val="nil"/>
              <w:left w:val="nil"/>
              <w:bottom w:val="nil"/>
              <w:right w:val="nil"/>
            </w:tcBorders>
            <w:shd w:val="clear" w:color="auto" w:fill="auto"/>
            <w:noWrap/>
            <w:vAlign w:val="bottom"/>
          </w:tcPr>
          <w:p w14:paraId="1B8D585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(.0188)</w:t>
            </w:r>
          </w:p>
        </w:tc>
      </w:tr>
      <w:tr w:rsidR="00207A8E" w:rsidRPr="00351E73" w14:paraId="45A60697"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74C6B56C"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Value$2-$3</w:t>
            </w:r>
          </w:p>
        </w:tc>
        <w:tc>
          <w:tcPr>
            <w:tcW w:w="0" w:type="auto"/>
            <w:tcBorders>
              <w:top w:val="nil"/>
              <w:left w:val="nil"/>
              <w:bottom w:val="nil"/>
              <w:right w:val="nil"/>
            </w:tcBorders>
            <w:shd w:val="clear" w:color="auto" w:fill="auto"/>
            <w:noWrap/>
            <w:vAlign w:val="bottom"/>
            <w:hideMark/>
          </w:tcPr>
          <w:p w14:paraId="062AD4B8"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42F3A49"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2DBD92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725ECA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4F4B3D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AA2F0A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-.0975***</w:t>
            </w:r>
          </w:p>
        </w:tc>
        <w:tc>
          <w:tcPr>
            <w:tcW w:w="0" w:type="auto"/>
            <w:tcBorders>
              <w:top w:val="nil"/>
              <w:left w:val="nil"/>
              <w:bottom w:val="nil"/>
              <w:right w:val="nil"/>
            </w:tcBorders>
            <w:shd w:val="clear" w:color="auto" w:fill="auto"/>
            <w:noWrap/>
            <w:vAlign w:val="bottom"/>
          </w:tcPr>
          <w:p w14:paraId="37F80CF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-.0968***</w:t>
            </w:r>
          </w:p>
        </w:tc>
        <w:tc>
          <w:tcPr>
            <w:tcW w:w="0" w:type="auto"/>
            <w:tcBorders>
              <w:top w:val="nil"/>
              <w:left w:val="nil"/>
              <w:bottom w:val="nil"/>
              <w:right w:val="nil"/>
            </w:tcBorders>
            <w:shd w:val="clear" w:color="auto" w:fill="auto"/>
            <w:noWrap/>
            <w:vAlign w:val="bottom"/>
          </w:tcPr>
          <w:p w14:paraId="4215493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-.0977***</w:t>
            </w:r>
          </w:p>
        </w:tc>
      </w:tr>
      <w:tr w:rsidR="00207A8E" w:rsidRPr="00351E73" w14:paraId="457199F6"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D579943"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749F60F9"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2158352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FFC0D6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39A37E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E5E6CF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786D204"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(.0196)</w:t>
            </w:r>
          </w:p>
        </w:tc>
        <w:tc>
          <w:tcPr>
            <w:tcW w:w="0" w:type="auto"/>
            <w:tcBorders>
              <w:top w:val="nil"/>
              <w:left w:val="nil"/>
              <w:bottom w:val="nil"/>
              <w:right w:val="nil"/>
            </w:tcBorders>
            <w:shd w:val="clear" w:color="auto" w:fill="auto"/>
            <w:noWrap/>
            <w:vAlign w:val="bottom"/>
          </w:tcPr>
          <w:p w14:paraId="7A33A33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(.0192)</w:t>
            </w:r>
          </w:p>
        </w:tc>
        <w:tc>
          <w:tcPr>
            <w:tcW w:w="0" w:type="auto"/>
            <w:tcBorders>
              <w:top w:val="nil"/>
              <w:left w:val="nil"/>
              <w:bottom w:val="nil"/>
              <w:right w:val="nil"/>
            </w:tcBorders>
            <w:shd w:val="clear" w:color="auto" w:fill="auto"/>
            <w:noWrap/>
            <w:vAlign w:val="bottom"/>
          </w:tcPr>
          <w:p w14:paraId="2A0964E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(.0191)</w:t>
            </w:r>
          </w:p>
        </w:tc>
      </w:tr>
      <w:tr w:rsidR="00207A8E" w:rsidRPr="00351E73" w14:paraId="07BE830D"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22C3F3F"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Value$3-$5</w:t>
            </w:r>
          </w:p>
        </w:tc>
        <w:tc>
          <w:tcPr>
            <w:tcW w:w="0" w:type="auto"/>
            <w:tcBorders>
              <w:top w:val="nil"/>
              <w:left w:val="nil"/>
              <w:bottom w:val="nil"/>
              <w:right w:val="nil"/>
            </w:tcBorders>
            <w:shd w:val="clear" w:color="auto" w:fill="auto"/>
            <w:noWrap/>
            <w:vAlign w:val="bottom"/>
            <w:hideMark/>
          </w:tcPr>
          <w:p w14:paraId="6683154C"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4DD4F46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DB0ED8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7964E2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C40376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69A6E71"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-.139***</w:t>
            </w:r>
          </w:p>
        </w:tc>
        <w:tc>
          <w:tcPr>
            <w:tcW w:w="0" w:type="auto"/>
            <w:tcBorders>
              <w:top w:val="nil"/>
              <w:left w:val="nil"/>
              <w:bottom w:val="nil"/>
              <w:right w:val="nil"/>
            </w:tcBorders>
            <w:shd w:val="clear" w:color="auto" w:fill="auto"/>
            <w:noWrap/>
            <w:vAlign w:val="bottom"/>
          </w:tcPr>
          <w:p w14:paraId="5D8BC0D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-.136***</w:t>
            </w:r>
          </w:p>
        </w:tc>
        <w:tc>
          <w:tcPr>
            <w:tcW w:w="0" w:type="auto"/>
            <w:tcBorders>
              <w:top w:val="nil"/>
              <w:left w:val="nil"/>
              <w:bottom w:val="nil"/>
              <w:right w:val="nil"/>
            </w:tcBorders>
            <w:shd w:val="clear" w:color="auto" w:fill="auto"/>
            <w:noWrap/>
            <w:vAlign w:val="bottom"/>
          </w:tcPr>
          <w:p w14:paraId="5571BF2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-.137***</w:t>
            </w:r>
          </w:p>
        </w:tc>
      </w:tr>
      <w:tr w:rsidR="00207A8E" w:rsidRPr="00351E73" w14:paraId="076A86B2"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2B63B54"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hideMark/>
          </w:tcPr>
          <w:p w14:paraId="140EC26F"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545E9A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621708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BE6C21C"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EB1889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BD0AE5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w:t>
            </w:r>
            <w:r w:rsidR="006D5455">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2FBE0C83"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(.0194)</w:t>
            </w:r>
          </w:p>
        </w:tc>
        <w:tc>
          <w:tcPr>
            <w:tcW w:w="0" w:type="auto"/>
            <w:tcBorders>
              <w:top w:val="nil"/>
              <w:left w:val="nil"/>
              <w:bottom w:val="nil"/>
              <w:right w:val="nil"/>
            </w:tcBorders>
            <w:shd w:val="clear" w:color="auto" w:fill="auto"/>
            <w:noWrap/>
            <w:vAlign w:val="bottom"/>
          </w:tcPr>
          <w:p w14:paraId="28F2D88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(.0194)</w:t>
            </w:r>
          </w:p>
        </w:tc>
      </w:tr>
      <w:tr w:rsidR="00207A8E" w:rsidRPr="00351E73" w14:paraId="5291C402"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1CBE1C9A" w14:textId="77777777" w:rsidR="00207A8E" w:rsidRPr="004961A2" w:rsidRDefault="00207A8E" w:rsidP="009D6779">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Value$5plus</w:t>
            </w:r>
          </w:p>
        </w:tc>
        <w:tc>
          <w:tcPr>
            <w:tcW w:w="0" w:type="auto"/>
            <w:tcBorders>
              <w:top w:val="nil"/>
              <w:left w:val="nil"/>
              <w:bottom w:val="nil"/>
              <w:right w:val="nil"/>
            </w:tcBorders>
            <w:shd w:val="clear" w:color="auto" w:fill="auto"/>
            <w:noWrap/>
            <w:vAlign w:val="bottom"/>
            <w:hideMark/>
          </w:tcPr>
          <w:p w14:paraId="445C13CA"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1B70100A"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524197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4F0B44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6141ED4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938879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-.291***</w:t>
            </w:r>
          </w:p>
        </w:tc>
        <w:tc>
          <w:tcPr>
            <w:tcW w:w="0" w:type="auto"/>
            <w:tcBorders>
              <w:top w:val="nil"/>
              <w:left w:val="nil"/>
              <w:bottom w:val="nil"/>
              <w:right w:val="nil"/>
            </w:tcBorders>
            <w:shd w:val="clear" w:color="auto" w:fill="auto"/>
            <w:noWrap/>
            <w:vAlign w:val="bottom"/>
          </w:tcPr>
          <w:p w14:paraId="48B5D08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-.284***</w:t>
            </w:r>
          </w:p>
        </w:tc>
        <w:tc>
          <w:tcPr>
            <w:tcW w:w="0" w:type="auto"/>
            <w:tcBorders>
              <w:top w:val="nil"/>
              <w:left w:val="nil"/>
              <w:bottom w:val="nil"/>
              <w:right w:val="nil"/>
            </w:tcBorders>
            <w:shd w:val="clear" w:color="auto" w:fill="auto"/>
            <w:noWrap/>
            <w:vAlign w:val="bottom"/>
          </w:tcPr>
          <w:p w14:paraId="020D480D"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-.281***</w:t>
            </w:r>
          </w:p>
        </w:tc>
      </w:tr>
      <w:tr w:rsidR="00207A8E" w:rsidRPr="00351E73" w14:paraId="7FF8B824"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3D195DCA"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112FEFCB"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770EF750"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432BD96"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99FF157"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07FA8C3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1E30742"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(.0251)</w:t>
            </w:r>
          </w:p>
        </w:tc>
        <w:tc>
          <w:tcPr>
            <w:tcW w:w="0" w:type="auto"/>
            <w:tcBorders>
              <w:top w:val="nil"/>
              <w:left w:val="nil"/>
              <w:bottom w:val="nil"/>
              <w:right w:val="nil"/>
            </w:tcBorders>
            <w:shd w:val="clear" w:color="auto" w:fill="auto"/>
            <w:noWrap/>
            <w:vAlign w:val="bottom"/>
          </w:tcPr>
          <w:p w14:paraId="6D9A358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(.0243)</w:t>
            </w:r>
          </w:p>
        </w:tc>
        <w:tc>
          <w:tcPr>
            <w:tcW w:w="0" w:type="auto"/>
            <w:tcBorders>
              <w:top w:val="nil"/>
              <w:left w:val="nil"/>
              <w:bottom w:val="nil"/>
              <w:right w:val="nil"/>
            </w:tcBorders>
            <w:shd w:val="clear" w:color="auto" w:fill="auto"/>
            <w:noWrap/>
            <w:vAlign w:val="bottom"/>
          </w:tcPr>
          <w:p w14:paraId="50058CD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r>
              <w:rPr>
                <w:rFonts w:ascii="Calibri" w:hAnsi="Calibri" w:cs="Calibri"/>
                <w:sz w:val="20"/>
                <w:szCs w:val="20"/>
              </w:rPr>
              <w:t>(.0246)</w:t>
            </w:r>
          </w:p>
        </w:tc>
      </w:tr>
      <w:tr w:rsidR="00207A8E" w:rsidRPr="00351E73" w14:paraId="7745F6AE" w14:textId="77777777" w:rsidTr="00E775FA">
        <w:trPr>
          <w:trHeight w:val="255"/>
          <w:jc w:val="center"/>
        </w:trPr>
        <w:tc>
          <w:tcPr>
            <w:tcW w:w="0" w:type="auto"/>
            <w:tcBorders>
              <w:top w:val="nil"/>
              <w:left w:val="nil"/>
              <w:bottom w:val="nil"/>
              <w:right w:val="nil"/>
            </w:tcBorders>
            <w:shd w:val="clear" w:color="auto" w:fill="auto"/>
            <w:noWrap/>
            <w:vAlign w:val="bottom"/>
            <w:hideMark/>
          </w:tcPr>
          <w:p w14:paraId="03BD4B72" w14:textId="77777777" w:rsidR="00207A8E" w:rsidRPr="00351E73" w:rsidRDefault="00207A8E"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hideMark/>
          </w:tcPr>
          <w:p w14:paraId="10040C64" w14:textId="77777777" w:rsidR="00207A8E" w:rsidRPr="00351E73" w:rsidRDefault="00207A8E" w:rsidP="009D6779">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65BFFBF"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126EE455"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433A4F3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EFDF5FB"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5FD2617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4F216C8"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7660B67E" w14:textId="77777777" w:rsidR="00207A8E" w:rsidRPr="00C72371" w:rsidRDefault="00207A8E" w:rsidP="009D6779">
            <w:pPr>
              <w:spacing w:after="0" w:line="240" w:lineRule="auto"/>
              <w:contextualSpacing/>
              <w:jc w:val="center"/>
              <w:rPr>
                <w:rFonts w:ascii="Calibri" w:eastAsia="Times New Roman" w:hAnsi="Calibri" w:cs="Calibri"/>
                <w:sz w:val="20"/>
                <w:szCs w:val="20"/>
              </w:rPr>
            </w:pPr>
          </w:p>
        </w:tc>
      </w:tr>
      <w:tr w:rsidR="00207A8E" w:rsidRPr="00351E73" w14:paraId="2C1D2BE4" w14:textId="77777777" w:rsidTr="009D6779">
        <w:trPr>
          <w:trHeight w:val="255"/>
          <w:jc w:val="center"/>
        </w:trPr>
        <w:tc>
          <w:tcPr>
            <w:tcW w:w="0" w:type="auto"/>
            <w:tcBorders>
              <w:top w:val="nil"/>
              <w:left w:val="nil"/>
              <w:bottom w:val="nil"/>
              <w:right w:val="nil"/>
            </w:tcBorders>
            <w:shd w:val="clear" w:color="auto" w:fill="auto"/>
            <w:noWrap/>
            <w:vAlign w:val="bottom"/>
            <w:hideMark/>
          </w:tcPr>
          <w:p w14:paraId="52157B9A"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Observations</w:t>
            </w:r>
          </w:p>
        </w:tc>
        <w:tc>
          <w:tcPr>
            <w:tcW w:w="0" w:type="auto"/>
            <w:tcBorders>
              <w:top w:val="nil"/>
              <w:left w:val="nil"/>
              <w:bottom w:val="nil"/>
              <w:right w:val="nil"/>
            </w:tcBorders>
            <w:shd w:val="clear" w:color="auto" w:fill="auto"/>
            <w:noWrap/>
            <w:vAlign w:val="bottom"/>
            <w:hideMark/>
          </w:tcPr>
          <w:p w14:paraId="1D33AFAB"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62E6FC19"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8,249</w:t>
            </w:r>
          </w:p>
        </w:tc>
        <w:tc>
          <w:tcPr>
            <w:tcW w:w="0" w:type="auto"/>
            <w:tcBorders>
              <w:top w:val="nil"/>
              <w:left w:val="nil"/>
              <w:bottom w:val="nil"/>
              <w:right w:val="nil"/>
            </w:tcBorders>
            <w:shd w:val="clear" w:color="auto" w:fill="auto"/>
            <w:noWrap/>
            <w:vAlign w:val="bottom"/>
          </w:tcPr>
          <w:p w14:paraId="52624823"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8,249</w:t>
            </w:r>
          </w:p>
        </w:tc>
        <w:tc>
          <w:tcPr>
            <w:tcW w:w="0" w:type="auto"/>
            <w:tcBorders>
              <w:top w:val="nil"/>
              <w:left w:val="nil"/>
              <w:bottom w:val="nil"/>
              <w:right w:val="nil"/>
            </w:tcBorders>
            <w:shd w:val="clear" w:color="auto" w:fill="auto"/>
            <w:noWrap/>
            <w:vAlign w:val="bottom"/>
          </w:tcPr>
          <w:p w14:paraId="1F7646A0"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8,249</w:t>
            </w:r>
          </w:p>
        </w:tc>
        <w:tc>
          <w:tcPr>
            <w:tcW w:w="0" w:type="auto"/>
            <w:tcBorders>
              <w:top w:val="nil"/>
              <w:left w:val="nil"/>
              <w:bottom w:val="nil"/>
              <w:right w:val="nil"/>
            </w:tcBorders>
            <w:shd w:val="clear" w:color="auto" w:fill="auto"/>
            <w:noWrap/>
            <w:vAlign w:val="center"/>
          </w:tcPr>
          <w:p w14:paraId="17802EC9" w14:textId="77777777" w:rsidR="00207A8E" w:rsidRPr="00C72371" w:rsidRDefault="00207A8E" w:rsidP="009D6779">
            <w:pPr>
              <w:spacing w:after="0" w:line="240" w:lineRule="auto"/>
              <w:contextualSpacing/>
              <w:jc w:val="right"/>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B8F9383"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8,249</w:t>
            </w:r>
          </w:p>
        </w:tc>
        <w:tc>
          <w:tcPr>
            <w:tcW w:w="0" w:type="auto"/>
            <w:tcBorders>
              <w:top w:val="nil"/>
              <w:left w:val="nil"/>
              <w:bottom w:val="nil"/>
              <w:right w:val="nil"/>
            </w:tcBorders>
            <w:shd w:val="clear" w:color="auto" w:fill="auto"/>
            <w:noWrap/>
            <w:vAlign w:val="bottom"/>
          </w:tcPr>
          <w:p w14:paraId="3E1ACECC"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8,249</w:t>
            </w:r>
          </w:p>
        </w:tc>
        <w:tc>
          <w:tcPr>
            <w:tcW w:w="0" w:type="auto"/>
            <w:tcBorders>
              <w:top w:val="nil"/>
              <w:left w:val="nil"/>
              <w:bottom w:val="nil"/>
              <w:right w:val="nil"/>
            </w:tcBorders>
            <w:shd w:val="clear" w:color="auto" w:fill="auto"/>
            <w:noWrap/>
            <w:vAlign w:val="bottom"/>
          </w:tcPr>
          <w:p w14:paraId="257C4985"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8,249</w:t>
            </w:r>
          </w:p>
        </w:tc>
      </w:tr>
      <w:tr w:rsidR="00207A8E" w:rsidRPr="00351E73" w14:paraId="7AA63670" w14:textId="77777777" w:rsidTr="009D6779">
        <w:trPr>
          <w:trHeight w:val="255"/>
          <w:jc w:val="center"/>
        </w:trPr>
        <w:tc>
          <w:tcPr>
            <w:tcW w:w="0" w:type="auto"/>
            <w:tcBorders>
              <w:top w:val="nil"/>
              <w:left w:val="nil"/>
              <w:bottom w:val="single" w:sz="4" w:space="0" w:color="auto"/>
              <w:right w:val="nil"/>
            </w:tcBorders>
            <w:shd w:val="clear" w:color="auto" w:fill="auto"/>
            <w:noWrap/>
            <w:vAlign w:val="bottom"/>
            <w:hideMark/>
          </w:tcPr>
          <w:p w14:paraId="7629829F"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R</w:t>
            </w:r>
            <w:r w:rsidRPr="00351E73">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hideMark/>
          </w:tcPr>
          <w:p w14:paraId="318501D4" w14:textId="77777777" w:rsidR="00207A8E" w:rsidRPr="00351E73" w:rsidRDefault="00207A8E" w:rsidP="009D6779">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tcPr>
          <w:p w14:paraId="56A3E36D"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0.580</w:t>
            </w:r>
          </w:p>
        </w:tc>
        <w:tc>
          <w:tcPr>
            <w:tcW w:w="0" w:type="auto"/>
            <w:tcBorders>
              <w:top w:val="nil"/>
              <w:left w:val="nil"/>
              <w:bottom w:val="single" w:sz="4" w:space="0" w:color="auto"/>
              <w:right w:val="nil"/>
            </w:tcBorders>
            <w:shd w:val="clear" w:color="auto" w:fill="auto"/>
            <w:noWrap/>
            <w:vAlign w:val="bottom"/>
          </w:tcPr>
          <w:p w14:paraId="6858BC63"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0.582</w:t>
            </w:r>
          </w:p>
        </w:tc>
        <w:tc>
          <w:tcPr>
            <w:tcW w:w="0" w:type="auto"/>
            <w:tcBorders>
              <w:top w:val="nil"/>
              <w:left w:val="nil"/>
              <w:bottom w:val="single" w:sz="4" w:space="0" w:color="auto"/>
              <w:right w:val="nil"/>
            </w:tcBorders>
            <w:shd w:val="clear" w:color="auto" w:fill="auto"/>
            <w:noWrap/>
            <w:vAlign w:val="bottom"/>
          </w:tcPr>
          <w:p w14:paraId="2F402278"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0.581</w:t>
            </w:r>
          </w:p>
        </w:tc>
        <w:tc>
          <w:tcPr>
            <w:tcW w:w="0" w:type="auto"/>
            <w:tcBorders>
              <w:top w:val="nil"/>
              <w:left w:val="nil"/>
              <w:bottom w:val="single" w:sz="4" w:space="0" w:color="auto"/>
              <w:right w:val="nil"/>
            </w:tcBorders>
            <w:shd w:val="clear" w:color="auto" w:fill="auto"/>
            <w:noWrap/>
            <w:vAlign w:val="center"/>
          </w:tcPr>
          <w:p w14:paraId="4A771CC6" w14:textId="77777777" w:rsidR="00207A8E" w:rsidRPr="00C72371" w:rsidRDefault="00207A8E" w:rsidP="009D6779">
            <w:pPr>
              <w:spacing w:after="0" w:line="240" w:lineRule="auto"/>
              <w:contextualSpacing/>
              <w:jc w:val="right"/>
              <w:rPr>
                <w:rFonts w:ascii="Calibri" w:eastAsia="Times New Roman" w:hAnsi="Calibri" w:cs="Calibri"/>
                <w:sz w:val="20"/>
                <w:szCs w:val="20"/>
              </w:rPr>
            </w:pPr>
          </w:p>
        </w:tc>
        <w:tc>
          <w:tcPr>
            <w:tcW w:w="0" w:type="auto"/>
            <w:tcBorders>
              <w:top w:val="nil"/>
              <w:left w:val="nil"/>
              <w:bottom w:val="single" w:sz="4" w:space="0" w:color="auto"/>
              <w:right w:val="nil"/>
            </w:tcBorders>
            <w:shd w:val="clear" w:color="auto" w:fill="auto"/>
            <w:noWrap/>
            <w:vAlign w:val="bottom"/>
          </w:tcPr>
          <w:p w14:paraId="5697C732"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0.158</w:t>
            </w:r>
          </w:p>
        </w:tc>
        <w:tc>
          <w:tcPr>
            <w:tcW w:w="0" w:type="auto"/>
            <w:tcBorders>
              <w:top w:val="nil"/>
              <w:left w:val="nil"/>
              <w:bottom w:val="single" w:sz="4" w:space="0" w:color="auto"/>
              <w:right w:val="nil"/>
            </w:tcBorders>
            <w:shd w:val="clear" w:color="auto" w:fill="auto"/>
            <w:noWrap/>
            <w:vAlign w:val="bottom"/>
          </w:tcPr>
          <w:p w14:paraId="17C1BF41"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0.176</w:t>
            </w:r>
          </w:p>
        </w:tc>
        <w:tc>
          <w:tcPr>
            <w:tcW w:w="0" w:type="auto"/>
            <w:tcBorders>
              <w:top w:val="nil"/>
              <w:left w:val="nil"/>
              <w:bottom w:val="single" w:sz="4" w:space="0" w:color="auto"/>
              <w:right w:val="nil"/>
            </w:tcBorders>
            <w:shd w:val="clear" w:color="auto" w:fill="auto"/>
            <w:noWrap/>
            <w:vAlign w:val="bottom"/>
          </w:tcPr>
          <w:p w14:paraId="7ED2DE47" w14:textId="77777777" w:rsidR="00207A8E" w:rsidRPr="00C72371" w:rsidRDefault="00207A8E" w:rsidP="009D6779">
            <w:pPr>
              <w:spacing w:after="0" w:line="240" w:lineRule="auto"/>
              <w:contextualSpacing/>
              <w:jc w:val="right"/>
              <w:rPr>
                <w:rFonts w:ascii="Calibri" w:eastAsia="Times New Roman" w:hAnsi="Calibri" w:cs="Calibri"/>
                <w:sz w:val="20"/>
                <w:szCs w:val="20"/>
              </w:rPr>
            </w:pPr>
            <w:r>
              <w:rPr>
                <w:rFonts w:ascii="Calibri" w:hAnsi="Calibri" w:cs="Calibri"/>
                <w:sz w:val="20"/>
                <w:szCs w:val="20"/>
              </w:rPr>
              <w:t>0.177</w:t>
            </w:r>
          </w:p>
        </w:tc>
      </w:tr>
    </w:tbl>
    <w:p w14:paraId="55834F36" w14:textId="77777777" w:rsidR="003520CC" w:rsidRDefault="003520CC" w:rsidP="00847A0D">
      <w:pPr>
        <w:spacing w:after="0"/>
        <w:contextualSpacing/>
        <w:rPr>
          <w:b/>
        </w:rPr>
      </w:pPr>
    </w:p>
    <w:p w14:paraId="2982B372" w14:textId="77777777" w:rsidR="009D6779" w:rsidRDefault="009D6779" w:rsidP="00847A0D">
      <w:pPr>
        <w:spacing w:after="0"/>
        <w:contextualSpacing/>
        <w:rPr>
          <w:b/>
        </w:rPr>
      </w:pPr>
    </w:p>
    <w:p w14:paraId="162AD450" w14:textId="77777777" w:rsidR="009D6779" w:rsidRDefault="009D6779" w:rsidP="00847A0D">
      <w:pPr>
        <w:spacing w:after="0"/>
        <w:contextualSpacing/>
        <w:rPr>
          <w:b/>
        </w:rPr>
        <w:sectPr w:rsidR="009D6779" w:rsidSect="00A02DF8">
          <w:footnotePr>
            <w:numRestart w:val="eachSect"/>
          </w:footnotePr>
          <w:pgSz w:w="12240" w:h="15840"/>
          <w:pgMar w:top="1440" w:right="1296" w:bottom="1440" w:left="1296" w:header="720" w:footer="720" w:gutter="0"/>
          <w:cols w:space="720"/>
          <w:docGrid w:linePitch="360"/>
        </w:sectPr>
      </w:pPr>
    </w:p>
    <w:p w14:paraId="041FC7E0" w14:textId="610CDD77" w:rsidR="00FD4CDF" w:rsidRDefault="00FF4EC3" w:rsidP="004C757C">
      <w:pPr>
        <w:spacing w:after="0"/>
        <w:contextualSpacing/>
      </w:pPr>
      <w:r>
        <w:rPr>
          <w:b/>
        </w:rPr>
        <w:lastRenderedPageBreak/>
        <w:t>Table A</w:t>
      </w:r>
      <w:r w:rsidR="003520CC">
        <w:rPr>
          <w:b/>
        </w:rPr>
        <w:t>1</w:t>
      </w:r>
      <w:r w:rsidR="00DC4756">
        <w:rPr>
          <w:b/>
        </w:rPr>
        <w:t>4</w:t>
      </w:r>
    </w:p>
    <w:p w14:paraId="52438270" w14:textId="22491122" w:rsidR="003520CC" w:rsidRDefault="00FF4EC3" w:rsidP="003520CC">
      <w:pPr>
        <w:contextualSpacing/>
      </w:pPr>
      <w:r>
        <w:t xml:space="preserve">Two-stage least squares regressions based on loan-level observations of first-lien, conventional, amortizing (non-balloon, non-interest only), fixed-rate mortgages for purchases of single-family residences or condominiums in Maryland and Virginia originated by nonbank originators between 2000 and 2015.  The sample is restricted to only subprime mortgages (defined as those originated to borrowers with a FICO score of 660 or less).  </w:t>
      </w:r>
      <w:r w:rsidR="00847A0D">
        <w:t>T</w:t>
      </w:r>
      <w:r>
        <w:t xml:space="preserve">he sample is restricted to only mortgages originated by lenders that originated at least one mortgage in each of the ranges of years listed (as in Table </w:t>
      </w:r>
      <w:r w:rsidR="005C7B9C">
        <w:t>A4</w:t>
      </w:r>
      <w:r>
        <w:t xml:space="preserve">).  </w:t>
      </w:r>
      <w:r w:rsidRPr="006A5966">
        <w:rPr>
          <w:i/>
        </w:rPr>
        <w:t>InitialRate</w:t>
      </w:r>
      <w:r>
        <w:t xml:space="preserve"> is the mortgage interest rate at origination.  </w:t>
      </w:r>
      <w:r w:rsidRPr="006A5966">
        <w:rPr>
          <w:i/>
        </w:rPr>
        <w:t>LTV</w:t>
      </w:r>
      <w:r>
        <w:t xml:space="preserve"> is the mortgage loan-to-value ratio at origination.  </w:t>
      </w:r>
      <w:r w:rsidRPr="00EB01F8">
        <w:rPr>
          <w:i/>
        </w:rPr>
        <w:t>Subsidiary</w:t>
      </w:r>
      <w:r>
        <w:t xml:space="preserve"> equals 1 if the originator is a subsidiary nonbank, 0 if the originator is an independent nonbank.  </w:t>
      </w:r>
      <w:r w:rsidRPr="00EB01F8">
        <w:rPr>
          <w:i/>
        </w:rPr>
        <w:t>Post</w:t>
      </w:r>
      <w:r>
        <w:t xml:space="preserve"> equals 1 if the mortgage was originated after the September 14, 2009 Federal Reserve policy change, 0 otherwise.  </w:t>
      </w:r>
      <w:r w:rsidR="003520CC" w:rsidRPr="00EB01F8">
        <w:rPr>
          <w:i/>
        </w:rPr>
        <w:t>FICO</w:t>
      </w:r>
      <w:r w:rsidR="003520CC">
        <w:t xml:space="preserve"> is the borrower’s FICO score at origination.  </w:t>
      </w:r>
      <w:r w:rsidR="003520CC" w:rsidRPr="006879D3">
        <w:rPr>
          <w:i/>
        </w:rPr>
        <w:t>RelLoanSize</w:t>
      </w:r>
      <w:r w:rsidR="003520CC">
        <w:t xml:space="preserve"> is the loan amount at origination divided by the average loan amount for originations in the same vintage year and county.  </w:t>
      </w:r>
      <w:r w:rsidR="003520CC" w:rsidRPr="005339F7">
        <w:rPr>
          <w:i/>
        </w:rPr>
        <w:t>OwnerOcc</w:t>
      </w:r>
      <w:r w:rsidR="003520CC">
        <w:t xml:space="preserve"> equals 1 if the mortgage is associated with an owner-occupied property, 0 otherwise.  </w:t>
      </w:r>
      <w:r w:rsidR="003520CC" w:rsidRPr="005339F7">
        <w:rPr>
          <w:i/>
        </w:rPr>
        <w:t>Term30</w:t>
      </w:r>
      <w:r w:rsidR="003520CC">
        <w:t xml:space="preserve"> equals 1 if the mortgage has a thirty-year maturity and equals 0 if the mortgage has a fifteen-year maturity.  </w:t>
      </w:r>
      <w:r w:rsidR="003520CC" w:rsidRPr="005339F7">
        <w:rPr>
          <w:i/>
        </w:rPr>
        <w:t>Prime</w:t>
      </w:r>
      <w:r w:rsidR="003520CC">
        <w:t xml:space="preserve"> is the monthly average bank prime lending rate at the time of origination from the Federal Reserve.  </w:t>
      </w:r>
      <w:r w:rsidR="003520CC" w:rsidRPr="00407E6D">
        <w:rPr>
          <w:i/>
        </w:rPr>
        <w:t>CensusAge15-34</w:t>
      </w:r>
      <w:r w:rsidR="003520CC">
        <w:t xml:space="preserve"> is the percentage of residents in the borrower’s census tract between the ages of 15 and 34 years old.  </w:t>
      </w:r>
      <w:r w:rsidR="003520CC" w:rsidRPr="00407E6D">
        <w:rPr>
          <w:i/>
        </w:rPr>
        <w:t>Census</w:t>
      </w:r>
      <w:r w:rsidR="003520CC" w:rsidRPr="00562A33">
        <w:rPr>
          <w:i/>
        </w:rPr>
        <w:t>Age35-54</w:t>
      </w:r>
      <w:r w:rsidR="003520CC">
        <w:t xml:space="preserve">, </w:t>
      </w:r>
      <w:r w:rsidR="003520CC" w:rsidRPr="00407E6D">
        <w:rPr>
          <w:i/>
        </w:rPr>
        <w:t>Census</w:t>
      </w:r>
      <w:r w:rsidR="003520CC" w:rsidRPr="00562A33">
        <w:rPr>
          <w:i/>
        </w:rPr>
        <w:t>Age55-69</w:t>
      </w:r>
      <w:r w:rsidR="003520CC">
        <w:t xml:space="preserve">, and </w:t>
      </w:r>
      <w:r w:rsidR="003520CC" w:rsidRPr="00407E6D">
        <w:rPr>
          <w:i/>
        </w:rPr>
        <w:t>Census</w:t>
      </w:r>
      <w:r w:rsidR="003520CC" w:rsidRPr="00562A33">
        <w:rPr>
          <w:i/>
        </w:rPr>
        <w:t>Age70plus</w:t>
      </w:r>
      <w:r w:rsidR="003520CC">
        <w:t xml:space="preserve"> are defined similarly for other age ranges.  </w:t>
      </w:r>
      <w:r w:rsidR="003520CC" w:rsidRPr="00657B28">
        <w:rPr>
          <w:i/>
        </w:rPr>
        <w:t>Value$1-$2</w:t>
      </w:r>
      <w:r w:rsidR="003520CC">
        <w:t xml:space="preserve"> is the percentage of owner-occupied residences in the borrower’s census tract valued between $100,000 and $200,000.  </w:t>
      </w:r>
      <w:r w:rsidR="003520CC" w:rsidRPr="00562A33">
        <w:rPr>
          <w:i/>
        </w:rPr>
        <w:t>Value$2-$3</w:t>
      </w:r>
      <w:r w:rsidR="003520CC">
        <w:t xml:space="preserve">, </w:t>
      </w:r>
      <w:r w:rsidR="003520CC" w:rsidRPr="00562A33">
        <w:rPr>
          <w:i/>
        </w:rPr>
        <w:t>Value$3-$5</w:t>
      </w:r>
      <w:r w:rsidR="003520CC">
        <w:t xml:space="preserve">, and </w:t>
      </w:r>
      <w:r w:rsidR="003520CC" w:rsidRPr="00562A33">
        <w:rPr>
          <w:i/>
        </w:rPr>
        <w:t>Value$5plus</w:t>
      </w:r>
      <w:r w:rsidR="003520CC">
        <w:t xml:space="preserve"> are defined similarly for other price ranges.  Vintage year indicators and a constant term are included in each specification.  Standard errors appear in parentheses</w:t>
      </w:r>
      <w:r w:rsidR="003520CC" w:rsidRPr="00957138">
        <w:t xml:space="preserve">.  </w:t>
      </w:r>
      <w:r w:rsidR="003520CC">
        <w:t>Levels of significance are indicated by *, **, and *** for 10%, 5%, and 1%, respectively.</w:t>
      </w:r>
    </w:p>
    <w:p w14:paraId="02EFE705" w14:textId="77777777" w:rsidR="00FF4EC3" w:rsidRDefault="00FF4EC3" w:rsidP="009D6779">
      <w:pPr>
        <w:spacing w:after="0"/>
        <w:contextualSpacing/>
      </w:pPr>
    </w:p>
    <w:tbl>
      <w:tblPr>
        <w:tblW w:w="0" w:type="auto"/>
        <w:jc w:val="center"/>
        <w:tblLook w:val="04A0" w:firstRow="1" w:lastRow="0" w:firstColumn="1" w:lastColumn="0" w:noHBand="0" w:noVBand="1"/>
      </w:tblPr>
      <w:tblGrid>
        <w:gridCol w:w="1624"/>
        <w:gridCol w:w="1134"/>
        <w:gridCol w:w="1134"/>
        <w:gridCol w:w="1134"/>
        <w:gridCol w:w="1134"/>
        <w:gridCol w:w="1134"/>
      </w:tblGrid>
      <w:tr w:rsidR="00DA64BC" w:rsidRPr="00351E73" w14:paraId="2E26F5A1" w14:textId="77777777" w:rsidTr="00FC7167">
        <w:trPr>
          <w:trHeight w:val="255"/>
          <w:jc w:val="center"/>
        </w:trPr>
        <w:tc>
          <w:tcPr>
            <w:tcW w:w="0" w:type="auto"/>
            <w:tcBorders>
              <w:top w:val="single" w:sz="4" w:space="0" w:color="auto"/>
              <w:left w:val="nil"/>
              <w:bottom w:val="nil"/>
              <w:right w:val="nil"/>
            </w:tcBorders>
            <w:shd w:val="clear" w:color="auto" w:fill="auto"/>
            <w:noWrap/>
            <w:vAlign w:val="bottom"/>
            <w:hideMark/>
          </w:tcPr>
          <w:p w14:paraId="487E669C"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gridSpan w:val="5"/>
            <w:tcBorders>
              <w:top w:val="single" w:sz="4" w:space="0" w:color="auto"/>
              <w:left w:val="nil"/>
              <w:bottom w:val="nil"/>
              <w:right w:val="nil"/>
            </w:tcBorders>
            <w:shd w:val="clear" w:color="auto" w:fill="auto"/>
            <w:noWrap/>
            <w:vAlign w:val="bottom"/>
            <w:hideMark/>
          </w:tcPr>
          <w:p w14:paraId="34334691"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xml:space="preserve">Dependent variable: </w:t>
            </w:r>
            <w:r w:rsidRPr="004961A2">
              <w:rPr>
                <w:rFonts w:ascii="Calibri" w:eastAsia="Times New Roman" w:hAnsi="Calibri" w:cs="Calibri"/>
                <w:i/>
                <w:sz w:val="20"/>
                <w:szCs w:val="20"/>
              </w:rPr>
              <w:t>InitialRate</w:t>
            </w:r>
          </w:p>
        </w:tc>
      </w:tr>
      <w:tr w:rsidR="00DA64BC" w:rsidRPr="00351E73" w14:paraId="2467AF34" w14:textId="77777777" w:rsidTr="00FC7167">
        <w:trPr>
          <w:trHeight w:val="255"/>
          <w:jc w:val="center"/>
        </w:trPr>
        <w:tc>
          <w:tcPr>
            <w:tcW w:w="0" w:type="auto"/>
            <w:tcBorders>
              <w:top w:val="nil"/>
              <w:left w:val="nil"/>
              <w:right w:val="nil"/>
            </w:tcBorders>
            <w:shd w:val="clear" w:color="auto" w:fill="auto"/>
            <w:noWrap/>
            <w:vAlign w:val="bottom"/>
            <w:hideMark/>
          </w:tcPr>
          <w:p w14:paraId="27A9E9DF" w14:textId="77777777" w:rsidR="00DA64BC" w:rsidRPr="00351E73" w:rsidRDefault="00DA64BC" w:rsidP="00FC7167">
            <w:pPr>
              <w:spacing w:after="0" w:line="240" w:lineRule="auto"/>
              <w:contextualSpacing/>
              <w:jc w:val="center"/>
              <w:rPr>
                <w:rFonts w:ascii="Calibri" w:eastAsia="Times New Roman" w:hAnsi="Calibri" w:cs="Calibri"/>
                <w:sz w:val="18"/>
                <w:szCs w:val="18"/>
              </w:rPr>
            </w:pPr>
            <w:r w:rsidRPr="00351E73">
              <w:rPr>
                <w:rFonts w:ascii="Calibri" w:eastAsia="Times New Roman" w:hAnsi="Calibri" w:cs="Calibri"/>
                <w:sz w:val="18"/>
                <w:szCs w:val="18"/>
              </w:rPr>
              <w:t> </w:t>
            </w:r>
          </w:p>
        </w:tc>
        <w:tc>
          <w:tcPr>
            <w:tcW w:w="0" w:type="auto"/>
            <w:tcBorders>
              <w:top w:val="nil"/>
              <w:left w:val="nil"/>
              <w:right w:val="nil"/>
            </w:tcBorders>
            <w:shd w:val="clear" w:color="auto" w:fill="auto"/>
            <w:noWrap/>
            <w:vAlign w:val="bottom"/>
            <w:hideMark/>
          </w:tcPr>
          <w:p w14:paraId="3C7DD552"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2008-2010</w:t>
            </w:r>
          </w:p>
        </w:tc>
        <w:tc>
          <w:tcPr>
            <w:tcW w:w="0" w:type="auto"/>
            <w:tcBorders>
              <w:top w:val="nil"/>
              <w:left w:val="nil"/>
              <w:right w:val="nil"/>
            </w:tcBorders>
            <w:shd w:val="clear" w:color="auto" w:fill="auto"/>
            <w:noWrap/>
            <w:vAlign w:val="bottom"/>
            <w:hideMark/>
          </w:tcPr>
          <w:p w14:paraId="426D854D"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2007-2011</w:t>
            </w:r>
          </w:p>
        </w:tc>
        <w:tc>
          <w:tcPr>
            <w:tcW w:w="0" w:type="auto"/>
            <w:tcBorders>
              <w:top w:val="nil"/>
              <w:left w:val="nil"/>
              <w:right w:val="nil"/>
            </w:tcBorders>
            <w:shd w:val="clear" w:color="auto" w:fill="auto"/>
            <w:noWrap/>
            <w:vAlign w:val="bottom"/>
            <w:hideMark/>
          </w:tcPr>
          <w:p w14:paraId="7E9FC4FE"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2006-2012</w:t>
            </w:r>
          </w:p>
        </w:tc>
        <w:tc>
          <w:tcPr>
            <w:tcW w:w="0" w:type="auto"/>
            <w:tcBorders>
              <w:top w:val="nil"/>
              <w:left w:val="nil"/>
              <w:right w:val="nil"/>
            </w:tcBorders>
            <w:shd w:val="clear" w:color="auto" w:fill="auto"/>
            <w:noWrap/>
            <w:vAlign w:val="bottom"/>
            <w:hideMark/>
          </w:tcPr>
          <w:p w14:paraId="5255454D"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2005-2013</w:t>
            </w:r>
          </w:p>
        </w:tc>
        <w:tc>
          <w:tcPr>
            <w:tcW w:w="0" w:type="auto"/>
            <w:tcBorders>
              <w:top w:val="nil"/>
              <w:left w:val="nil"/>
              <w:right w:val="nil"/>
            </w:tcBorders>
            <w:shd w:val="clear" w:color="auto" w:fill="auto"/>
            <w:noWrap/>
            <w:vAlign w:val="bottom"/>
            <w:hideMark/>
          </w:tcPr>
          <w:p w14:paraId="2C506CB9"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2004-2014</w:t>
            </w:r>
          </w:p>
        </w:tc>
      </w:tr>
      <w:tr w:rsidR="00DA64BC" w:rsidRPr="00351E73" w14:paraId="3452C913" w14:textId="77777777" w:rsidTr="00FC7167">
        <w:trPr>
          <w:trHeight w:val="255"/>
          <w:jc w:val="center"/>
        </w:trPr>
        <w:tc>
          <w:tcPr>
            <w:tcW w:w="0" w:type="auto"/>
            <w:tcBorders>
              <w:top w:val="nil"/>
              <w:left w:val="nil"/>
              <w:bottom w:val="single" w:sz="4" w:space="0" w:color="auto"/>
              <w:right w:val="nil"/>
            </w:tcBorders>
            <w:shd w:val="clear" w:color="auto" w:fill="auto"/>
            <w:noWrap/>
            <w:vAlign w:val="bottom"/>
            <w:hideMark/>
          </w:tcPr>
          <w:p w14:paraId="38B927FF"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single" w:sz="4" w:space="0" w:color="auto"/>
              <w:right w:val="nil"/>
            </w:tcBorders>
            <w:shd w:val="clear" w:color="auto" w:fill="auto"/>
            <w:noWrap/>
            <w:vAlign w:val="bottom"/>
            <w:hideMark/>
          </w:tcPr>
          <w:p w14:paraId="32402DC4"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bottom"/>
            <w:hideMark/>
          </w:tcPr>
          <w:p w14:paraId="632880A8"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bottom"/>
            <w:hideMark/>
          </w:tcPr>
          <w:p w14:paraId="23DC9FAC"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(3)</w:t>
            </w:r>
          </w:p>
        </w:tc>
        <w:tc>
          <w:tcPr>
            <w:tcW w:w="0" w:type="auto"/>
            <w:tcBorders>
              <w:top w:val="nil"/>
              <w:left w:val="nil"/>
              <w:bottom w:val="single" w:sz="4" w:space="0" w:color="auto"/>
              <w:right w:val="nil"/>
            </w:tcBorders>
            <w:shd w:val="clear" w:color="auto" w:fill="auto"/>
            <w:noWrap/>
            <w:vAlign w:val="bottom"/>
            <w:hideMark/>
          </w:tcPr>
          <w:p w14:paraId="61E65FE0"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(4)</w:t>
            </w:r>
          </w:p>
        </w:tc>
        <w:tc>
          <w:tcPr>
            <w:tcW w:w="0" w:type="auto"/>
            <w:tcBorders>
              <w:top w:val="nil"/>
              <w:left w:val="nil"/>
              <w:bottom w:val="single" w:sz="4" w:space="0" w:color="auto"/>
              <w:right w:val="nil"/>
            </w:tcBorders>
            <w:shd w:val="clear" w:color="auto" w:fill="auto"/>
            <w:noWrap/>
            <w:vAlign w:val="bottom"/>
            <w:hideMark/>
          </w:tcPr>
          <w:p w14:paraId="5DF8FEC6" w14:textId="77777777" w:rsidR="00DA64BC" w:rsidRPr="00351E73" w:rsidRDefault="00DA64BC" w:rsidP="00FC7167">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(5)</w:t>
            </w:r>
          </w:p>
        </w:tc>
      </w:tr>
      <w:tr w:rsidR="00DA64BC" w:rsidRPr="00351E73" w14:paraId="12E85E6A" w14:textId="77777777" w:rsidTr="00FC7167">
        <w:trPr>
          <w:trHeight w:val="255"/>
          <w:jc w:val="center"/>
        </w:trPr>
        <w:tc>
          <w:tcPr>
            <w:tcW w:w="0" w:type="auto"/>
            <w:tcBorders>
              <w:top w:val="single" w:sz="4" w:space="0" w:color="auto"/>
              <w:left w:val="nil"/>
              <w:bottom w:val="nil"/>
              <w:right w:val="nil"/>
            </w:tcBorders>
            <w:shd w:val="clear" w:color="auto" w:fill="auto"/>
            <w:noWrap/>
            <w:vAlign w:val="bottom"/>
            <w:hideMark/>
          </w:tcPr>
          <w:p w14:paraId="66F89AE4"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single" w:sz="4" w:space="0" w:color="auto"/>
              <w:left w:val="nil"/>
              <w:bottom w:val="nil"/>
              <w:right w:val="nil"/>
            </w:tcBorders>
            <w:shd w:val="clear" w:color="auto" w:fill="auto"/>
            <w:noWrap/>
            <w:vAlign w:val="bottom"/>
          </w:tcPr>
          <w:p w14:paraId="6A5B177C"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-.16</w:t>
            </w:r>
            <w:r w:rsidR="006D5455">
              <w:rPr>
                <w:rFonts w:ascii="Calibri" w:hAnsi="Calibri" w:cs="Calibri"/>
                <w:sz w:val="20"/>
                <w:szCs w:val="20"/>
              </w:rPr>
              <w:t>0</w:t>
            </w:r>
            <w:r>
              <w:rPr>
                <w:rFonts w:ascii="Calibri" w:hAnsi="Calibri" w:cs="Calibri"/>
                <w:sz w:val="20"/>
                <w:szCs w:val="20"/>
              </w:rPr>
              <w:t>***</w:t>
            </w:r>
          </w:p>
        </w:tc>
        <w:tc>
          <w:tcPr>
            <w:tcW w:w="0" w:type="auto"/>
            <w:tcBorders>
              <w:top w:val="single" w:sz="4" w:space="0" w:color="auto"/>
              <w:left w:val="nil"/>
              <w:bottom w:val="nil"/>
              <w:right w:val="nil"/>
            </w:tcBorders>
            <w:shd w:val="clear" w:color="auto" w:fill="auto"/>
            <w:noWrap/>
            <w:vAlign w:val="bottom"/>
          </w:tcPr>
          <w:p w14:paraId="43A0D72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-.158***</w:t>
            </w:r>
          </w:p>
        </w:tc>
        <w:tc>
          <w:tcPr>
            <w:tcW w:w="0" w:type="auto"/>
            <w:tcBorders>
              <w:top w:val="single" w:sz="4" w:space="0" w:color="auto"/>
              <w:left w:val="nil"/>
              <w:bottom w:val="nil"/>
              <w:right w:val="nil"/>
            </w:tcBorders>
            <w:shd w:val="clear" w:color="auto" w:fill="auto"/>
            <w:noWrap/>
            <w:vAlign w:val="bottom"/>
          </w:tcPr>
          <w:p w14:paraId="0C6AA44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-.213***</w:t>
            </w:r>
          </w:p>
        </w:tc>
        <w:tc>
          <w:tcPr>
            <w:tcW w:w="0" w:type="auto"/>
            <w:tcBorders>
              <w:top w:val="single" w:sz="4" w:space="0" w:color="auto"/>
              <w:left w:val="nil"/>
              <w:bottom w:val="nil"/>
              <w:right w:val="nil"/>
            </w:tcBorders>
            <w:shd w:val="clear" w:color="auto" w:fill="auto"/>
            <w:noWrap/>
            <w:vAlign w:val="bottom"/>
          </w:tcPr>
          <w:p w14:paraId="722BDDC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-.224***</w:t>
            </w:r>
          </w:p>
        </w:tc>
        <w:tc>
          <w:tcPr>
            <w:tcW w:w="0" w:type="auto"/>
            <w:tcBorders>
              <w:top w:val="single" w:sz="4" w:space="0" w:color="auto"/>
              <w:left w:val="nil"/>
              <w:bottom w:val="nil"/>
              <w:right w:val="nil"/>
            </w:tcBorders>
            <w:shd w:val="clear" w:color="auto" w:fill="auto"/>
            <w:noWrap/>
            <w:vAlign w:val="bottom"/>
          </w:tcPr>
          <w:p w14:paraId="17E6F8E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-.223***</w:t>
            </w:r>
          </w:p>
        </w:tc>
      </w:tr>
      <w:tr w:rsidR="00DA64BC" w:rsidRPr="00351E73" w14:paraId="00CDA79D"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777AB277"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91D74A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(.0277)</w:t>
            </w:r>
          </w:p>
        </w:tc>
        <w:tc>
          <w:tcPr>
            <w:tcW w:w="0" w:type="auto"/>
            <w:tcBorders>
              <w:top w:val="nil"/>
              <w:left w:val="nil"/>
              <w:bottom w:val="nil"/>
              <w:right w:val="nil"/>
            </w:tcBorders>
            <w:shd w:val="clear" w:color="auto" w:fill="auto"/>
            <w:noWrap/>
            <w:vAlign w:val="bottom"/>
          </w:tcPr>
          <w:p w14:paraId="3A10A9B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(.0289)</w:t>
            </w:r>
          </w:p>
        </w:tc>
        <w:tc>
          <w:tcPr>
            <w:tcW w:w="0" w:type="auto"/>
            <w:tcBorders>
              <w:top w:val="nil"/>
              <w:left w:val="nil"/>
              <w:bottom w:val="nil"/>
              <w:right w:val="nil"/>
            </w:tcBorders>
            <w:shd w:val="clear" w:color="auto" w:fill="auto"/>
            <w:noWrap/>
            <w:vAlign w:val="bottom"/>
          </w:tcPr>
          <w:p w14:paraId="2C4ADDA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(.0372)</w:t>
            </w:r>
          </w:p>
        </w:tc>
        <w:tc>
          <w:tcPr>
            <w:tcW w:w="0" w:type="auto"/>
            <w:tcBorders>
              <w:top w:val="nil"/>
              <w:left w:val="nil"/>
              <w:bottom w:val="nil"/>
              <w:right w:val="nil"/>
            </w:tcBorders>
            <w:shd w:val="clear" w:color="auto" w:fill="auto"/>
            <w:noWrap/>
            <w:vAlign w:val="bottom"/>
          </w:tcPr>
          <w:p w14:paraId="4F25BD7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(.038</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5E22C6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(.0402)</w:t>
            </w:r>
          </w:p>
        </w:tc>
      </w:tr>
      <w:tr w:rsidR="00DA64BC" w:rsidRPr="00351E73" w14:paraId="55F41ECD"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6CA3D6D3"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tcPr>
          <w:p w14:paraId="64753D9C"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.464***</w:t>
            </w:r>
          </w:p>
        </w:tc>
        <w:tc>
          <w:tcPr>
            <w:tcW w:w="0" w:type="auto"/>
            <w:tcBorders>
              <w:top w:val="nil"/>
              <w:left w:val="nil"/>
              <w:bottom w:val="nil"/>
              <w:right w:val="nil"/>
            </w:tcBorders>
            <w:shd w:val="clear" w:color="auto" w:fill="auto"/>
            <w:noWrap/>
            <w:vAlign w:val="bottom"/>
          </w:tcPr>
          <w:p w14:paraId="00C970B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.837***</w:t>
            </w:r>
          </w:p>
        </w:tc>
        <w:tc>
          <w:tcPr>
            <w:tcW w:w="0" w:type="auto"/>
            <w:tcBorders>
              <w:top w:val="nil"/>
              <w:left w:val="nil"/>
              <w:bottom w:val="nil"/>
              <w:right w:val="nil"/>
            </w:tcBorders>
            <w:shd w:val="clear" w:color="auto" w:fill="auto"/>
            <w:noWrap/>
            <w:vAlign w:val="bottom"/>
          </w:tcPr>
          <w:p w14:paraId="4AF5538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.914***</w:t>
            </w:r>
          </w:p>
        </w:tc>
        <w:tc>
          <w:tcPr>
            <w:tcW w:w="0" w:type="auto"/>
            <w:tcBorders>
              <w:top w:val="nil"/>
              <w:left w:val="nil"/>
              <w:bottom w:val="nil"/>
              <w:right w:val="nil"/>
            </w:tcBorders>
            <w:shd w:val="clear" w:color="auto" w:fill="auto"/>
            <w:noWrap/>
            <w:vAlign w:val="bottom"/>
          </w:tcPr>
          <w:p w14:paraId="4091327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.903***</w:t>
            </w:r>
          </w:p>
        </w:tc>
        <w:tc>
          <w:tcPr>
            <w:tcW w:w="0" w:type="auto"/>
            <w:tcBorders>
              <w:top w:val="nil"/>
              <w:left w:val="nil"/>
              <w:bottom w:val="nil"/>
              <w:right w:val="nil"/>
            </w:tcBorders>
            <w:shd w:val="clear" w:color="auto" w:fill="auto"/>
            <w:noWrap/>
            <w:vAlign w:val="bottom"/>
          </w:tcPr>
          <w:p w14:paraId="1D4AB45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1.085***</w:t>
            </w:r>
          </w:p>
        </w:tc>
      </w:tr>
      <w:tr w:rsidR="00DA64BC" w:rsidRPr="00351E73" w14:paraId="43AFFD57"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114E9217"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0E473A4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(.126)</w:t>
            </w:r>
          </w:p>
        </w:tc>
        <w:tc>
          <w:tcPr>
            <w:tcW w:w="0" w:type="auto"/>
            <w:tcBorders>
              <w:top w:val="nil"/>
              <w:left w:val="nil"/>
              <w:bottom w:val="nil"/>
              <w:right w:val="nil"/>
            </w:tcBorders>
            <w:shd w:val="clear" w:color="auto" w:fill="auto"/>
            <w:noWrap/>
            <w:vAlign w:val="bottom"/>
          </w:tcPr>
          <w:p w14:paraId="5D925E1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(.178)</w:t>
            </w:r>
          </w:p>
        </w:tc>
        <w:tc>
          <w:tcPr>
            <w:tcW w:w="0" w:type="auto"/>
            <w:tcBorders>
              <w:top w:val="nil"/>
              <w:left w:val="nil"/>
              <w:bottom w:val="nil"/>
              <w:right w:val="nil"/>
            </w:tcBorders>
            <w:shd w:val="clear" w:color="auto" w:fill="auto"/>
            <w:noWrap/>
            <w:vAlign w:val="bottom"/>
          </w:tcPr>
          <w:p w14:paraId="532FDAE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6DEE1EF1"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w:t>
            </w:r>
            <w:r w:rsidR="006D5455">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6325FEE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(.219)</w:t>
            </w:r>
          </w:p>
        </w:tc>
      </w:tr>
      <w:tr w:rsidR="00DA64BC" w:rsidRPr="00351E73" w14:paraId="6FBFF9CA"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5196D942"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tcPr>
          <w:p w14:paraId="23198CF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.467***</w:t>
            </w:r>
          </w:p>
        </w:tc>
        <w:tc>
          <w:tcPr>
            <w:tcW w:w="0" w:type="auto"/>
            <w:tcBorders>
              <w:top w:val="nil"/>
              <w:left w:val="nil"/>
              <w:bottom w:val="nil"/>
              <w:right w:val="nil"/>
            </w:tcBorders>
            <w:shd w:val="clear" w:color="auto" w:fill="auto"/>
            <w:noWrap/>
            <w:vAlign w:val="bottom"/>
          </w:tcPr>
          <w:p w14:paraId="2641F7B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.458***</w:t>
            </w:r>
          </w:p>
        </w:tc>
        <w:tc>
          <w:tcPr>
            <w:tcW w:w="0" w:type="auto"/>
            <w:tcBorders>
              <w:top w:val="nil"/>
              <w:left w:val="nil"/>
              <w:bottom w:val="nil"/>
              <w:right w:val="nil"/>
            </w:tcBorders>
            <w:shd w:val="clear" w:color="auto" w:fill="auto"/>
            <w:noWrap/>
            <w:vAlign w:val="bottom"/>
          </w:tcPr>
          <w:p w14:paraId="4BC7DC8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.507***</w:t>
            </w:r>
          </w:p>
        </w:tc>
        <w:tc>
          <w:tcPr>
            <w:tcW w:w="0" w:type="auto"/>
            <w:tcBorders>
              <w:top w:val="nil"/>
              <w:left w:val="nil"/>
              <w:bottom w:val="nil"/>
              <w:right w:val="nil"/>
            </w:tcBorders>
            <w:shd w:val="clear" w:color="auto" w:fill="auto"/>
            <w:noWrap/>
            <w:vAlign w:val="bottom"/>
          </w:tcPr>
          <w:p w14:paraId="4D62F1D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.489***</w:t>
            </w:r>
          </w:p>
        </w:tc>
        <w:tc>
          <w:tcPr>
            <w:tcW w:w="0" w:type="auto"/>
            <w:tcBorders>
              <w:top w:val="nil"/>
              <w:left w:val="nil"/>
              <w:bottom w:val="nil"/>
              <w:right w:val="nil"/>
            </w:tcBorders>
            <w:shd w:val="clear" w:color="auto" w:fill="auto"/>
            <w:noWrap/>
            <w:vAlign w:val="bottom"/>
          </w:tcPr>
          <w:p w14:paraId="67E5A38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.532***</w:t>
            </w:r>
          </w:p>
        </w:tc>
      </w:tr>
      <w:tr w:rsidR="00DA64BC" w:rsidRPr="00351E73" w14:paraId="05068A8C"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32DEA29C"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21107A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(.0585)</w:t>
            </w:r>
          </w:p>
        </w:tc>
        <w:tc>
          <w:tcPr>
            <w:tcW w:w="0" w:type="auto"/>
            <w:tcBorders>
              <w:top w:val="nil"/>
              <w:left w:val="nil"/>
              <w:bottom w:val="nil"/>
              <w:right w:val="nil"/>
            </w:tcBorders>
            <w:shd w:val="clear" w:color="auto" w:fill="auto"/>
            <w:noWrap/>
            <w:vAlign w:val="bottom"/>
          </w:tcPr>
          <w:p w14:paraId="025E4D8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(.0645)</w:t>
            </w:r>
          </w:p>
        </w:tc>
        <w:tc>
          <w:tcPr>
            <w:tcW w:w="0" w:type="auto"/>
            <w:tcBorders>
              <w:top w:val="nil"/>
              <w:left w:val="nil"/>
              <w:bottom w:val="nil"/>
              <w:right w:val="nil"/>
            </w:tcBorders>
            <w:shd w:val="clear" w:color="auto" w:fill="auto"/>
            <w:noWrap/>
            <w:vAlign w:val="bottom"/>
          </w:tcPr>
          <w:p w14:paraId="76D0398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(.0694)</w:t>
            </w:r>
          </w:p>
        </w:tc>
        <w:tc>
          <w:tcPr>
            <w:tcW w:w="0" w:type="auto"/>
            <w:tcBorders>
              <w:top w:val="nil"/>
              <w:left w:val="nil"/>
              <w:bottom w:val="nil"/>
              <w:right w:val="nil"/>
            </w:tcBorders>
            <w:shd w:val="clear" w:color="auto" w:fill="auto"/>
            <w:noWrap/>
            <w:vAlign w:val="bottom"/>
          </w:tcPr>
          <w:p w14:paraId="2D3C174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(.0715)</w:t>
            </w:r>
          </w:p>
        </w:tc>
        <w:tc>
          <w:tcPr>
            <w:tcW w:w="0" w:type="auto"/>
            <w:tcBorders>
              <w:top w:val="nil"/>
              <w:left w:val="nil"/>
              <w:bottom w:val="nil"/>
              <w:right w:val="nil"/>
            </w:tcBorders>
            <w:shd w:val="clear" w:color="auto" w:fill="auto"/>
            <w:noWrap/>
            <w:vAlign w:val="bottom"/>
          </w:tcPr>
          <w:p w14:paraId="75562641"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(.0753)</w:t>
            </w:r>
          </w:p>
        </w:tc>
      </w:tr>
      <w:tr w:rsidR="00DA64BC" w:rsidRPr="00351E73" w14:paraId="2441090A"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66FDC4F2"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LTV</w:t>
            </w:r>
          </w:p>
        </w:tc>
        <w:tc>
          <w:tcPr>
            <w:tcW w:w="0" w:type="auto"/>
            <w:tcBorders>
              <w:top w:val="nil"/>
              <w:left w:val="nil"/>
              <w:bottom w:val="nil"/>
              <w:right w:val="nil"/>
            </w:tcBorders>
            <w:shd w:val="clear" w:color="auto" w:fill="auto"/>
            <w:noWrap/>
            <w:vAlign w:val="bottom"/>
          </w:tcPr>
          <w:p w14:paraId="3079589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.0269***</w:t>
            </w:r>
          </w:p>
        </w:tc>
        <w:tc>
          <w:tcPr>
            <w:tcW w:w="0" w:type="auto"/>
            <w:tcBorders>
              <w:top w:val="nil"/>
              <w:left w:val="nil"/>
              <w:bottom w:val="nil"/>
              <w:right w:val="nil"/>
            </w:tcBorders>
            <w:shd w:val="clear" w:color="auto" w:fill="auto"/>
            <w:noWrap/>
            <w:vAlign w:val="bottom"/>
          </w:tcPr>
          <w:p w14:paraId="3A47BF0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.0285***</w:t>
            </w:r>
          </w:p>
        </w:tc>
        <w:tc>
          <w:tcPr>
            <w:tcW w:w="0" w:type="auto"/>
            <w:tcBorders>
              <w:top w:val="nil"/>
              <w:left w:val="nil"/>
              <w:bottom w:val="nil"/>
              <w:right w:val="nil"/>
            </w:tcBorders>
            <w:shd w:val="clear" w:color="auto" w:fill="auto"/>
            <w:noWrap/>
            <w:vAlign w:val="bottom"/>
          </w:tcPr>
          <w:p w14:paraId="6D77DE7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.0301***</w:t>
            </w:r>
          </w:p>
        </w:tc>
        <w:tc>
          <w:tcPr>
            <w:tcW w:w="0" w:type="auto"/>
            <w:tcBorders>
              <w:top w:val="nil"/>
              <w:left w:val="nil"/>
              <w:bottom w:val="nil"/>
              <w:right w:val="nil"/>
            </w:tcBorders>
            <w:shd w:val="clear" w:color="auto" w:fill="auto"/>
            <w:noWrap/>
            <w:vAlign w:val="bottom"/>
          </w:tcPr>
          <w:p w14:paraId="2A9E1ED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.0298***</w:t>
            </w:r>
          </w:p>
        </w:tc>
        <w:tc>
          <w:tcPr>
            <w:tcW w:w="0" w:type="auto"/>
            <w:tcBorders>
              <w:top w:val="nil"/>
              <w:left w:val="nil"/>
              <w:bottom w:val="nil"/>
              <w:right w:val="nil"/>
            </w:tcBorders>
            <w:shd w:val="clear" w:color="auto" w:fill="auto"/>
            <w:noWrap/>
            <w:vAlign w:val="bottom"/>
          </w:tcPr>
          <w:p w14:paraId="0F1142EC"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.0329***</w:t>
            </w:r>
          </w:p>
        </w:tc>
      </w:tr>
      <w:tr w:rsidR="00DA64BC" w:rsidRPr="00351E73" w14:paraId="25F52C11"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6E048C09"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F7D397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(.00222)</w:t>
            </w:r>
          </w:p>
        </w:tc>
        <w:tc>
          <w:tcPr>
            <w:tcW w:w="0" w:type="auto"/>
            <w:tcBorders>
              <w:top w:val="nil"/>
              <w:left w:val="nil"/>
              <w:bottom w:val="nil"/>
              <w:right w:val="nil"/>
            </w:tcBorders>
            <w:shd w:val="clear" w:color="auto" w:fill="auto"/>
            <w:noWrap/>
            <w:vAlign w:val="bottom"/>
          </w:tcPr>
          <w:p w14:paraId="42118DC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(.00235)</w:t>
            </w:r>
          </w:p>
        </w:tc>
        <w:tc>
          <w:tcPr>
            <w:tcW w:w="0" w:type="auto"/>
            <w:tcBorders>
              <w:top w:val="nil"/>
              <w:left w:val="nil"/>
              <w:bottom w:val="nil"/>
              <w:right w:val="nil"/>
            </w:tcBorders>
            <w:shd w:val="clear" w:color="auto" w:fill="auto"/>
            <w:noWrap/>
            <w:vAlign w:val="bottom"/>
          </w:tcPr>
          <w:p w14:paraId="3678CA1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(.00279)</w:t>
            </w:r>
          </w:p>
        </w:tc>
        <w:tc>
          <w:tcPr>
            <w:tcW w:w="0" w:type="auto"/>
            <w:tcBorders>
              <w:top w:val="nil"/>
              <w:left w:val="nil"/>
              <w:bottom w:val="nil"/>
              <w:right w:val="nil"/>
            </w:tcBorders>
            <w:shd w:val="clear" w:color="auto" w:fill="auto"/>
            <w:noWrap/>
            <w:vAlign w:val="bottom"/>
          </w:tcPr>
          <w:p w14:paraId="52ED69B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(.00289)</w:t>
            </w:r>
          </w:p>
        </w:tc>
        <w:tc>
          <w:tcPr>
            <w:tcW w:w="0" w:type="auto"/>
            <w:tcBorders>
              <w:top w:val="nil"/>
              <w:left w:val="nil"/>
              <w:bottom w:val="nil"/>
              <w:right w:val="nil"/>
            </w:tcBorders>
            <w:shd w:val="clear" w:color="auto" w:fill="auto"/>
            <w:noWrap/>
            <w:vAlign w:val="bottom"/>
          </w:tcPr>
          <w:p w14:paraId="78FD3C0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(.00309)</w:t>
            </w:r>
          </w:p>
        </w:tc>
      </w:tr>
      <w:tr w:rsidR="00DA64BC" w:rsidRPr="00351E73" w14:paraId="0394C8B9"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49A85953"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tcPr>
          <w:p w14:paraId="5A77942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-.00655***</w:t>
            </w:r>
          </w:p>
        </w:tc>
        <w:tc>
          <w:tcPr>
            <w:tcW w:w="0" w:type="auto"/>
            <w:tcBorders>
              <w:top w:val="nil"/>
              <w:left w:val="nil"/>
              <w:bottom w:val="nil"/>
              <w:right w:val="nil"/>
            </w:tcBorders>
            <w:shd w:val="clear" w:color="auto" w:fill="auto"/>
            <w:noWrap/>
            <w:vAlign w:val="bottom"/>
          </w:tcPr>
          <w:p w14:paraId="387A7AB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-.00688***</w:t>
            </w:r>
          </w:p>
        </w:tc>
        <w:tc>
          <w:tcPr>
            <w:tcW w:w="0" w:type="auto"/>
            <w:tcBorders>
              <w:top w:val="nil"/>
              <w:left w:val="nil"/>
              <w:bottom w:val="nil"/>
              <w:right w:val="nil"/>
            </w:tcBorders>
            <w:shd w:val="clear" w:color="auto" w:fill="auto"/>
            <w:noWrap/>
            <w:vAlign w:val="bottom"/>
          </w:tcPr>
          <w:p w14:paraId="4DC1EE2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-.00653***</w:t>
            </w:r>
          </w:p>
        </w:tc>
        <w:tc>
          <w:tcPr>
            <w:tcW w:w="0" w:type="auto"/>
            <w:tcBorders>
              <w:top w:val="nil"/>
              <w:left w:val="nil"/>
              <w:bottom w:val="nil"/>
              <w:right w:val="nil"/>
            </w:tcBorders>
            <w:shd w:val="clear" w:color="auto" w:fill="auto"/>
            <w:noWrap/>
            <w:vAlign w:val="bottom"/>
          </w:tcPr>
          <w:p w14:paraId="23DA592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-.00658***</w:t>
            </w:r>
          </w:p>
        </w:tc>
        <w:tc>
          <w:tcPr>
            <w:tcW w:w="0" w:type="auto"/>
            <w:tcBorders>
              <w:top w:val="nil"/>
              <w:left w:val="nil"/>
              <w:bottom w:val="nil"/>
              <w:right w:val="nil"/>
            </w:tcBorders>
            <w:shd w:val="clear" w:color="auto" w:fill="auto"/>
            <w:noWrap/>
            <w:vAlign w:val="bottom"/>
          </w:tcPr>
          <w:p w14:paraId="0A9B519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-.00668***</w:t>
            </w:r>
          </w:p>
        </w:tc>
      </w:tr>
      <w:tr w:rsidR="00DA64BC" w:rsidRPr="00351E73" w14:paraId="2964B0AC"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7DE518A7"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8EFA86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(.000349)</w:t>
            </w:r>
          </w:p>
        </w:tc>
        <w:tc>
          <w:tcPr>
            <w:tcW w:w="0" w:type="auto"/>
            <w:tcBorders>
              <w:top w:val="nil"/>
              <w:left w:val="nil"/>
              <w:bottom w:val="nil"/>
              <w:right w:val="nil"/>
            </w:tcBorders>
            <w:shd w:val="clear" w:color="auto" w:fill="auto"/>
            <w:noWrap/>
            <w:vAlign w:val="bottom"/>
          </w:tcPr>
          <w:p w14:paraId="7D1BE98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(.000363)</w:t>
            </w:r>
          </w:p>
        </w:tc>
        <w:tc>
          <w:tcPr>
            <w:tcW w:w="0" w:type="auto"/>
            <w:tcBorders>
              <w:top w:val="nil"/>
              <w:left w:val="nil"/>
              <w:bottom w:val="nil"/>
              <w:right w:val="nil"/>
            </w:tcBorders>
            <w:shd w:val="clear" w:color="auto" w:fill="auto"/>
            <w:noWrap/>
            <w:vAlign w:val="bottom"/>
          </w:tcPr>
          <w:p w14:paraId="32DBD5A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(.000421)</w:t>
            </w:r>
          </w:p>
        </w:tc>
        <w:tc>
          <w:tcPr>
            <w:tcW w:w="0" w:type="auto"/>
            <w:tcBorders>
              <w:top w:val="nil"/>
              <w:left w:val="nil"/>
              <w:bottom w:val="nil"/>
              <w:right w:val="nil"/>
            </w:tcBorders>
            <w:shd w:val="clear" w:color="auto" w:fill="auto"/>
            <w:noWrap/>
            <w:vAlign w:val="bottom"/>
          </w:tcPr>
          <w:p w14:paraId="369F9B2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(.000427)</w:t>
            </w:r>
          </w:p>
        </w:tc>
        <w:tc>
          <w:tcPr>
            <w:tcW w:w="0" w:type="auto"/>
            <w:tcBorders>
              <w:top w:val="nil"/>
              <w:left w:val="nil"/>
              <w:bottom w:val="nil"/>
              <w:right w:val="nil"/>
            </w:tcBorders>
            <w:shd w:val="clear" w:color="auto" w:fill="auto"/>
            <w:noWrap/>
            <w:vAlign w:val="bottom"/>
          </w:tcPr>
          <w:p w14:paraId="24108901"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(.000441)</w:t>
            </w:r>
          </w:p>
        </w:tc>
      </w:tr>
      <w:tr w:rsidR="00DA64BC" w:rsidRPr="00351E73" w14:paraId="6F4851D0"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16DA9100"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tcPr>
          <w:p w14:paraId="59F970A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-.484***</w:t>
            </w:r>
          </w:p>
        </w:tc>
        <w:tc>
          <w:tcPr>
            <w:tcW w:w="0" w:type="auto"/>
            <w:tcBorders>
              <w:top w:val="nil"/>
              <w:left w:val="nil"/>
              <w:bottom w:val="nil"/>
              <w:right w:val="nil"/>
            </w:tcBorders>
            <w:shd w:val="clear" w:color="auto" w:fill="auto"/>
            <w:noWrap/>
            <w:vAlign w:val="bottom"/>
          </w:tcPr>
          <w:p w14:paraId="5163DE0F"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-.501***</w:t>
            </w:r>
          </w:p>
        </w:tc>
        <w:tc>
          <w:tcPr>
            <w:tcW w:w="0" w:type="auto"/>
            <w:tcBorders>
              <w:top w:val="nil"/>
              <w:left w:val="nil"/>
              <w:bottom w:val="nil"/>
              <w:right w:val="nil"/>
            </w:tcBorders>
            <w:shd w:val="clear" w:color="auto" w:fill="auto"/>
            <w:noWrap/>
            <w:vAlign w:val="bottom"/>
          </w:tcPr>
          <w:p w14:paraId="7F4AB70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-.516***</w:t>
            </w:r>
          </w:p>
        </w:tc>
        <w:tc>
          <w:tcPr>
            <w:tcW w:w="0" w:type="auto"/>
            <w:tcBorders>
              <w:top w:val="nil"/>
              <w:left w:val="nil"/>
              <w:bottom w:val="nil"/>
              <w:right w:val="nil"/>
            </w:tcBorders>
            <w:shd w:val="clear" w:color="auto" w:fill="auto"/>
            <w:noWrap/>
            <w:vAlign w:val="bottom"/>
          </w:tcPr>
          <w:p w14:paraId="705D19C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-.519***</w:t>
            </w:r>
          </w:p>
        </w:tc>
        <w:tc>
          <w:tcPr>
            <w:tcW w:w="0" w:type="auto"/>
            <w:tcBorders>
              <w:top w:val="nil"/>
              <w:left w:val="nil"/>
              <w:bottom w:val="nil"/>
              <w:right w:val="nil"/>
            </w:tcBorders>
            <w:shd w:val="clear" w:color="auto" w:fill="auto"/>
            <w:noWrap/>
            <w:vAlign w:val="bottom"/>
          </w:tcPr>
          <w:p w14:paraId="3EB2E001"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-.565***</w:t>
            </w:r>
          </w:p>
        </w:tc>
      </w:tr>
      <w:tr w:rsidR="00DA64BC" w:rsidRPr="00351E73" w14:paraId="039AF241"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44779565"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AAB0ED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(.0352)</w:t>
            </w:r>
          </w:p>
        </w:tc>
        <w:tc>
          <w:tcPr>
            <w:tcW w:w="0" w:type="auto"/>
            <w:tcBorders>
              <w:top w:val="nil"/>
              <w:left w:val="nil"/>
              <w:bottom w:val="nil"/>
              <w:right w:val="nil"/>
            </w:tcBorders>
            <w:shd w:val="clear" w:color="auto" w:fill="auto"/>
            <w:noWrap/>
            <w:vAlign w:val="bottom"/>
          </w:tcPr>
          <w:p w14:paraId="4F65556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(.037</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D8B121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(.0421)</w:t>
            </w:r>
          </w:p>
        </w:tc>
        <w:tc>
          <w:tcPr>
            <w:tcW w:w="0" w:type="auto"/>
            <w:tcBorders>
              <w:top w:val="nil"/>
              <w:left w:val="nil"/>
              <w:bottom w:val="nil"/>
              <w:right w:val="nil"/>
            </w:tcBorders>
            <w:shd w:val="clear" w:color="auto" w:fill="auto"/>
            <w:noWrap/>
            <w:vAlign w:val="bottom"/>
          </w:tcPr>
          <w:p w14:paraId="5B41A78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(.0429)</w:t>
            </w:r>
          </w:p>
        </w:tc>
        <w:tc>
          <w:tcPr>
            <w:tcW w:w="0" w:type="auto"/>
            <w:tcBorders>
              <w:top w:val="nil"/>
              <w:left w:val="nil"/>
              <w:bottom w:val="nil"/>
              <w:right w:val="nil"/>
            </w:tcBorders>
            <w:shd w:val="clear" w:color="auto" w:fill="auto"/>
            <w:noWrap/>
            <w:vAlign w:val="bottom"/>
          </w:tcPr>
          <w:p w14:paraId="00C43E6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(.0454)</w:t>
            </w:r>
          </w:p>
        </w:tc>
      </w:tr>
      <w:tr w:rsidR="00DA64BC" w:rsidRPr="00351E73" w14:paraId="130DFC2C"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6A4C4C41"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OwnerOcc</w:t>
            </w:r>
          </w:p>
        </w:tc>
        <w:tc>
          <w:tcPr>
            <w:tcW w:w="0" w:type="auto"/>
            <w:tcBorders>
              <w:top w:val="nil"/>
              <w:left w:val="nil"/>
              <w:bottom w:val="nil"/>
              <w:right w:val="nil"/>
            </w:tcBorders>
            <w:shd w:val="clear" w:color="auto" w:fill="auto"/>
            <w:noWrap/>
            <w:vAlign w:val="bottom"/>
          </w:tcPr>
          <w:p w14:paraId="0C16382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-.217***</w:t>
            </w:r>
          </w:p>
        </w:tc>
        <w:tc>
          <w:tcPr>
            <w:tcW w:w="0" w:type="auto"/>
            <w:tcBorders>
              <w:top w:val="nil"/>
              <w:left w:val="nil"/>
              <w:bottom w:val="nil"/>
              <w:right w:val="nil"/>
            </w:tcBorders>
            <w:shd w:val="clear" w:color="auto" w:fill="auto"/>
            <w:noWrap/>
            <w:vAlign w:val="bottom"/>
          </w:tcPr>
          <w:p w14:paraId="4B7434C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-.245***</w:t>
            </w:r>
          </w:p>
        </w:tc>
        <w:tc>
          <w:tcPr>
            <w:tcW w:w="0" w:type="auto"/>
            <w:tcBorders>
              <w:top w:val="nil"/>
              <w:left w:val="nil"/>
              <w:bottom w:val="nil"/>
              <w:right w:val="nil"/>
            </w:tcBorders>
            <w:shd w:val="clear" w:color="auto" w:fill="auto"/>
            <w:noWrap/>
            <w:vAlign w:val="bottom"/>
          </w:tcPr>
          <w:p w14:paraId="4418F07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-.264***</w:t>
            </w:r>
          </w:p>
        </w:tc>
        <w:tc>
          <w:tcPr>
            <w:tcW w:w="0" w:type="auto"/>
            <w:tcBorders>
              <w:top w:val="nil"/>
              <w:left w:val="nil"/>
              <w:bottom w:val="nil"/>
              <w:right w:val="nil"/>
            </w:tcBorders>
            <w:shd w:val="clear" w:color="auto" w:fill="auto"/>
            <w:noWrap/>
            <w:vAlign w:val="bottom"/>
          </w:tcPr>
          <w:p w14:paraId="0BCDAD9F"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-.256***</w:t>
            </w:r>
          </w:p>
        </w:tc>
        <w:tc>
          <w:tcPr>
            <w:tcW w:w="0" w:type="auto"/>
            <w:tcBorders>
              <w:top w:val="nil"/>
              <w:left w:val="nil"/>
              <w:bottom w:val="nil"/>
              <w:right w:val="nil"/>
            </w:tcBorders>
            <w:shd w:val="clear" w:color="auto" w:fill="auto"/>
            <w:noWrap/>
            <w:vAlign w:val="bottom"/>
          </w:tcPr>
          <w:p w14:paraId="6C8A5C9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-.269***</w:t>
            </w:r>
          </w:p>
        </w:tc>
      </w:tr>
      <w:tr w:rsidR="00DA64BC" w:rsidRPr="00351E73" w14:paraId="78535AA0"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1A8FE134"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1CBF4AB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(.0321)</w:t>
            </w:r>
          </w:p>
        </w:tc>
        <w:tc>
          <w:tcPr>
            <w:tcW w:w="0" w:type="auto"/>
            <w:tcBorders>
              <w:top w:val="nil"/>
              <w:left w:val="nil"/>
              <w:bottom w:val="nil"/>
              <w:right w:val="nil"/>
            </w:tcBorders>
            <w:shd w:val="clear" w:color="auto" w:fill="auto"/>
            <w:noWrap/>
            <w:vAlign w:val="bottom"/>
          </w:tcPr>
          <w:p w14:paraId="71A29C4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(.0343)</w:t>
            </w:r>
          </w:p>
        </w:tc>
        <w:tc>
          <w:tcPr>
            <w:tcW w:w="0" w:type="auto"/>
            <w:tcBorders>
              <w:top w:val="nil"/>
              <w:left w:val="nil"/>
              <w:bottom w:val="nil"/>
              <w:right w:val="nil"/>
            </w:tcBorders>
            <w:shd w:val="clear" w:color="auto" w:fill="auto"/>
            <w:noWrap/>
            <w:vAlign w:val="bottom"/>
          </w:tcPr>
          <w:p w14:paraId="06535B4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(.0386)</w:t>
            </w:r>
          </w:p>
        </w:tc>
        <w:tc>
          <w:tcPr>
            <w:tcW w:w="0" w:type="auto"/>
            <w:tcBorders>
              <w:top w:val="nil"/>
              <w:left w:val="nil"/>
              <w:bottom w:val="nil"/>
              <w:right w:val="nil"/>
            </w:tcBorders>
            <w:shd w:val="clear" w:color="auto" w:fill="auto"/>
            <w:noWrap/>
            <w:vAlign w:val="bottom"/>
          </w:tcPr>
          <w:p w14:paraId="46E10E2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(.0388)</w:t>
            </w:r>
          </w:p>
        </w:tc>
        <w:tc>
          <w:tcPr>
            <w:tcW w:w="0" w:type="auto"/>
            <w:tcBorders>
              <w:top w:val="nil"/>
              <w:left w:val="nil"/>
              <w:bottom w:val="nil"/>
              <w:right w:val="nil"/>
            </w:tcBorders>
            <w:shd w:val="clear" w:color="auto" w:fill="auto"/>
            <w:noWrap/>
            <w:vAlign w:val="bottom"/>
          </w:tcPr>
          <w:p w14:paraId="42E8CED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(.0402)</w:t>
            </w:r>
          </w:p>
        </w:tc>
      </w:tr>
      <w:tr w:rsidR="00DA64BC" w:rsidRPr="00351E73" w14:paraId="4933370C"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30C8B47F"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Term30</w:t>
            </w:r>
          </w:p>
        </w:tc>
        <w:tc>
          <w:tcPr>
            <w:tcW w:w="0" w:type="auto"/>
            <w:tcBorders>
              <w:top w:val="nil"/>
              <w:left w:val="nil"/>
              <w:bottom w:val="nil"/>
              <w:right w:val="nil"/>
            </w:tcBorders>
            <w:shd w:val="clear" w:color="auto" w:fill="auto"/>
            <w:noWrap/>
            <w:vAlign w:val="bottom"/>
          </w:tcPr>
          <w:p w14:paraId="1EC1361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.344***</w:t>
            </w:r>
          </w:p>
        </w:tc>
        <w:tc>
          <w:tcPr>
            <w:tcW w:w="0" w:type="auto"/>
            <w:tcBorders>
              <w:top w:val="nil"/>
              <w:left w:val="nil"/>
              <w:bottom w:val="nil"/>
              <w:right w:val="nil"/>
            </w:tcBorders>
            <w:shd w:val="clear" w:color="auto" w:fill="auto"/>
            <w:noWrap/>
            <w:vAlign w:val="bottom"/>
          </w:tcPr>
          <w:p w14:paraId="7544F4E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.268***</w:t>
            </w:r>
          </w:p>
        </w:tc>
        <w:tc>
          <w:tcPr>
            <w:tcW w:w="0" w:type="auto"/>
            <w:tcBorders>
              <w:top w:val="nil"/>
              <w:left w:val="nil"/>
              <w:bottom w:val="nil"/>
              <w:right w:val="nil"/>
            </w:tcBorders>
            <w:shd w:val="clear" w:color="auto" w:fill="auto"/>
            <w:noWrap/>
            <w:vAlign w:val="bottom"/>
          </w:tcPr>
          <w:p w14:paraId="71745F5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.252**</w:t>
            </w:r>
          </w:p>
        </w:tc>
        <w:tc>
          <w:tcPr>
            <w:tcW w:w="0" w:type="auto"/>
            <w:tcBorders>
              <w:top w:val="nil"/>
              <w:left w:val="nil"/>
              <w:bottom w:val="nil"/>
              <w:right w:val="nil"/>
            </w:tcBorders>
            <w:shd w:val="clear" w:color="auto" w:fill="auto"/>
            <w:noWrap/>
            <w:vAlign w:val="bottom"/>
          </w:tcPr>
          <w:p w14:paraId="187A7E9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.267***</w:t>
            </w:r>
          </w:p>
        </w:tc>
        <w:tc>
          <w:tcPr>
            <w:tcW w:w="0" w:type="auto"/>
            <w:tcBorders>
              <w:top w:val="nil"/>
              <w:left w:val="nil"/>
              <w:bottom w:val="nil"/>
              <w:right w:val="nil"/>
            </w:tcBorders>
            <w:shd w:val="clear" w:color="auto" w:fill="auto"/>
            <w:noWrap/>
            <w:vAlign w:val="bottom"/>
          </w:tcPr>
          <w:p w14:paraId="2E568B8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.235**</w:t>
            </w:r>
          </w:p>
        </w:tc>
      </w:tr>
      <w:tr w:rsidR="00DA64BC" w:rsidRPr="00351E73" w14:paraId="233C716D"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4CD39702"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6C5504C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(.0822)</w:t>
            </w:r>
          </w:p>
        </w:tc>
        <w:tc>
          <w:tcPr>
            <w:tcW w:w="0" w:type="auto"/>
            <w:tcBorders>
              <w:top w:val="nil"/>
              <w:left w:val="nil"/>
              <w:bottom w:val="nil"/>
              <w:right w:val="nil"/>
            </w:tcBorders>
            <w:shd w:val="clear" w:color="auto" w:fill="auto"/>
            <w:noWrap/>
            <w:vAlign w:val="bottom"/>
          </w:tcPr>
          <w:p w14:paraId="14A583C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(.0895)</w:t>
            </w:r>
          </w:p>
        </w:tc>
        <w:tc>
          <w:tcPr>
            <w:tcW w:w="0" w:type="auto"/>
            <w:tcBorders>
              <w:top w:val="nil"/>
              <w:left w:val="nil"/>
              <w:bottom w:val="nil"/>
              <w:right w:val="nil"/>
            </w:tcBorders>
            <w:shd w:val="clear" w:color="auto" w:fill="auto"/>
            <w:noWrap/>
            <w:vAlign w:val="bottom"/>
          </w:tcPr>
          <w:p w14:paraId="2CBD9E1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(.0997)</w:t>
            </w:r>
          </w:p>
        </w:tc>
        <w:tc>
          <w:tcPr>
            <w:tcW w:w="0" w:type="auto"/>
            <w:tcBorders>
              <w:top w:val="nil"/>
              <w:left w:val="nil"/>
              <w:bottom w:val="nil"/>
              <w:right w:val="nil"/>
            </w:tcBorders>
            <w:shd w:val="clear" w:color="auto" w:fill="auto"/>
            <w:noWrap/>
            <w:vAlign w:val="bottom"/>
          </w:tcPr>
          <w:p w14:paraId="0166E40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(.101)</w:t>
            </w:r>
          </w:p>
        </w:tc>
        <w:tc>
          <w:tcPr>
            <w:tcW w:w="0" w:type="auto"/>
            <w:tcBorders>
              <w:top w:val="nil"/>
              <w:left w:val="nil"/>
              <w:bottom w:val="nil"/>
              <w:right w:val="nil"/>
            </w:tcBorders>
            <w:shd w:val="clear" w:color="auto" w:fill="auto"/>
            <w:noWrap/>
            <w:vAlign w:val="bottom"/>
          </w:tcPr>
          <w:p w14:paraId="634683D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(.107)</w:t>
            </w:r>
          </w:p>
        </w:tc>
      </w:tr>
      <w:tr w:rsidR="00DA64BC" w:rsidRPr="00351E73" w14:paraId="7C1406DE"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60D828E1"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Prime</w:t>
            </w:r>
          </w:p>
        </w:tc>
        <w:tc>
          <w:tcPr>
            <w:tcW w:w="0" w:type="auto"/>
            <w:tcBorders>
              <w:top w:val="nil"/>
              <w:left w:val="nil"/>
              <w:bottom w:val="nil"/>
              <w:right w:val="nil"/>
            </w:tcBorders>
            <w:shd w:val="clear" w:color="auto" w:fill="auto"/>
            <w:noWrap/>
            <w:vAlign w:val="bottom"/>
          </w:tcPr>
          <w:p w14:paraId="5FA5281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.178***</w:t>
            </w:r>
          </w:p>
        </w:tc>
        <w:tc>
          <w:tcPr>
            <w:tcW w:w="0" w:type="auto"/>
            <w:tcBorders>
              <w:top w:val="nil"/>
              <w:left w:val="nil"/>
              <w:bottom w:val="nil"/>
              <w:right w:val="nil"/>
            </w:tcBorders>
            <w:shd w:val="clear" w:color="auto" w:fill="auto"/>
            <w:noWrap/>
            <w:vAlign w:val="bottom"/>
          </w:tcPr>
          <w:p w14:paraId="5E00BB5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.182***</w:t>
            </w:r>
          </w:p>
        </w:tc>
        <w:tc>
          <w:tcPr>
            <w:tcW w:w="0" w:type="auto"/>
            <w:tcBorders>
              <w:top w:val="nil"/>
              <w:left w:val="nil"/>
              <w:bottom w:val="nil"/>
              <w:right w:val="nil"/>
            </w:tcBorders>
            <w:shd w:val="clear" w:color="auto" w:fill="auto"/>
            <w:noWrap/>
            <w:vAlign w:val="bottom"/>
          </w:tcPr>
          <w:p w14:paraId="5D2024D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.205***</w:t>
            </w:r>
          </w:p>
        </w:tc>
        <w:tc>
          <w:tcPr>
            <w:tcW w:w="0" w:type="auto"/>
            <w:tcBorders>
              <w:top w:val="nil"/>
              <w:left w:val="nil"/>
              <w:bottom w:val="nil"/>
              <w:right w:val="nil"/>
            </w:tcBorders>
            <w:shd w:val="clear" w:color="auto" w:fill="auto"/>
            <w:noWrap/>
            <w:vAlign w:val="bottom"/>
          </w:tcPr>
          <w:p w14:paraId="353322D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.214***</w:t>
            </w:r>
          </w:p>
        </w:tc>
        <w:tc>
          <w:tcPr>
            <w:tcW w:w="0" w:type="auto"/>
            <w:tcBorders>
              <w:top w:val="nil"/>
              <w:left w:val="nil"/>
              <w:bottom w:val="nil"/>
              <w:right w:val="nil"/>
            </w:tcBorders>
            <w:shd w:val="clear" w:color="auto" w:fill="auto"/>
            <w:noWrap/>
            <w:vAlign w:val="bottom"/>
          </w:tcPr>
          <w:p w14:paraId="05CBF21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.231***</w:t>
            </w:r>
          </w:p>
        </w:tc>
      </w:tr>
      <w:tr w:rsidR="00DA64BC" w:rsidRPr="00351E73" w14:paraId="6E2B8742"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275865AA" w14:textId="77777777" w:rsidR="00DA64BC" w:rsidRPr="00351E73" w:rsidRDefault="00DA64BC" w:rsidP="00DA64BC">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0540FDB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(.0247)</w:t>
            </w:r>
          </w:p>
        </w:tc>
        <w:tc>
          <w:tcPr>
            <w:tcW w:w="0" w:type="auto"/>
            <w:tcBorders>
              <w:top w:val="nil"/>
              <w:left w:val="nil"/>
              <w:bottom w:val="nil"/>
              <w:right w:val="nil"/>
            </w:tcBorders>
            <w:shd w:val="clear" w:color="auto" w:fill="auto"/>
            <w:noWrap/>
            <w:vAlign w:val="bottom"/>
          </w:tcPr>
          <w:p w14:paraId="2951BF2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(.0258)</w:t>
            </w:r>
          </w:p>
        </w:tc>
        <w:tc>
          <w:tcPr>
            <w:tcW w:w="0" w:type="auto"/>
            <w:tcBorders>
              <w:top w:val="nil"/>
              <w:left w:val="nil"/>
              <w:bottom w:val="nil"/>
              <w:right w:val="nil"/>
            </w:tcBorders>
            <w:shd w:val="clear" w:color="auto" w:fill="auto"/>
            <w:noWrap/>
            <w:vAlign w:val="bottom"/>
          </w:tcPr>
          <w:p w14:paraId="401F101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(.0294)</w:t>
            </w:r>
          </w:p>
        </w:tc>
        <w:tc>
          <w:tcPr>
            <w:tcW w:w="0" w:type="auto"/>
            <w:tcBorders>
              <w:top w:val="nil"/>
              <w:left w:val="nil"/>
              <w:bottom w:val="nil"/>
              <w:right w:val="nil"/>
            </w:tcBorders>
            <w:shd w:val="clear" w:color="auto" w:fill="auto"/>
            <w:noWrap/>
            <w:vAlign w:val="bottom"/>
          </w:tcPr>
          <w:p w14:paraId="02B807F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(.0299)</w:t>
            </w:r>
          </w:p>
        </w:tc>
        <w:tc>
          <w:tcPr>
            <w:tcW w:w="0" w:type="auto"/>
            <w:tcBorders>
              <w:top w:val="nil"/>
              <w:left w:val="nil"/>
              <w:bottom w:val="nil"/>
              <w:right w:val="nil"/>
            </w:tcBorders>
            <w:shd w:val="clear" w:color="auto" w:fill="auto"/>
            <w:noWrap/>
            <w:vAlign w:val="bottom"/>
          </w:tcPr>
          <w:p w14:paraId="691538A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(.0315)</w:t>
            </w:r>
          </w:p>
        </w:tc>
      </w:tr>
      <w:tr w:rsidR="00DA64BC" w:rsidRPr="00351E73" w14:paraId="10294BAC" w14:textId="77777777" w:rsidTr="00FC7167">
        <w:trPr>
          <w:trHeight w:val="255"/>
          <w:jc w:val="center"/>
        </w:trPr>
        <w:tc>
          <w:tcPr>
            <w:tcW w:w="0" w:type="auto"/>
            <w:tcBorders>
              <w:top w:val="nil"/>
              <w:left w:val="nil"/>
              <w:bottom w:val="nil"/>
              <w:right w:val="nil"/>
            </w:tcBorders>
            <w:shd w:val="clear" w:color="auto" w:fill="auto"/>
            <w:noWrap/>
            <w:vAlign w:val="bottom"/>
            <w:hideMark/>
          </w:tcPr>
          <w:p w14:paraId="16F0D3FC"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bottom w:val="nil"/>
              <w:right w:val="nil"/>
            </w:tcBorders>
            <w:shd w:val="clear" w:color="auto" w:fill="auto"/>
            <w:noWrap/>
            <w:vAlign w:val="bottom"/>
          </w:tcPr>
          <w:p w14:paraId="3001185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50F27A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1721DE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31F1B24F"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c>
          <w:tcPr>
            <w:tcW w:w="0" w:type="auto"/>
            <w:tcBorders>
              <w:top w:val="nil"/>
              <w:left w:val="nil"/>
              <w:bottom w:val="nil"/>
              <w:right w:val="nil"/>
            </w:tcBorders>
            <w:shd w:val="clear" w:color="auto" w:fill="auto"/>
            <w:noWrap/>
            <w:vAlign w:val="bottom"/>
          </w:tcPr>
          <w:p w14:paraId="20524B8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r>
      <w:tr w:rsidR="00DA64BC" w:rsidRPr="00351E73" w14:paraId="422D716E" w14:textId="77777777" w:rsidTr="00FC7167">
        <w:trPr>
          <w:trHeight w:val="255"/>
          <w:jc w:val="center"/>
        </w:trPr>
        <w:tc>
          <w:tcPr>
            <w:tcW w:w="0" w:type="auto"/>
            <w:tcBorders>
              <w:top w:val="nil"/>
              <w:left w:val="nil"/>
              <w:right w:val="nil"/>
            </w:tcBorders>
            <w:shd w:val="clear" w:color="auto" w:fill="auto"/>
            <w:noWrap/>
            <w:vAlign w:val="bottom"/>
            <w:hideMark/>
          </w:tcPr>
          <w:p w14:paraId="1B48CB18" w14:textId="77777777" w:rsidR="00DA64BC" w:rsidRPr="00351E73" w:rsidRDefault="00DA64BC" w:rsidP="00DA64BC">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Observations</w:t>
            </w:r>
          </w:p>
        </w:tc>
        <w:tc>
          <w:tcPr>
            <w:tcW w:w="0" w:type="auto"/>
            <w:tcBorders>
              <w:top w:val="nil"/>
              <w:left w:val="nil"/>
              <w:right w:val="nil"/>
            </w:tcBorders>
            <w:shd w:val="clear" w:color="auto" w:fill="auto"/>
            <w:noWrap/>
            <w:vAlign w:val="bottom"/>
          </w:tcPr>
          <w:p w14:paraId="52A427BE"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4,613</w:t>
            </w:r>
          </w:p>
        </w:tc>
        <w:tc>
          <w:tcPr>
            <w:tcW w:w="0" w:type="auto"/>
            <w:tcBorders>
              <w:top w:val="nil"/>
              <w:left w:val="nil"/>
              <w:right w:val="nil"/>
            </w:tcBorders>
            <w:shd w:val="clear" w:color="auto" w:fill="auto"/>
            <w:noWrap/>
            <w:vAlign w:val="bottom"/>
          </w:tcPr>
          <w:p w14:paraId="7E957D8F"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4,251</w:t>
            </w:r>
          </w:p>
        </w:tc>
        <w:tc>
          <w:tcPr>
            <w:tcW w:w="0" w:type="auto"/>
            <w:tcBorders>
              <w:top w:val="nil"/>
              <w:left w:val="nil"/>
              <w:right w:val="nil"/>
            </w:tcBorders>
            <w:shd w:val="clear" w:color="auto" w:fill="auto"/>
            <w:noWrap/>
            <w:vAlign w:val="bottom"/>
          </w:tcPr>
          <w:p w14:paraId="47FED979"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3,436</w:t>
            </w:r>
          </w:p>
        </w:tc>
        <w:tc>
          <w:tcPr>
            <w:tcW w:w="0" w:type="auto"/>
            <w:tcBorders>
              <w:top w:val="nil"/>
              <w:left w:val="nil"/>
              <w:right w:val="nil"/>
            </w:tcBorders>
            <w:shd w:val="clear" w:color="auto" w:fill="auto"/>
            <w:noWrap/>
            <w:vAlign w:val="bottom"/>
          </w:tcPr>
          <w:p w14:paraId="16E9E0FC"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3,258</w:t>
            </w:r>
          </w:p>
        </w:tc>
        <w:tc>
          <w:tcPr>
            <w:tcW w:w="0" w:type="auto"/>
            <w:tcBorders>
              <w:top w:val="nil"/>
              <w:left w:val="nil"/>
              <w:right w:val="nil"/>
            </w:tcBorders>
            <w:shd w:val="clear" w:color="auto" w:fill="auto"/>
            <w:noWrap/>
            <w:vAlign w:val="bottom"/>
          </w:tcPr>
          <w:p w14:paraId="2568D7D9"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3,164</w:t>
            </w:r>
          </w:p>
        </w:tc>
      </w:tr>
      <w:tr w:rsidR="00DA64BC" w:rsidRPr="00351E73" w14:paraId="717AEEF9" w14:textId="77777777" w:rsidTr="00FC7167">
        <w:trPr>
          <w:trHeight w:val="255"/>
          <w:jc w:val="center"/>
        </w:trPr>
        <w:tc>
          <w:tcPr>
            <w:tcW w:w="0" w:type="auto"/>
            <w:tcBorders>
              <w:top w:val="nil"/>
              <w:left w:val="nil"/>
              <w:bottom w:val="single" w:sz="4" w:space="0" w:color="auto"/>
              <w:right w:val="nil"/>
            </w:tcBorders>
            <w:shd w:val="clear" w:color="auto" w:fill="auto"/>
            <w:noWrap/>
            <w:vAlign w:val="bottom"/>
            <w:hideMark/>
          </w:tcPr>
          <w:p w14:paraId="64655B61" w14:textId="77777777" w:rsidR="00DA64BC" w:rsidRPr="00351E73" w:rsidRDefault="00DA64BC" w:rsidP="00DA64BC">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R</w:t>
            </w:r>
            <w:r w:rsidRPr="00351E73">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tcPr>
          <w:p w14:paraId="1F6F90F3"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0.622</w:t>
            </w:r>
          </w:p>
        </w:tc>
        <w:tc>
          <w:tcPr>
            <w:tcW w:w="0" w:type="auto"/>
            <w:tcBorders>
              <w:top w:val="nil"/>
              <w:left w:val="nil"/>
              <w:bottom w:val="single" w:sz="4" w:space="0" w:color="auto"/>
              <w:right w:val="nil"/>
            </w:tcBorders>
            <w:shd w:val="clear" w:color="auto" w:fill="auto"/>
            <w:noWrap/>
            <w:vAlign w:val="bottom"/>
          </w:tcPr>
          <w:p w14:paraId="161885A8"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0.605</w:t>
            </w:r>
          </w:p>
        </w:tc>
        <w:tc>
          <w:tcPr>
            <w:tcW w:w="0" w:type="auto"/>
            <w:tcBorders>
              <w:top w:val="nil"/>
              <w:left w:val="nil"/>
              <w:bottom w:val="single" w:sz="4" w:space="0" w:color="auto"/>
              <w:right w:val="nil"/>
            </w:tcBorders>
            <w:shd w:val="clear" w:color="auto" w:fill="auto"/>
            <w:noWrap/>
            <w:vAlign w:val="bottom"/>
          </w:tcPr>
          <w:p w14:paraId="45CC4D88"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0.627</w:t>
            </w:r>
          </w:p>
        </w:tc>
        <w:tc>
          <w:tcPr>
            <w:tcW w:w="0" w:type="auto"/>
            <w:tcBorders>
              <w:top w:val="nil"/>
              <w:left w:val="nil"/>
              <w:bottom w:val="single" w:sz="4" w:space="0" w:color="auto"/>
              <w:right w:val="nil"/>
            </w:tcBorders>
            <w:shd w:val="clear" w:color="auto" w:fill="auto"/>
            <w:noWrap/>
            <w:vAlign w:val="bottom"/>
          </w:tcPr>
          <w:p w14:paraId="49C72988"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0.620</w:t>
            </w:r>
          </w:p>
        </w:tc>
        <w:tc>
          <w:tcPr>
            <w:tcW w:w="0" w:type="auto"/>
            <w:tcBorders>
              <w:top w:val="nil"/>
              <w:left w:val="nil"/>
              <w:bottom w:val="single" w:sz="4" w:space="0" w:color="auto"/>
              <w:right w:val="nil"/>
            </w:tcBorders>
            <w:shd w:val="clear" w:color="auto" w:fill="auto"/>
            <w:noWrap/>
            <w:vAlign w:val="bottom"/>
          </w:tcPr>
          <w:p w14:paraId="7891190D"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0.600</w:t>
            </w:r>
          </w:p>
        </w:tc>
      </w:tr>
      <w:tr w:rsidR="00DA64BC" w:rsidRPr="00351E73" w14:paraId="6267EB5C" w14:textId="77777777" w:rsidTr="00FC7167">
        <w:trPr>
          <w:trHeight w:val="255"/>
          <w:jc w:val="center"/>
        </w:trPr>
        <w:tc>
          <w:tcPr>
            <w:tcW w:w="0" w:type="auto"/>
            <w:tcBorders>
              <w:top w:val="single" w:sz="4" w:space="0" w:color="auto"/>
              <w:left w:val="nil"/>
              <w:bottom w:val="nil"/>
              <w:right w:val="nil"/>
            </w:tcBorders>
            <w:shd w:val="clear" w:color="auto" w:fill="auto"/>
            <w:noWrap/>
            <w:vAlign w:val="bottom"/>
          </w:tcPr>
          <w:p w14:paraId="142EABFD" w14:textId="77777777" w:rsidR="00DA64BC" w:rsidRPr="00351E73" w:rsidRDefault="00DA64BC" w:rsidP="00DA64BC">
            <w:pPr>
              <w:spacing w:after="0" w:line="240" w:lineRule="auto"/>
              <w:contextualSpacing/>
              <w:rPr>
                <w:rFonts w:ascii="Calibri" w:eastAsia="Times New Roman" w:hAnsi="Calibri" w:cs="Calibri"/>
                <w:sz w:val="20"/>
                <w:szCs w:val="20"/>
              </w:rPr>
            </w:pPr>
          </w:p>
        </w:tc>
        <w:tc>
          <w:tcPr>
            <w:tcW w:w="0" w:type="auto"/>
            <w:gridSpan w:val="5"/>
            <w:tcBorders>
              <w:top w:val="single" w:sz="4" w:space="0" w:color="auto"/>
              <w:left w:val="nil"/>
              <w:bottom w:val="nil"/>
              <w:right w:val="nil"/>
            </w:tcBorders>
            <w:shd w:val="clear" w:color="auto" w:fill="auto"/>
            <w:noWrap/>
            <w:vAlign w:val="bottom"/>
          </w:tcPr>
          <w:p w14:paraId="5D88C12E"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 xml:space="preserve">Dependent variable: </w:t>
            </w:r>
            <w:r w:rsidRPr="004961A2">
              <w:rPr>
                <w:rFonts w:ascii="Calibri" w:eastAsia="Times New Roman" w:hAnsi="Calibri" w:cs="Calibri"/>
                <w:i/>
                <w:sz w:val="20"/>
                <w:szCs w:val="20"/>
              </w:rPr>
              <w:t>LTV</w:t>
            </w:r>
          </w:p>
        </w:tc>
      </w:tr>
      <w:tr w:rsidR="00DA64BC" w:rsidRPr="00351E73" w14:paraId="32A139C0" w14:textId="77777777" w:rsidTr="00FC7167">
        <w:trPr>
          <w:trHeight w:val="255"/>
          <w:jc w:val="center"/>
        </w:trPr>
        <w:tc>
          <w:tcPr>
            <w:tcW w:w="0" w:type="auto"/>
            <w:tcBorders>
              <w:top w:val="nil"/>
              <w:left w:val="nil"/>
              <w:right w:val="nil"/>
            </w:tcBorders>
            <w:shd w:val="clear" w:color="auto" w:fill="auto"/>
            <w:noWrap/>
            <w:vAlign w:val="bottom"/>
          </w:tcPr>
          <w:p w14:paraId="47BD069B" w14:textId="77777777" w:rsidR="00DA64BC" w:rsidRPr="00351E73" w:rsidRDefault="00DA64BC" w:rsidP="00DA64BC">
            <w:pPr>
              <w:spacing w:after="0" w:line="240" w:lineRule="auto"/>
              <w:contextualSpacing/>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39B34E83"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2008-2010</w:t>
            </w:r>
          </w:p>
        </w:tc>
        <w:tc>
          <w:tcPr>
            <w:tcW w:w="0" w:type="auto"/>
            <w:tcBorders>
              <w:top w:val="nil"/>
              <w:left w:val="nil"/>
              <w:right w:val="nil"/>
            </w:tcBorders>
            <w:shd w:val="clear" w:color="auto" w:fill="auto"/>
            <w:noWrap/>
            <w:vAlign w:val="bottom"/>
          </w:tcPr>
          <w:p w14:paraId="2ED7C824"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2007-2011</w:t>
            </w:r>
          </w:p>
        </w:tc>
        <w:tc>
          <w:tcPr>
            <w:tcW w:w="0" w:type="auto"/>
            <w:tcBorders>
              <w:top w:val="nil"/>
              <w:left w:val="nil"/>
              <w:right w:val="nil"/>
            </w:tcBorders>
            <w:shd w:val="clear" w:color="auto" w:fill="auto"/>
            <w:noWrap/>
            <w:vAlign w:val="bottom"/>
          </w:tcPr>
          <w:p w14:paraId="2725CAAC"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2006-2012</w:t>
            </w:r>
          </w:p>
        </w:tc>
        <w:tc>
          <w:tcPr>
            <w:tcW w:w="0" w:type="auto"/>
            <w:tcBorders>
              <w:top w:val="nil"/>
              <w:left w:val="nil"/>
              <w:right w:val="nil"/>
            </w:tcBorders>
            <w:shd w:val="clear" w:color="auto" w:fill="auto"/>
            <w:noWrap/>
            <w:vAlign w:val="bottom"/>
          </w:tcPr>
          <w:p w14:paraId="6FDCE7CC"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2005-2013</w:t>
            </w:r>
          </w:p>
        </w:tc>
        <w:tc>
          <w:tcPr>
            <w:tcW w:w="0" w:type="auto"/>
            <w:tcBorders>
              <w:top w:val="nil"/>
              <w:left w:val="nil"/>
              <w:right w:val="nil"/>
            </w:tcBorders>
            <w:shd w:val="clear" w:color="auto" w:fill="auto"/>
            <w:noWrap/>
            <w:vAlign w:val="bottom"/>
          </w:tcPr>
          <w:p w14:paraId="08B5699C"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2004-2014</w:t>
            </w:r>
          </w:p>
        </w:tc>
      </w:tr>
      <w:tr w:rsidR="00DA64BC" w:rsidRPr="00351E73" w14:paraId="4D37267B" w14:textId="77777777" w:rsidTr="00FC7167">
        <w:trPr>
          <w:trHeight w:val="255"/>
          <w:jc w:val="center"/>
        </w:trPr>
        <w:tc>
          <w:tcPr>
            <w:tcW w:w="0" w:type="auto"/>
            <w:tcBorders>
              <w:top w:val="nil"/>
              <w:left w:val="nil"/>
              <w:bottom w:val="single" w:sz="4" w:space="0" w:color="auto"/>
              <w:right w:val="nil"/>
            </w:tcBorders>
            <w:shd w:val="clear" w:color="auto" w:fill="auto"/>
            <w:noWrap/>
            <w:vAlign w:val="bottom"/>
          </w:tcPr>
          <w:p w14:paraId="6E313770" w14:textId="77777777" w:rsidR="00DA64BC" w:rsidRPr="00351E73" w:rsidRDefault="00DA64BC" w:rsidP="00DA64BC">
            <w:pPr>
              <w:spacing w:after="0" w:line="240" w:lineRule="auto"/>
              <w:contextualSpacing/>
              <w:rPr>
                <w:rFonts w:ascii="Calibri" w:eastAsia="Times New Roman" w:hAnsi="Calibri" w:cs="Calibri"/>
                <w:sz w:val="20"/>
                <w:szCs w:val="20"/>
              </w:rPr>
            </w:pPr>
          </w:p>
        </w:tc>
        <w:tc>
          <w:tcPr>
            <w:tcW w:w="0" w:type="auto"/>
            <w:tcBorders>
              <w:top w:val="nil"/>
              <w:left w:val="nil"/>
              <w:bottom w:val="single" w:sz="4" w:space="0" w:color="auto"/>
              <w:right w:val="nil"/>
            </w:tcBorders>
            <w:shd w:val="clear" w:color="auto" w:fill="auto"/>
            <w:noWrap/>
            <w:vAlign w:val="bottom"/>
          </w:tcPr>
          <w:p w14:paraId="7128C8D5"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(1)</w:t>
            </w:r>
          </w:p>
        </w:tc>
        <w:tc>
          <w:tcPr>
            <w:tcW w:w="0" w:type="auto"/>
            <w:tcBorders>
              <w:top w:val="nil"/>
              <w:left w:val="nil"/>
              <w:bottom w:val="single" w:sz="4" w:space="0" w:color="auto"/>
              <w:right w:val="nil"/>
            </w:tcBorders>
            <w:shd w:val="clear" w:color="auto" w:fill="auto"/>
            <w:noWrap/>
            <w:vAlign w:val="bottom"/>
          </w:tcPr>
          <w:p w14:paraId="44AD8B0A"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(2)</w:t>
            </w:r>
          </w:p>
        </w:tc>
        <w:tc>
          <w:tcPr>
            <w:tcW w:w="0" w:type="auto"/>
            <w:tcBorders>
              <w:top w:val="nil"/>
              <w:left w:val="nil"/>
              <w:bottom w:val="single" w:sz="4" w:space="0" w:color="auto"/>
              <w:right w:val="nil"/>
            </w:tcBorders>
            <w:shd w:val="clear" w:color="auto" w:fill="auto"/>
            <w:noWrap/>
            <w:vAlign w:val="bottom"/>
          </w:tcPr>
          <w:p w14:paraId="50BBDB9E"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(3)</w:t>
            </w:r>
          </w:p>
        </w:tc>
        <w:tc>
          <w:tcPr>
            <w:tcW w:w="0" w:type="auto"/>
            <w:tcBorders>
              <w:top w:val="nil"/>
              <w:left w:val="nil"/>
              <w:bottom w:val="single" w:sz="4" w:space="0" w:color="auto"/>
              <w:right w:val="nil"/>
            </w:tcBorders>
            <w:shd w:val="clear" w:color="auto" w:fill="auto"/>
            <w:noWrap/>
            <w:vAlign w:val="bottom"/>
          </w:tcPr>
          <w:p w14:paraId="51E52632"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(4)</w:t>
            </w:r>
          </w:p>
        </w:tc>
        <w:tc>
          <w:tcPr>
            <w:tcW w:w="0" w:type="auto"/>
            <w:tcBorders>
              <w:top w:val="nil"/>
              <w:left w:val="nil"/>
              <w:bottom w:val="single" w:sz="4" w:space="0" w:color="auto"/>
              <w:right w:val="nil"/>
            </w:tcBorders>
            <w:shd w:val="clear" w:color="auto" w:fill="auto"/>
            <w:noWrap/>
            <w:vAlign w:val="bottom"/>
          </w:tcPr>
          <w:p w14:paraId="5EF73849" w14:textId="77777777" w:rsidR="00DA64BC" w:rsidRPr="00351E73" w:rsidRDefault="00DA64BC" w:rsidP="00DA64BC">
            <w:pPr>
              <w:spacing w:after="0" w:line="240" w:lineRule="auto"/>
              <w:contextualSpacing/>
              <w:jc w:val="center"/>
              <w:rPr>
                <w:rFonts w:ascii="Calibri" w:eastAsia="Times New Roman" w:hAnsi="Calibri" w:cs="Calibri"/>
                <w:sz w:val="20"/>
                <w:szCs w:val="20"/>
              </w:rPr>
            </w:pPr>
            <w:r w:rsidRPr="00351E73">
              <w:rPr>
                <w:rFonts w:ascii="Calibri" w:eastAsia="Times New Roman" w:hAnsi="Calibri" w:cs="Calibri"/>
                <w:sz w:val="20"/>
                <w:szCs w:val="20"/>
              </w:rPr>
              <w:t>(5)</w:t>
            </w:r>
          </w:p>
        </w:tc>
      </w:tr>
      <w:tr w:rsidR="00DA64BC" w:rsidRPr="00351E73" w14:paraId="3D6E89B9" w14:textId="77777777" w:rsidTr="00FC7167">
        <w:trPr>
          <w:trHeight w:val="255"/>
          <w:jc w:val="center"/>
        </w:trPr>
        <w:tc>
          <w:tcPr>
            <w:tcW w:w="0" w:type="auto"/>
            <w:tcBorders>
              <w:top w:val="single" w:sz="4" w:space="0" w:color="auto"/>
              <w:left w:val="nil"/>
              <w:bottom w:val="nil"/>
              <w:right w:val="nil"/>
            </w:tcBorders>
            <w:shd w:val="clear" w:color="auto" w:fill="auto"/>
            <w:noWrap/>
            <w:vAlign w:val="bottom"/>
          </w:tcPr>
          <w:p w14:paraId="57CC0DFB"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w:t>
            </w:r>
          </w:p>
        </w:tc>
        <w:tc>
          <w:tcPr>
            <w:tcW w:w="0" w:type="auto"/>
            <w:tcBorders>
              <w:top w:val="single" w:sz="4" w:space="0" w:color="auto"/>
              <w:left w:val="nil"/>
              <w:bottom w:val="nil"/>
              <w:right w:val="nil"/>
            </w:tcBorders>
            <w:shd w:val="clear" w:color="auto" w:fill="auto"/>
            <w:noWrap/>
            <w:vAlign w:val="bottom"/>
          </w:tcPr>
          <w:p w14:paraId="4A41331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-1.954**</w:t>
            </w:r>
          </w:p>
        </w:tc>
        <w:tc>
          <w:tcPr>
            <w:tcW w:w="0" w:type="auto"/>
            <w:tcBorders>
              <w:top w:val="single" w:sz="4" w:space="0" w:color="auto"/>
              <w:left w:val="nil"/>
              <w:bottom w:val="nil"/>
              <w:right w:val="nil"/>
            </w:tcBorders>
            <w:shd w:val="clear" w:color="auto" w:fill="auto"/>
            <w:noWrap/>
            <w:vAlign w:val="bottom"/>
          </w:tcPr>
          <w:p w14:paraId="4252028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-2.261***</w:t>
            </w:r>
          </w:p>
        </w:tc>
        <w:tc>
          <w:tcPr>
            <w:tcW w:w="0" w:type="auto"/>
            <w:tcBorders>
              <w:top w:val="single" w:sz="4" w:space="0" w:color="auto"/>
              <w:left w:val="nil"/>
              <w:bottom w:val="nil"/>
              <w:right w:val="nil"/>
            </w:tcBorders>
            <w:shd w:val="clear" w:color="auto" w:fill="auto"/>
            <w:noWrap/>
            <w:vAlign w:val="bottom"/>
          </w:tcPr>
          <w:p w14:paraId="5F38A51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-2.856**</w:t>
            </w:r>
          </w:p>
        </w:tc>
        <w:tc>
          <w:tcPr>
            <w:tcW w:w="0" w:type="auto"/>
            <w:tcBorders>
              <w:top w:val="single" w:sz="4" w:space="0" w:color="auto"/>
              <w:left w:val="nil"/>
              <w:bottom w:val="nil"/>
              <w:right w:val="nil"/>
            </w:tcBorders>
            <w:shd w:val="clear" w:color="auto" w:fill="auto"/>
            <w:noWrap/>
            <w:vAlign w:val="bottom"/>
          </w:tcPr>
          <w:p w14:paraId="1B22B40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-3.092***</w:t>
            </w:r>
          </w:p>
        </w:tc>
        <w:tc>
          <w:tcPr>
            <w:tcW w:w="0" w:type="auto"/>
            <w:tcBorders>
              <w:top w:val="single" w:sz="4" w:space="0" w:color="auto"/>
              <w:left w:val="nil"/>
              <w:bottom w:val="nil"/>
              <w:right w:val="nil"/>
            </w:tcBorders>
            <w:shd w:val="clear" w:color="auto" w:fill="auto"/>
            <w:noWrap/>
            <w:vAlign w:val="bottom"/>
          </w:tcPr>
          <w:p w14:paraId="1D616BB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-3.044**</w:t>
            </w:r>
          </w:p>
        </w:tc>
      </w:tr>
      <w:tr w:rsidR="00DA64BC" w:rsidRPr="00351E73" w14:paraId="00D119FC" w14:textId="77777777" w:rsidTr="00FC7167">
        <w:trPr>
          <w:trHeight w:val="255"/>
          <w:jc w:val="center"/>
        </w:trPr>
        <w:tc>
          <w:tcPr>
            <w:tcW w:w="0" w:type="auto"/>
            <w:tcBorders>
              <w:top w:val="nil"/>
              <w:left w:val="nil"/>
              <w:bottom w:val="nil"/>
              <w:right w:val="nil"/>
            </w:tcBorders>
            <w:shd w:val="clear" w:color="auto" w:fill="auto"/>
            <w:noWrap/>
            <w:vAlign w:val="bottom"/>
          </w:tcPr>
          <w:p w14:paraId="54A65F2A"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0D9DA9C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(.806)</w:t>
            </w:r>
          </w:p>
        </w:tc>
        <w:tc>
          <w:tcPr>
            <w:tcW w:w="0" w:type="auto"/>
            <w:tcBorders>
              <w:top w:val="nil"/>
              <w:left w:val="nil"/>
              <w:bottom w:val="nil"/>
              <w:right w:val="nil"/>
            </w:tcBorders>
            <w:shd w:val="clear" w:color="auto" w:fill="auto"/>
            <w:noWrap/>
            <w:vAlign w:val="bottom"/>
          </w:tcPr>
          <w:p w14:paraId="7485D5E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(.848)</w:t>
            </w:r>
          </w:p>
        </w:tc>
        <w:tc>
          <w:tcPr>
            <w:tcW w:w="0" w:type="auto"/>
            <w:tcBorders>
              <w:top w:val="nil"/>
              <w:left w:val="nil"/>
              <w:bottom w:val="nil"/>
              <w:right w:val="nil"/>
            </w:tcBorders>
            <w:shd w:val="clear" w:color="auto" w:fill="auto"/>
            <w:noWrap/>
            <w:vAlign w:val="bottom"/>
          </w:tcPr>
          <w:p w14:paraId="4D6C171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(1.147)</w:t>
            </w:r>
          </w:p>
        </w:tc>
        <w:tc>
          <w:tcPr>
            <w:tcW w:w="0" w:type="auto"/>
            <w:tcBorders>
              <w:top w:val="nil"/>
              <w:left w:val="nil"/>
              <w:bottom w:val="nil"/>
              <w:right w:val="nil"/>
            </w:tcBorders>
            <w:shd w:val="clear" w:color="auto" w:fill="auto"/>
            <w:noWrap/>
            <w:vAlign w:val="bottom"/>
          </w:tcPr>
          <w:p w14:paraId="46BEF0A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(1.181)</w:t>
            </w:r>
          </w:p>
        </w:tc>
        <w:tc>
          <w:tcPr>
            <w:tcW w:w="0" w:type="auto"/>
            <w:tcBorders>
              <w:top w:val="nil"/>
              <w:left w:val="nil"/>
              <w:bottom w:val="nil"/>
              <w:right w:val="nil"/>
            </w:tcBorders>
            <w:shd w:val="clear" w:color="auto" w:fill="auto"/>
            <w:noWrap/>
            <w:vAlign w:val="bottom"/>
          </w:tcPr>
          <w:p w14:paraId="2621FC1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(1.194)</w:t>
            </w:r>
          </w:p>
        </w:tc>
      </w:tr>
      <w:tr w:rsidR="00DA64BC" w:rsidRPr="00351E73" w14:paraId="6BEED02F" w14:textId="77777777" w:rsidTr="00FC7167">
        <w:trPr>
          <w:trHeight w:val="255"/>
          <w:jc w:val="center"/>
        </w:trPr>
        <w:tc>
          <w:tcPr>
            <w:tcW w:w="0" w:type="auto"/>
            <w:tcBorders>
              <w:top w:val="nil"/>
              <w:left w:val="nil"/>
              <w:bottom w:val="nil"/>
              <w:right w:val="nil"/>
            </w:tcBorders>
            <w:shd w:val="clear" w:color="auto" w:fill="auto"/>
            <w:noWrap/>
            <w:vAlign w:val="bottom"/>
          </w:tcPr>
          <w:p w14:paraId="70DE9649"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Post</w:t>
            </w:r>
          </w:p>
        </w:tc>
        <w:tc>
          <w:tcPr>
            <w:tcW w:w="0" w:type="auto"/>
            <w:tcBorders>
              <w:top w:val="nil"/>
              <w:left w:val="nil"/>
              <w:bottom w:val="nil"/>
              <w:right w:val="nil"/>
            </w:tcBorders>
            <w:shd w:val="clear" w:color="auto" w:fill="auto"/>
            <w:noWrap/>
            <w:vAlign w:val="bottom"/>
          </w:tcPr>
          <w:p w14:paraId="2638622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-16.27***</w:t>
            </w:r>
          </w:p>
        </w:tc>
        <w:tc>
          <w:tcPr>
            <w:tcW w:w="0" w:type="auto"/>
            <w:tcBorders>
              <w:top w:val="nil"/>
              <w:left w:val="nil"/>
              <w:bottom w:val="nil"/>
              <w:right w:val="nil"/>
            </w:tcBorders>
            <w:shd w:val="clear" w:color="auto" w:fill="auto"/>
            <w:noWrap/>
            <w:vAlign w:val="bottom"/>
          </w:tcPr>
          <w:p w14:paraId="5C19A23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-25.44***</w:t>
            </w:r>
          </w:p>
        </w:tc>
        <w:tc>
          <w:tcPr>
            <w:tcW w:w="0" w:type="auto"/>
            <w:tcBorders>
              <w:top w:val="nil"/>
              <w:left w:val="nil"/>
              <w:bottom w:val="nil"/>
              <w:right w:val="nil"/>
            </w:tcBorders>
            <w:shd w:val="clear" w:color="auto" w:fill="auto"/>
            <w:noWrap/>
            <w:vAlign w:val="bottom"/>
          </w:tcPr>
          <w:p w14:paraId="5E711F7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-26.12***</w:t>
            </w:r>
          </w:p>
        </w:tc>
        <w:tc>
          <w:tcPr>
            <w:tcW w:w="0" w:type="auto"/>
            <w:tcBorders>
              <w:top w:val="nil"/>
              <w:left w:val="nil"/>
              <w:bottom w:val="nil"/>
              <w:right w:val="nil"/>
            </w:tcBorders>
            <w:shd w:val="clear" w:color="auto" w:fill="auto"/>
            <w:noWrap/>
            <w:vAlign w:val="bottom"/>
          </w:tcPr>
          <w:p w14:paraId="34D0683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-26.74***</w:t>
            </w:r>
          </w:p>
        </w:tc>
        <w:tc>
          <w:tcPr>
            <w:tcW w:w="0" w:type="auto"/>
            <w:tcBorders>
              <w:top w:val="nil"/>
              <w:left w:val="nil"/>
              <w:bottom w:val="nil"/>
              <w:right w:val="nil"/>
            </w:tcBorders>
            <w:shd w:val="clear" w:color="auto" w:fill="auto"/>
            <w:noWrap/>
            <w:vAlign w:val="bottom"/>
          </w:tcPr>
          <w:p w14:paraId="3A3A5C2C"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-29</w:t>
            </w:r>
            <w:r w:rsidR="006D5455">
              <w:rPr>
                <w:rFonts w:ascii="Calibri" w:hAnsi="Calibri" w:cs="Calibri"/>
                <w:sz w:val="20"/>
                <w:szCs w:val="20"/>
              </w:rPr>
              <w:t>.00</w:t>
            </w:r>
            <w:r>
              <w:rPr>
                <w:rFonts w:ascii="Calibri" w:hAnsi="Calibri" w:cs="Calibri"/>
                <w:sz w:val="20"/>
                <w:szCs w:val="20"/>
              </w:rPr>
              <w:t>***</w:t>
            </w:r>
          </w:p>
        </w:tc>
      </w:tr>
      <w:tr w:rsidR="00DA64BC" w:rsidRPr="00351E73" w14:paraId="309DF69A" w14:textId="77777777" w:rsidTr="00FC7167">
        <w:trPr>
          <w:trHeight w:val="255"/>
          <w:jc w:val="center"/>
        </w:trPr>
        <w:tc>
          <w:tcPr>
            <w:tcW w:w="0" w:type="auto"/>
            <w:tcBorders>
              <w:top w:val="nil"/>
              <w:left w:val="nil"/>
              <w:bottom w:val="nil"/>
              <w:right w:val="nil"/>
            </w:tcBorders>
            <w:shd w:val="clear" w:color="auto" w:fill="auto"/>
            <w:noWrap/>
            <w:vAlign w:val="bottom"/>
          </w:tcPr>
          <w:p w14:paraId="43B590DD"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7833671"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(2.541)</w:t>
            </w:r>
          </w:p>
        </w:tc>
        <w:tc>
          <w:tcPr>
            <w:tcW w:w="0" w:type="auto"/>
            <w:tcBorders>
              <w:top w:val="nil"/>
              <w:left w:val="nil"/>
              <w:bottom w:val="nil"/>
              <w:right w:val="nil"/>
            </w:tcBorders>
            <w:shd w:val="clear" w:color="auto" w:fill="auto"/>
            <w:noWrap/>
            <w:vAlign w:val="bottom"/>
          </w:tcPr>
          <w:p w14:paraId="6FCC63D1"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(3.5</w:t>
            </w:r>
            <w:r w:rsidR="006D5455">
              <w:rPr>
                <w:rFonts w:ascii="Calibri" w:hAnsi="Calibri" w:cs="Calibri"/>
                <w:sz w:val="20"/>
                <w:szCs w:val="20"/>
              </w:rPr>
              <w:t>00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F1E2FC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(3.692)</w:t>
            </w:r>
          </w:p>
        </w:tc>
        <w:tc>
          <w:tcPr>
            <w:tcW w:w="0" w:type="auto"/>
            <w:tcBorders>
              <w:top w:val="nil"/>
              <w:left w:val="nil"/>
              <w:bottom w:val="nil"/>
              <w:right w:val="nil"/>
            </w:tcBorders>
            <w:shd w:val="clear" w:color="auto" w:fill="auto"/>
            <w:noWrap/>
            <w:vAlign w:val="bottom"/>
          </w:tcPr>
          <w:p w14:paraId="141CB47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(3.907)</w:t>
            </w:r>
          </w:p>
        </w:tc>
        <w:tc>
          <w:tcPr>
            <w:tcW w:w="0" w:type="auto"/>
            <w:tcBorders>
              <w:top w:val="nil"/>
              <w:left w:val="nil"/>
              <w:bottom w:val="nil"/>
              <w:right w:val="nil"/>
            </w:tcBorders>
            <w:shd w:val="clear" w:color="auto" w:fill="auto"/>
            <w:noWrap/>
            <w:vAlign w:val="bottom"/>
          </w:tcPr>
          <w:p w14:paraId="2C43659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(4.14</w:t>
            </w:r>
            <w:r w:rsidR="006D5455">
              <w:rPr>
                <w:rFonts w:ascii="Calibri" w:hAnsi="Calibri" w:cs="Calibri"/>
                <w:sz w:val="20"/>
                <w:szCs w:val="20"/>
              </w:rPr>
              <w:t>0</w:t>
            </w:r>
            <w:r>
              <w:rPr>
                <w:rFonts w:ascii="Calibri" w:hAnsi="Calibri" w:cs="Calibri"/>
                <w:sz w:val="20"/>
                <w:szCs w:val="20"/>
              </w:rPr>
              <w:t>)</w:t>
            </w:r>
          </w:p>
        </w:tc>
      </w:tr>
      <w:tr w:rsidR="00DA64BC" w:rsidRPr="00351E73" w14:paraId="3421E4C6" w14:textId="77777777" w:rsidTr="00FC7167">
        <w:trPr>
          <w:trHeight w:val="255"/>
          <w:jc w:val="center"/>
        </w:trPr>
        <w:tc>
          <w:tcPr>
            <w:tcW w:w="0" w:type="auto"/>
            <w:tcBorders>
              <w:top w:val="nil"/>
              <w:left w:val="nil"/>
              <w:bottom w:val="nil"/>
              <w:right w:val="nil"/>
            </w:tcBorders>
            <w:shd w:val="clear" w:color="auto" w:fill="auto"/>
            <w:noWrap/>
            <w:vAlign w:val="bottom"/>
          </w:tcPr>
          <w:p w14:paraId="370A3F1F"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Subsidiary * Post</w:t>
            </w:r>
          </w:p>
        </w:tc>
        <w:tc>
          <w:tcPr>
            <w:tcW w:w="0" w:type="auto"/>
            <w:tcBorders>
              <w:top w:val="nil"/>
              <w:left w:val="nil"/>
              <w:bottom w:val="nil"/>
              <w:right w:val="nil"/>
            </w:tcBorders>
            <w:shd w:val="clear" w:color="auto" w:fill="auto"/>
            <w:noWrap/>
            <w:vAlign w:val="bottom"/>
          </w:tcPr>
          <w:p w14:paraId="1F24658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-4.122***</w:t>
            </w:r>
          </w:p>
        </w:tc>
        <w:tc>
          <w:tcPr>
            <w:tcW w:w="0" w:type="auto"/>
            <w:tcBorders>
              <w:top w:val="nil"/>
              <w:left w:val="nil"/>
              <w:bottom w:val="nil"/>
              <w:right w:val="nil"/>
            </w:tcBorders>
            <w:shd w:val="clear" w:color="auto" w:fill="auto"/>
            <w:noWrap/>
            <w:vAlign w:val="bottom"/>
          </w:tcPr>
          <w:p w14:paraId="52588B2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-2.427</w:t>
            </w:r>
          </w:p>
        </w:tc>
        <w:tc>
          <w:tcPr>
            <w:tcW w:w="0" w:type="auto"/>
            <w:tcBorders>
              <w:top w:val="nil"/>
              <w:left w:val="nil"/>
              <w:bottom w:val="nil"/>
              <w:right w:val="nil"/>
            </w:tcBorders>
            <w:shd w:val="clear" w:color="auto" w:fill="auto"/>
            <w:noWrap/>
            <w:vAlign w:val="bottom"/>
          </w:tcPr>
          <w:p w14:paraId="29DFCC4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-1.127</w:t>
            </w:r>
          </w:p>
        </w:tc>
        <w:tc>
          <w:tcPr>
            <w:tcW w:w="0" w:type="auto"/>
            <w:tcBorders>
              <w:top w:val="nil"/>
              <w:left w:val="nil"/>
              <w:bottom w:val="nil"/>
              <w:right w:val="nil"/>
            </w:tcBorders>
            <w:shd w:val="clear" w:color="auto" w:fill="auto"/>
            <w:noWrap/>
            <w:vAlign w:val="bottom"/>
          </w:tcPr>
          <w:p w14:paraId="09ABDF7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.322</w:t>
            </w:r>
          </w:p>
        </w:tc>
        <w:tc>
          <w:tcPr>
            <w:tcW w:w="0" w:type="auto"/>
            <w:tcBorders>
              <w:top w:val="nil"/>
              <w:left w:val="nil"/>
              <w:bottom w:val="nil"/>
              <w:right w:val="nil"/>
            </w:tcBorders>
            <w:shd w:val="clear" w:color="auto" w:fill="auto"/>
            <w:noWrap/>
            <w:vAlign w:val="bottom"/>
          </w:tcPr>
          <w:p w14:paraId="21A78EE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-.0301</w:t>
            </w:r>
          </w:p>
        </w:tc>
      </w:tr>
      <w:tr w:rsidR="00DA64BC" w:rsidRPr="00351E73" w14:paraId="337BC661" w14:textId="77777777" w:rsidTr="00FC7167">
        <w:trPr>
          <w:trHeight w:val="255"/>
          <w:jc w:val="center"/>
        </w:trPr>
        <w:tc>
          <w:tcPr>
            <w:tcW w:w="0" w:type="auto"/>
            <w:tcBorders>
              <w:top w:val="nil"/>
              <w:left w:val="nil"/>
              <w:bottom w:val="nil"/>
              <w:right w:val="nil"/>
            </w:tcBorders>
            <w:shd w:val="clear" w:color="auto" w:fill="auto"/>
            <w:noWrap/>
            <w:vAlign w:val="bottom"/>
          </w:tcPr>
          <w:p w14:paraId="135243E5"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5603520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(1.542)</w:t>
            </w:r>
          </w:p>
        </w:tc>
        <w:tc>
          <w:tcPr>
            <w:tcW w:w="0" w:type="auto"/>
            <w:tcBorders>
              <w:top w:val="nil"/>
              <w:left w:val="nil"/>
              <w:bottom w:val="nil"/>
              <w:right w:val="nil"/>
            </w:tcBorders>
            <w:shd w:val="clear" w:color="auto" w:fill="auto"/>
            <w:noWrap/>
            <w:vAlign w:val="bottom"/>
          </w:tcPr>
          <w:p w14:paraId="586DB17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(1.705)</w:t>
            </w:r>
          </w:p>
        </w:tc>
        <w:tc>
          <w:tcPr>
            <w:tcW w:w="0" w:type="auto"/>
            <w:tcBorders>
              <w:top w:val="nil"/>
              <w:left w:val="nil"/>
              <w:bottom w:val="nil"/>
              <w:right w:val="nil"/>
            </w:tcBorders>
            <w:shd w:val="clear" w:color="auto" w:fill="auto"/>
            <w:noWrap/>
            <w:vAlign w:val="bottom"/>
          </w:tcPr>
          <w:p w14:paraId="033E693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(1.984)</w:t>
            </w:r>
          </w:p>
        </w:tc>
        <w:tc>
          <w:tcPr>
            <w:tcW w:w="0" w:type="auto"/>
            <w:tcBorders>
              <w:top w:val="nil"/>
              <w:left w:val="nil"/>
              <w:bottom w:val="nil"/>
              <w:right w:val="nil"/>
            </w:tcBorders>
            <w:shd w:val="clear" w:color="auto" w:fill="auto"/>
            <w:noWrap/>
            <w:vAlign w:val="bottom"/>
          </w:tcPr>
          <w:p w14:paraId="0C5833C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(2.061)</w:t>
            </w:r>
          </w:p>
        </w:tc>
        <w:tc>
          <w:tcPr>
            <w:tcW w:w="0" w:type="auto"/>
            <w:tcBorders>
              <w:top w:val="nil"/>
              <w:left w:val="nil"/>
              <w:bottom w:val="nil"/>
              <w:right w:val="nil"/>
            </w:tcBorders>
            <w:shd w:val="clear" w:color="auto" w:fill="auto"/>
            <w:noWrap/>
            <w:vAlign w:val="bottom"/>
          </w:tcPr>
          <w:p w14:paraId="2EC76BB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(2.12</w:t>
            </w:r>
            <w:r w:rsidR="006D5455">
              <w:rPr>
                <w:rFonts w:ascii="Calibri" w:hAnsi="Calibri" w:cs="Calibri"/>
                <w:sz w:val="20"/>
                <w:szCs w:val="20"/>
              </w:rPr>
              <w:t>0</w:t>
            </w:r>
            <w:r>
              <w:rPr>
                <w:rFonts w:ascii="Calibri" w:hAnsi="Calibri" w:cs="Calibri"/>
                <w:sz w:val="20"/>
                <w:szCs w:val="20"/>
              </w:rPr>
              <w:t>)</w:t>
            </w:r>
          </w:p>
        </w:tc>
      </w:tr>
      <w:tr w:rsidR="00DA64BC" w:rsidRPr="00351E73" w14:paraId="3C328CE9" w14:textId="77777777" w:rsidTr="00FC7167">
        <w:trPr>
          <w:trHeight w:val="255"/>
          <w:jc w:val="center"/>
        </w:trPr>
        <w:tc>
          <w:tcPr>
            <w:tcW w:w="0" w:type="auto"/>
            <w:tcBorders>
              <w:top w:val="nil"/>
              <w:left w:val="nil"/>
              <w:bottom w:val="nil"/>
              <w:right w:val="nil"/>
            </w:tcBorders>
            <w:shd w:val="clear" w:color="auto" w:fill="auto"/>
            <w:noWrap/>
            <w:vAlign w:val="bottom"/>
          </w:tcPr>
          <w:p w14:paraId="2E763458"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InitialRate</w:t>
            </w:r>
          </w:p>
        </w:tc>
        <w:tc>
          <w:tcPr>
            <w:tcW w:w="0" w:type="auto"/>
            <w:tcBorders>
              <w:top w:val="nil"/>
              <w:left w:val="nil"/>
              <w:bottom w:val="nil"/>
              <w:right w:val="nil"/>
            </w:tcBorders>
            <w:shd w:val="clear" w:color="auto" w:fill="auto"/>
            <w:noWrap/>
            <w:vAlign w:val="bottom"/>
          </w:tcPr>
          <w:p w14:paraId="07C2DF8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.25</w:t>
            </w:r>
            <w:r w:rsidR="006D5455">
              <w:rPr>
                <w:rFonts w:ascii="Calibri" w:hAnsi="Calibri" w:cs="Calibri"/>
                <w:sz w:val="20"/>
                <w:szCs w:val="20"/>
              </w:rPr>
              <w:t>0</w:t>
            </w:r>
          </w:p>
        </w:tc>
        <w:tc>
          <w:tcPr>
            <w:tcW w:w="0" w:type="auto"/>
            <w:tcBorders>
              <w:top w:val="nil"/>
              <w:left w:val="nil"/>
              <w:bottom w:val="nil"/>
              <w:right w:val="nil"/>
            </w:tcBorders>
            <w:shd w:val="clear" w:color="auto" w:fill="auto"/>
            <w:noWrap/>
            <w:vAlign w:val="bottom"/>
          </w:tcPr>
          <w:p w14:paraId="5A06588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-.249</w:t>
            </w:r>
          </w:p>
        </w:tc>
        <w:tc>
          <w:tcPr>
            <w:tcW w:w="0" w:type="auto"/>
            <w:tcBorders>
              <w:top w:val="nil"/>
              <w:left w:val="nil"/>
              <w:bottom w:val="nil"/>
              <w:right w:val="nil"/>
            </w:tcBorders>
            <w:shd w:val="clear" w:color="auto" w:fill="auto"/>
            <w:noWrap/>
            <w:vAlign w:val="bottom"/>
          </w:tcPr>
          <w:p w14:paraId="407E4B3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-3.37</w:t>
            </w:r>
            <w:r w:rsidR="006D5455">
              <w:rPr>
                <w:rFonts w:ascii="Calibri" w:hAnsi="Calibri" w:cs="Calibri"/>
                <w:sz w:val="20"/>
                <w:szCs w:val="20"/>
              </w:rPr>
              <w:t>0</w:t>
            </w:r>
          </w:p>
        </w:tc>
        <w:tc>
          <w:tcPr>
            <w:tcW w:w="0" w:type="auto"/>
            <w:tcBorders>
              <w:top w:val="nil"/>
              <w:left w:val="nil"/>
              <w:bottom w:val="nil"/>
              <w:right w:val="nil"/>
            </w:tcBorders>
            <w:shd w:val="clear" w:color="auto" w:fill="auto"/>
            <w:noWrap/>
            <w:vAlign w:val="bottom"/>
          </w:tcPr>
          <w:p w14:paraId="4818EA0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-3.741</w:t>
            </w:r>
          </w:p>
        </w:tc>
        <w:tc>
          <w:tcPr>
            <w:tcW w:w="0" w:type="auto"/>
            <w:tcBorders>
              <w:top w:val="nil"/>
              <w:left w:val="nil"/>
              <w:bottom w:val="nil"/>
              <w:right w:val="nil"/>
            </w:tcBorders>
            <w:shd w:val="clear" w:color="auto" w:fill="auto"/>
            <w:noWrap/>
            <w:vAlign w:val="bottom"/>
          </w:tcPr>
          <w:p w14:paraId="7ED7E9D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-4.176</w:t>
            </w:r>
          </w:p>
        </w:tc>
      </w:tr>
      <w:tr w:rsidR="00DA64BC" w:rsidRPr="00351E73" w14:paraId="319F1A72" w14:textId="77777777" w:rsidTr="00FC7167">
        <w:trPr>
          <w:trHeight w:val="255"/>
          <w:jc w:val="center"/>
        </w:trPr>
        <w:tc>
          <w:tcPr>
            <w:tcW w:w="0" w:type="auto"/>
            <w:tcBorders>
              <w:top w:val="nil"/>
              <w:left w:val="nil"/>
              <w:bottom w:val="nil"/>
              <w:right w:val="nil"/>
            </w:tcBorders>
            <w:shd w:val="clear" w:color="auto" w:fill="auto"/>
            <w:noWrap/>
            <w:vAlign w:val="bottom"/>
          </w:tcPr>
          <w:p w14:paraId="7A549C49"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1AFC8DF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(2.88</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65DEF081"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(2.971)</w:t>
            </w:r>
          </w:p>
        </w:tc>
        <w:tc>
          <w:tcPr>
            <w:tcW w:w="0" w:type="auto"/>
            <w:tcBorders>
              <w:top w:val="nil"/>
              <w:left w:val="nil"/>
              <w:bottom w:val="nil"/>
              <w:right w:val="nil"/>
            </w:tcBorders>
            <w:shd w:val="clear" w:color="auto" w:fill="auto"/>
            <w:noWrap/>
            <w:vAlign w:val="bottom"/>
          </w:tcPr>
          <w:p w14:paraId="34BD726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(3.337)</w:t>
            </w:r>
          </w:p>
        </w:tc>
        <w:tc>
          <w:tcPr>
            <w:tcW w:w="0" w:type="auto"/>
            <w:tcBorders>
              <w:top w:val="nil"/>
              <w:left w:val="nil"/>
              <w:bottom w:val="nil"/>
              <w:right w:val="nil"/>
            </w:tcBorders>
            <w:shd w:val="clear" w:color="auto" w:fill="auto"/>
            <w:noWrap/>
            <w:vAlign w:val="bottom"/>
          </w:tcPr>
          <w:p w14:paraId="62DAEF0C"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(3.29</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0411957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(3.229)</w:t>
            </w:r>
          </w:p>
        </w:tc>
      </w:tr>
      <w:tr w:rsidR="00DA64BC" w:rsidRPr="00351E73" w14:paraId="6BD46F47" w14:textId="77777777" w:rsidTr="00FC7167">
        <w:trPr>
          <w:trHeight w:val="255"/>
          <w:jc w:val="center"/>
        </w:trPr>
        <w:tc>
          <w:tcPr>
            <w:tcW w:w="0" w:type="auto"/>
            <w:tcBorders>
              <w:top w:val="nil"/>
              <w:left w:val="nil"/>
              <w:bottom w:val="nil"/>
              <w:right w:val="nil"/>
            </w:tcBorders>
            <w:shd w:val="clear" w:color="auto" w:fill="auto"/>
            <w:noWrap/>
            <w:vAlign w:val="bottom"/>
          </w:tcPr>
          <w:p w14:paraId="3FC64DB2"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FICO</w:t>
            </w:r>
          </w:p>
        </w:tc>
        <w:tc>
          <w:tcPr>
            <w:tcW w:w="0" w:type="auto"/>
            <w:tcBorders>
              <w:top w:val="nil"/>
              <w:left w:val="nil"/>
              <w:bottom w:val="nil"/>
              <w:right w:val="nil"/>
            </w:tcBorders>
            <w:shd w:val="clear" w:color="auto" w:fill="auto"/>
            <w:noWrap/>
            <w:vAlign w:val="bottom"/>
          </w:tcPr>
          <w:p w14:paraId="359F8E0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.0204</w:t>
            </w:r>
          </w:p>
        </w:tc>
        <w:tc>
          <w:tcPr>
            <w:tcW w:w="0" w:type="auto"/>
            <w:tcBorders>
              <w:top w:val="nil"/>
              <w:left w:val="nil"/>
              <w:bottom w:val="nil"/>
              <w:right w:val="nil"/>
            </w:tcBorders>
            <w:shd w:val="clear" w:color="auto" w:fill="auto"/>
            <w:noWrap/>
            <w:vAlign w:val="bottom"/>
          </w:tcPr>
          <w:p w14:paraId="4518F07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.0204</w:t>
            </w:r>
          </w:p>
        </w:tc>
        <w:tc>
          <w:tcPr>
            <w:tcW w:w="0" w:type="auto"/>
            <w:tcBorders>
              <w:top w:val="nil"/>
              <w:left w:val="nil"/>
              <w:bottom w:val="nil"/>
              <w:right w:val="nil"/>
            </w:tcBorders>
            <w:shd w:val="clear" w:color="auto" w:fill="auto"/>
            <w:noWrap/>
            <w:vAlign w:val="bottom"/>
          </w:tcPr>
          <w:p w14:paraId="68CD24F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-.000676</w:t>
            </w:r>
          </w:p>
        </w:tc>
        <w:tc>
          <w:tcPr>
            <w:tcW w:w="0" w:type="auto"/>
            <w:tcBorders>
              <w:top w:val="nil"/>
              <w:left w:val="nil"/>
              <w:bottom w:val="nil"/>
              <w:right w:val="nil"/>
            </w:tcBorders>
            <w:shd w:val="clear" w:color="auto" w:fill="auto"/>
            <w:noWrap/>
            <w:vAlign w:val="bottom"/>
          </w:tcPr>
          <w:p w14:paraId="210F487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-.00373</w:t>
            </w:r>
          </w:p>
        </w:tc>
        <w:tc>
          <w:tcPr>
            <w:tcW w:w="0" w:type="auto"/>
            <w:tcBorders>
              <w:top w:val="nil"/>
              <w:left w:val="nil"/>
              <w:bottom w:val="nil"/>
              <w:right w:val="nil"/>
            </w:tcBorders>
            <w:shd w:val="clear" w:color="auto" w:fill="auto"/>
            <w:noWrap/>
            <w:vAlign w:val="bottom"/>
          </w:tcPr>
          <w:p w14:paraId="625B839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-.0059</w:t>
            </w:r>
            <w:r w:rsidR="006D5455">
              <w:rPr>
                <w:rFonts w:ascii="Calibri" w:hAnsi="Calibri" w:cs="Calibri"/>
                <w:sz w:val="20"/>
                <w:szCs w:val="20"/>
              </w:rPr>
              <w:t>0</w:t>
            </w:r>
          </w:p>
        </w:tc>
      </w:tr>
      <w:tr w:rsidR="00DA64BC" w:rsidRPr="00351E73" w14:paraId="7EAC7EDE" w14:textId="77777777" w:rsidTr="00FC7167">
        <w:trPr>
          <w:trHeight w:val="255"/>
          <w:jc w:val="center"/>
        </w:trPr>
        <w:tc>
          <w:tcPr>
            <w:tcW w:w="0" w:type="auto"/>
            <w:tcBorders>
              <w:top w:val="nil"/>
              <w:left w:val="nil"/>
              <w:bottom w:val="nil"/>
              <w:right w:val="nil"/>
            </w:tcBorders>
            <w:shd w:val="clear" w:color="auto" w:fill="auto"/>
            <w:noWrap/>
            <w:vAlign w:val="bottom"/>
          </w:tcPr>
          <w:p w14:paraId="4FBDE9CF"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3BF7D2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(.0186)</w:t>
            </w:r>
          </w:p>
        </w:tc>
        <w:tc>
          <w:tcPr>
            <w:tcW w:w="0" w:type="auto"/>
            <w:tcBorders>
              <w:top w:val="nil"/>
              <w:left w:val="nil"/>
              <w:bottom w:val="nil"/>
              <w:right w:val="nil"/>
            </w:tcBorders>
            <w:shd w:val="clear" w:color="auto" w:fill="auto"/>
            <w:noWrap/>
            <w:vAlign w:val="bottom"/>
          </w:tcPr>
          <w:p w14:paraId="2430D13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(.0198)</w:t>
            </w:r>
          </w:p>
        </w:tc>
        <w:tc>
          <w:tcPr>
            <w:tcW w:w="0" w:type="auto"/>
            <w:tcBorders>
              <w:top w:val="nil"/>
              <w:left w:val="nil"/>
              <w:bottom w:val="nil"/>
              <w:right w:val="nil"/>
            </w:tcBorders>
            <w:shd w:val="clear" w:color="auto" w:fill="auto"/>
            <w:noWrap/>
            <w:vAlign w:val="bottom"/>
          </w:tcPr>
          <w:p w14:paraId="7FD68CC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(.0216)</w:t>
            </w:r>
          </w:p>
        </w:tc>
        <w:tc>
          <w:tcPr>
            <w:tcW w:w="0" w:type="auto"/>
            <w:tcBorders>
              <w:top w:val="nil"/>
              <w:left w:val="nil"/>
              <w:bottom w:val="nil"/>
              <w:right w:val="nil"/>
            </w:tcBorders>
            <w:shd w:val="clear" w:color="auto" w:fill="auto"/>
            <w:noWrap/>
            <w:vAlign w:val="bottom"/>
          </w:tcPr>
          <w:p w14:paraId="64E3CD2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(.0216)</w:t>
            </w:r>
          </w:p>
        </w:tc>
        <w:tc>
          <w:tcPr>
            <w:tcW w:w="0" w:type="auto"/>
            <w:tcBorders>
              <w:top w:val="nil"/>
              <w:left w:val="nil"/>
              <w:bottom w:val="nil"/>
              <w:right w:val="nil"/>
            </w:tcBorders>
            <w:shd w:val="clear" w:color="auto" w:fill="auto"/>
            <w:noWrap/>
            <w:vAlign w:val="bottom"/>
          </w:tcPr>
          <w:p w14:paraId="1241BAE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(.0215)</w:t>
            </w:r>
          </w:p>
        </w:tc>
      </w:tr>
      <w:tr w:rsidR="00DA64BC" w:rsidRPr="00351E73" w14:paraId="47742BCC" w14:textId="77777777" w:rsidTr="00FC7167">
        <w:trPr>
          <w:trHeight w:val="255"/>
          <w:jc w:val="center"/>
        </w:trPr>
        <w:tc>
          <w:tcPr>
            <w:tcW w:w="0" w:type="auto"/>
            <w:tcBorders>
              <w:top w:val="nil"/>
              <w:left w:val="nil"/>
              <w:bottom w:val="nil"/>
              <w:right w:val="nil"/>
            </w:tcBorders>
            <w:shd w:val="clear" w:color="auto" w:fill="auto"/>
            <w:noWrap/>
            <w:vAlign w:val="bottom"/>
          </w:tcPr>
          <w:p w14:paraId="3A8BFF03"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RelLoanSize</w:t>
            </w:r>
          </w:p>
        </w:tc>
        <w:tc>
          <w:tcPr>
            <w:tcW w:w="0" w:type="auto"/>
            <w:tcBorders>
              <w:top w:val="nil"/>
              <w:left w:val="nil"/>
              <w:bottom w:val="nil"/>
              <w:right w:val="nil"/>
            </w:tcBorders>
            <w:shd w:val="clear" w:color="auto" w:fill="auto"/>
            <w:noWrap/>
            <w:vAlign w:val="bottom"/>
          </w:tcPr>
          <w:p w14:paraId="27C2F361"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11.75***</w:t>
            </w:r>
          </w:p>
        </w:tc>
        <w:tc>
          <w:tcPr>
            <w:tcW w:w="0" w:type="auto"/>
            <w:tcBorders>
              <w:top w:val="nil"/>
              <w:left w:val="nil"/>
              <w:bottom w:val="nil"/>
              <w:right w:val="nil"/>
            </w:tcBorders>
            <w:shd w:val="clear" w:color="auto" w:fill="auto"/>
            <w:noWrap/>
            <w:vAlign w:val="bottom"/>
          </w:tcPr>
          <w:p w14:paraId="7CFF892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11.68***</w:t>
            </w:r>
          </w:p>
        </w:tc>
        <w:tc>
          <w:tcPr>
            <w:tcW w:w="0" w:type="auto"/>
            <w:tcBorders>
              <w:top w:val="nil"/>
              <w:left w:val="nil"/>
              <w:bottom w:val="nil"/>
              <w:right w:val="nil"/>
            </w:tcBorders>
            <w:shd w:val="clear" w:color="auto" w:fill="auto"/>
            <w:noWrap/>
            <w:vAlign w:val="bottom"/>
          </w:tcPr>
          <w:p w14:paraId="723EABB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11.07***</w:t>
            </w:r>
          </w:p>
        </w:tc>
        <w:tc>
          <w:tcPr>
            <w:tcW w:w="0" w:type="auto"/>
            <w:tcBorders>
              <w:top w:val="nil"/>
              <w:left w:val="nil"/>
              <w:bottom w:val="nil"/>
              <w:right w:val="nil"/>
            </w:tcBorders>
            <w:shd w:val="clear" w:color="auto" w:fill="auto"/>
            <w:noWrap/>
            <w:vAlign w:val="bottom"/>
          </w:tcPr>
          <w:p w14:paraId="694E44A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10.96***</w:t>
            </w:r>
          </w:p>
        </w:tc>
        <w:tc>
          <w:tcPr>
            <w:tcW w:w="0" w:type="auto"/>
            <w:tcBorders>
              <w:top w:val="nil"/>
              <w:left w:val="nil"/>
              <w:bottom w:val="nil"/>
              <w:right w:val="nil"/>
            </w:tcBorders>
            <w:shd w:val="clear" w:color="auto" w:fill="auto"/>
            <w:noWrap/>
            <w:vAlign w:val="bottom"/>
          </w:tcPr>
          <w:p w14:paraId="7AAC84E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11.07***</w:t>
            </w:r>
          </w:p>
        </w:tc>
      </w:tr>
      <w:tr w:rsidR="00DA64BC" w:rsidRPr="00351E73" w14:paraId="3BC2A48B" w14:textId="77777777" w:rsidTr="00FC7167">
        <w:trPr>
          <w:trHeight w:val="255"/>
          <w:jc w:val="center"/>
        </w:trPr>
        <w:tc>
          <w:tcPr>
            <w:tcW w:w="0" w:type="auto"/>
            <w:tcBorders>
              <w:top w:val="nil"/>
              <w:left w:val="nil"/>
              <w:bottom w:val="nil"/>
              <w:right w:val="nil"/>
            </w:tcBorders>
            <w:shd w:val="clear" w:color="auto" w:fill="auto"/>
            <w:noWrap/>
            <w:vAlign w:val="bottom"/>
          </w:tcPr>
          <w:p w14:paraId="4EC117D6"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60BC47B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(.74</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3217B1D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(.773)</w:t>
            </w:r>
          </w:p>
        </w:tc>
        <w:tc>
          <w:tcPr>
            <w:tcW w:w="0" w:type="auto"/>
            <w:tcBorders>
              <w:top w:val="nil"/>
              <w:left w:val="nil"/>
              <w:bottom w:val="nil"/>
              <w:right w:val="nil"/>
            </w:tcBorders>
            <w:shd w:val="clear" w:color="auto" w:fill="auto"/>
            <w:noWrap/>
            <w:vAlign w:val="bottom"/>
          </w:tcPr>
          <w:p w14:paraId="520F2D3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(.905)</w:t>
            </w:r>
          </w:p>
        </w:tc>
        <w:tc>
          <w:tcPr>
            <w:tcW w:w="0" w:type="auto"/>
            <w:tcBorders>
              <w:top w:val="nil"/>
              <w:left w:val="nil"/>
              <w:bottom w:val="nil"/>
              <w:right w:val="nil"/>
            </w:tcBorders>
            <w:shd w:val="clear" w:color="auto" w:fill="auto"/>
            <w:noWrap/>
            <w:vAlign w:val="bottom"/>
          </w:tcPr>
          <w:p w14:paraId="2B46B78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(.928)</w:t>
            </w:r>
          </w:p>
        </w:tc>
        <w:tc>
          <w:tcPr>
            <w:tcW w:w="0" w:type="auto"/>
            <w:tcBorders>
              <w:top w:val="nil"/>
              <w:left w:val="nil"/>
              <w:bottom w:val="nil"/>
              <w:right w:val="nil"/>
            </w:tcBorders>
            <w:shd w:val="clear" w:color="auto" w:fill="auto"/>
            <w:noWrap/>
            <w:vAlign w:val="bottom"/>
          </w:tcPr>
          <w:p w14:paraId="52FC7FE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(.945)</w:t>
            </w:r>
          </w:p>
        </w:tc>
      </w:tr>
      <w:tr w:rsidR="00DA64BC" w:rsidRPr="00351E73" w14:paraId="1C267C3A" w14:textId="77777777" w:rsidTr="00FC7167">
        <w:trPr>
          <w:trHeight w:val="255"/>
          <w:jc w:val="center"/>
        </w:trPr>
        <w:tc>
          <w:tcPr>
            <w:tcW w:w="0" w:type="auto"/>
            <w:tcBorders>
              <w:top w:val="nil"/>
              <w:left w:val="nil"/>
              <w:bottom w:val="nil"/>
              <w:right w:val="nil"/>
            </w:tcBorders>
            <w:shd w:val="clear" w:color="auto" w:fill="auto"/>
            <w:noWrap/>
            <w:vAlign w:val="bottom"/>
          </w:tcPr>
          <w:p w14:paraId="352F3F1D"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OwnerOcc</w:t>
            </w:r>
          </w:p>
        </w:tc>
        <w:tc>
          <w:tcPr>
            <w:tcW w:w="0" w:type="auto"/>
            <w:tcBorders>
              <w:top w:val="nil"/>
              <w:left w:val="nil"/>
              <w:bottom w:val="nil"/>
              <w:right w:val="nil"/>
            </w:tcBorders>
            <w:shd w:val="clear" w:color="auto" w:fill="auto"/>
            <w:noWrap/>
            <w:vAlign w:val="bottom"/>
          </w:tcPr>
          <w:p w14:paraId="7095147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2.431***</w:t>
            </w:r>
          </w:p>
        </w:tc>
        <w:tc>
          <w:tcPr>
            <w:tcW w:w="0" w:type="auto"/>
            <w:tcBorders>
              <w:top w:val="nil"/>
              <w:left w:val="nil"/>
              <w:bottom w:val="nil"/>
              <w:right w:val="nil"/>
            </w:tcBorders>
            <w:shd w:val="clear" w:color="auto" w:fill="auto"/>
            <w:noWrap/>
            <w:vAlign w:val="bottom"/>
          </w:tcPr>
          <w:p w14:paraId="223F571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2.794***</w:t>
            </w:r>
          </w:p>
        </w:tc>
        <w:tc>
          <w:tcPr>
            <w:tcW w:w="0" w:type="auto"/>
            <w:tcBorders>
              <w:top w:val="nil"/>
              <w:left w:val="nil"/>
              <w:bottom w:val="nil"/>
              <w:right w:val="nil"/>
            </w:tcBorders>
            <w:shd w:val="clear" w:color="auto" w:fill="auto"/>
            <w:noWrap/>
            <w:vAlign w:val="bottom"/>
          </w:tcPr>
          <w:p w14:paraId="72FD3EB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2.683***</w:t>
            </w:r>
          </w:p>
        </w:tc>
        <w:tc>
          <w:tcPr>
            <w:tcW w:w="0" w:type="auto"/>
            <w:tcBorders>
              <w:top w:val="nil"/>
              <w:left w:val="nil"/>
              <w:bottom w:val="nil"/>
              <w:right w:val="nil"/>
            </w:tcBorders>
            <w:shd w:val="clear" w:color="auto" w:fill="auto"/>
            <w:noWrap/>
            <w:vAlign w:val="bottom"/>
          </w:tcPr>
          <w:p w14:paraId="785BA3C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2.476**</w:t>
            </w:r>
          </w:p>
        </w:tc>
        <w:tc>
          <w:tcPr>
            <w:tcW w:w="0" w:type="auto"/>
            <w:tcBorders>
              <w:top w:val="nil"/>
              <w:left w:val="nil"/>
              <w:bottom w:val="nil"/>
              <w:right w:val="nil"/>
            </w:tcBorders>
            <w:shd w:val="clear" w:color="auto" w:fill="auto"/>
            <w:noWrap/>
            <w:vAlign w:val="bottom"/>
          </w:tcPr>
          <w:p w14:paraId="6EA71D9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2.354**</w:t>
            </w:r>
          </w:p>
        </w:tc>
      </w:tr>
      <w:tr w:rsidR="00DA64BC" w:rsidRPr="00351E73" w14:paraId="6AA6EFBA" w14:textId="77777777" w:rsidTr="00FC7167">
        <w:trPr>
          <w:trHeight w:val="255"/>
          <w:jc w:val="center"/>
        </w:trPr>
        <w:tc>
          <w:tcPr>
            <w:tcW w:w="0" w:type="auto"/>
            <w:tcBorders>
              <w:top w:val="nil"/>
              <w:left w:val="nil"/>
              <w:bottom w:val="nil"/>
              <w:right w:val="nil"/>
            </w:tcBorders>
            <w:shd w:val="clear" w:color="auto" w:fill="auto"/>
            <w:noWrap/>
            <w:vAlign w:val="bottom"/>
          </w:tcPr>
          <w:p w14:paraId="0B787F3C"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28B5E32F"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(.792)</w:t>
            </w:r>
          </w:p>
        </w:tc>
        <w:tc>
          <w:tcPr>
            <w:tcW w:w="0" w:type="auto"/>
            <w:tcBorders>
              <w:top w:val="nil"/>
              <w:left w:val="nil"/>
              <w:bottom w:val="nil"/>
              <w:right w:val="nil"/>
            </w:tcBorders>
            <w:shd w:val="clear" w:color="auto" w:fill="auto"/>
            <w:noWrap/>
            <w:vAlign w:val="bottom"/>
          </w:tcPr>
          <w:p w14:paraId="64D9595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(.846)</w:t>
            </w:r>
          </w:p>
        </w:tc>
        <w:tc>
          <w:tcPr>
            <w:tcW w:w="0" w:type="auto"/>
            <w:tcBorders>
              <w:top w:val="nil"/>
              <w:left w:val="nil"/>
              <w:bottom w:val="nil"/>
              <w:right w:val="nil"/>
            </w:tcBorders>
            <w:shd w:val="clear" w:color="auto" w:fill="auto"/>
            <w:noWrap/>
            <w:vAlign w:val="bottom"/>
          </w:tcPr>
          <w:p w14:paraId="0146361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(.97</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bottom w:val="nil"/>
              <w:right w:val="nil"/>
            </w:tcBorders>
            <w:shd w:val="clear" w:color="auto" w:fill="auto"/>
            <w:noWrap/>
            <w:vAlign w:val="bottom"/>
          </w:tcPr>
          <w:p w14:paraId="7D95695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(.972)</w:t>
            </w:r>
          </w:p>
        </w:tc>
        <w:tc>
          <w:tcPr>
            <w:tcW w:w="0" w:type="auto"/>
            <w:tcBorders>
              <w:top w:val="nil"/>
              <w:left w:val="nil"/>
              <w:bottom w:val="nil"/>
              <w:right w:val="nil"/>
            </w:tcBorders>
            <w:shd w:val="clear" w:color="auto" w:fill="auto"/>
            <w:noWrap/>
            <w:vAlign w:val="bottom"/>
          </w:tcPr>
          <w:p w14:paraId="67F6304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(.981)</w:t>
            </w:r>
          </w:p>
        </w:tc>
      </w:tr>
      <w:tr w:rsidR="00DA64BC" w:rsidRPr="00351E73" w14:paraId="15AD938B" w14:textId="77777777" w:rsidTr="00FC7167">
        <w:trPr>
          <w:trHeight w:val="255"/>
          <w:jc w:val="center"/>
        </w:trPr>
        <w:tc>
          <w:tcPr>
            <w:tcW w:w="0" w:type="auto"/>
            <w:tcBorders>
              <w:top w:val="nil"/>
              <w:left w:val="nil"/>
              <w:bottom w:val="nil"/>
              <w:right w:val="nil"/>
            </w:tcBorders>
            <w:shd w:val="clear" w:color="auto" w:fill="auto"/>
            <w:noWrap/>
            <w:vAlign w:val="bottom"/>
          </w:tcPr>
          <w:p w14:paraId="2147ADE8"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Term30</w:t>
            </w:r>
          </w:p>
        </w:tc>
        <w:tc>
          <w:tcPr>
            <w:tcW w:w="0" w:type="auto"/>
            <w:tcBorders>
              <w:top w:val="nil"/>
              <w:left w:val="nil"/>
              <w:bottom w:val="nil"/>
              <w:right w:val="nil"/>
            </w:tcBorders>
            <w:shd w:val="clear" w:color="auto" w:fill="auto"/>
            <w:noWrap/>
            <w:vAlign w:val="bottom"/>
          </w:tcPr>
          <w:p w14:paraId="55E7500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13.41***</w:t>
            </w:r>
          </w:p>
        </w:tc>
        <w:tc>
          <w:tcPr>
            <w:tcW w:w="0" w:type="auto"/>
            <w:tcBorders>
              <w:top w:val="nil"/>
              <w:left w:val="nil"/>
              <w:bottom w:val="nil"/>
              <w:right w:val="nil"/>
            </w:tcBorders>
            <w:shd w:val="clear" w:color="auto" w:fill="auto"/>
            <w:noWrap/>
            <w:vAlign w:val="bottom"/>
          </w:tcPr>
          <w:p w14:paraId="25F5357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14.21***</w:t>
            </w:r>
          </w:p>
        </w:tc>
        <w:tc>
          <w:tcPr>
            <w:tcW w:w="0" w:type="auto"/>
            <w:tcBorders>
              <w:top w:val="nil"/>
              <w:left w:val="nil"/>
              <w:bottom w:val="nil"/>
              <w:right w:val="nil"/>
            </w:tcBorders>
            <w:shd w:val="clear" w:color="auto" w:fill="auto"/>
            <w:noWrap/>
            <w:vAlign w:val="bottom"/>
          </w:tcPr>
          <w:p w14:paraId="4B100C4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14.81***</w:t>
            </w:r>
          </w:p>
        </w:tc>
        <w:tc>
          <w:tcPr>
            <w:tcW w:w="0" w:type="auto"/>
            <w:tcBorders>
              <w:top w:val="nil"/>
              <w:left w:val="nil"/>
              <w:bottom w:val="nil"/>
              <w:right w:val="nil"/>
            </w:tcBorders>
            <w:shd w:val="clear" w:color="auto" w:fill="auto"/>
            <w:noWrap/>
            <w:vAlign w:val="bottom"/>
          </w:tcPr>
          <w:p w14:paraId="41B43D5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14.72***</w:t>
            </w:r>
          </w:p>
        </w:tc>
        <w:tc>
          <w:tcPr>
            <w:tcW w:w="0" w:type="auto"/>
            <w:tcBorders>
              <w:top w:val="nil"/>
              <w:left w:val="nil"/>
              <w:bottom w:val="nil"/>
              <w:right w:val="nil"/>
            </w:tcBorders>
            <w:shd w:val="clear" w:color="auto" w:fill="auto"/>
            <w:noWrap/>
            <w:vAlign w:val="bottom"/>
          </w:tcPr>
          <w:p w14:paraId="3AA2E16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14.26***</w:t>
            </w:r>
          </w:p>
        </w:tc>
      </w:tr>
      <w:tr w:rsidR="00DA64BC" w:rsidRPr="00351E73" w14:paraId="2165E58D" w14:textId="77777777" w:rsidTr="00FC7167">
        <w:trPr>
          <w:trHeight w:val="255"/>
          <w:jc w:val="center"/>
        </w:trPr>
        <w:tc>
          <w:tcPr>
            <w:tcW w:w="0" w:type="auto"/>
            <w:tcBorders>
              <w:top w:val="nil"/>
              <w:left w:val="nil"/>
              <w:bottom w:val="nil"/>
              <w:right w:val="nil"/>
            </w:tcBorders>
            <w:shd w:val="clear" w:color="auto" w:fill="auto"/>
            <w:noWrap/>
            <w:vAlign w:val="bottom"/>
          </w:tcPr>
          <w:p w14:paraId="3F0209A6"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4C38EA1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(2.668)</w:t>
            </w:r>
          </w:p>
        </w:tc>
        <w:tc>
          <w:tcPr>
            <w:tcW w:w="0" w:type="auto"/>
            <w:tcBorders>
              <w:top w:val="nil"/>
              <w:left w:val="nil"/>
              <w:bottom w:val="nil"/>
              <w:right w:val="nil"/>
            </w:tcBorders>
            <w:shd w:val="clear" w:color="auto" w:fill="auto"/>
            <w:noWrap/>
            <w:vAlign w:val="bottom"/>
          </w:tcPr>
          <w:p w14:paraId="3E79447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(2.699)</w:t>
            </w:r>
          </w:p>
        </w:tc>
        <w:tc>
          <w:tcPr>
            <w:tcW w:w="0" w:type="auto"/>
            <w:tcBorders>
              <w:top w:val="nil"/>
              <w:left w:val="nil"/>
              <w:bottom w:val="nil"/>
              <w:right w:val="nil"/>
            </w:tcBorders>
            <w:shd w:val="clear" w:color="auto" w:fill="auto"/>
            <w:noWrap/>
            <w:vAlign w:val="bottom"/>
          </w:tcPr>
          <w:p w14:paraId="4D43F6A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(2.971)</w:t>
            </w:r>
          </w:p>
        </w:tc>
        <w:tc>
          <w:tcPr>
            <w:tcW w:w="0" w:type="auto"/>
            <w:tcBorders>
              <w:top w:val="nil"/>
              <w:left w:val="nil"/>
              <w:bottom w:val="nil"/>
              <w:right w:val="nil"/>
            </w:tcBorders>
            <w:shd w:val="clear" w:color="auto" w:fill="auto"/>
            <w:noWrap/>
            <w:vAlign w:val="bottom"/>
          </w:tcPr>
          <w:p w14:paraId="435A165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(2.976)</w:t>
            </w:r>
          </w:p>
        </w:tc>
        <w:tc>
          <w:tcPr>
            <w:tcW w:w="0" w:type="auto"/>
            <w:tcBorders>
              <w:top w:val="nil"/>
              <w:left w:val="nil"/>
              <w:bottom w:val="nil"/>
              <w:right w:val="nil"/>
            </w:tcBorders>
            <w:shd w:val="clear" w:color="auto" w:fill="auto"/>
            <w:noWrap/>
            <w:vAlign w:val="bottom"/>
          </w:tcPr>
          <w:p w14:paraId="7218183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(2.976)</w:t>
            </w:r>
          </w:p>
        </w:tc>
      </w:tr>
      <w:tr w:rsidR="006751BB" w:rsidRPr="00351E73" w14:paraId="10458B5C" w14:textId="77777777" w:rsidTr="00FC7167">
        <w:trPr>
          <w:trHeight w:val="255"/>
          <w:jc w:val="center"/>
        </w:trPr>
        <w:tc>
          <w:tcPr>
            <w:tcW w:w="0" w:type="auto"/>
            <w:tcBorders>
              <w:top w:val="nil"/>
              <w:left w:val="nil"/>
              <w:bottom w:val="nil"/>
              <w:right w:val="nil"/>
            </w:tcBorders>
            <w:shd w:val="clear" w:color="auto" w:fill="auto"/>
            <w:noWrap/>
            <w:vAlign w:val="bottom"/>
          </w:tcPr>
          <w:p w14:paraId="5D241788"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Age15-34</w:t>
            </w:r>
          </w:p>
        </w:tc>
        <w:tc>
          <w:tcPr>
            <w:tcW w:w="0" w:type="auto"/>
            <w:tcBorders>
              <w:top w:val="nil"/>
              <w:left w:val="nil"/>
              <w:bottom w:val="nil"/>
              <w:right w:val="nil"/>
            </w:tcBorders>
            <w:shd w:val="clear" w:color="auto" w:fill="auto"/>
            <w:noWrap/>
            <w:vAlign w:val="bottom"/>
          </w:tcPr>
          <w:p w14:paraId="4CA796E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-.0109</w:t>
            </w:r>
          </w:p>
        </w:tc>
        <w:tc>
          <w:tcPr>
            <w:tcW w:w="0" w:type="auto"/>
            <w:tcBorders>
              <w:top w:val="nil"/>
              <w:left w:val="nil"/>
              <w:bottom w:val="nil"/>
              <w:right w:val="nil"/>
            </w:tcBorders>
            <w:shd w:val="clear" w:color="auto" w:fill="auto"/>
            <w:noWrap/>
            <w:vAlign w:val="bottom"/>
          </w:tcPr>
          <w:p w14:paraId="54559F65"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.0124</w:t>
            </w:r>
          </w:p>
        </w:tc>
        <w:tc>
          <w:tcPr>
            <w:tcW w:w="0" w:type="auto"/>
            <w:tcBorders>
              <w:top w:val="nil"/>
              <w:left w:val="nil"/>
              <w:bottom w:val="nil"/>
              <w:right w:val="nil"/>
            </w:tcBorders>
            <w:shd w:val="clear" w:color="auto" w:fill="auto"/>
            <w:noWrap/>
            <w:vAlign w:val="bottom"/>
          </w:tcPr>
          <w:p w14:paraId="73D0C05A"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-.0459</w:t>
            </w:r>
          </w:p>
        </w:tc>
        <w:tc>
          <w:tcPr>
            <w:tcW w:w="0" w:type="auto"/>
            <w:tcBorders>
              <w:top w:val="nil"/>
              <w:left w:val="nil"/>
              <w:bottom w:val="nil"/>
              <w:right w:val="nil"/>
            </w:tcBorders>
            <w:shd w:val="clear" w:color="auto" w:fill="auto"/>
            <w:noWrap/>
            <w:vAlign w:val="bottom"/>
          </w:tcPr>
          <w:p w14:paraId="2A7034A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-.0380</w:t>
            </w:r>
          </w:p>
        </w:tc>
        <w:tc>
          <w:tcPr>
            <w:tcW w:w="0" w:type="auto"/>
            <w:tcBorders>
              <w:top w:val="nil"/>
              <w:left w:val="nil"/>
              <w:bottom w:val="nil"/>
              <w:right w:val="nil"/>
            </w:tcBorders>
            <w:shd w:val="clear" w:color="auto" w:fill="auto"/>
            <w:noWrap/>
            <w:vAlign w:val="bottom"/>
          </w:tcPr>
          <w:p w14:paraId="2DA0E38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-.0200</w:t>
            </w:r>
          </w:p>
        </w:tc>
      </w:tr>
      <w:tr w:rsidR="006751BB" w:rsidRPr="00351E73" w14:paraId="3B61AAA2" w14:textId="77777777" w:rsidTr="00FC7167">
        <w:trPr>
          <w:trHeight w:val="255"/>
          <w:jc w:val="center"/>
        </w:trPr>
        <w:tc>
          <w:tcPr>
            <w:tcW w:w="0" w:type="auto"/>
            <w:tcBorders>
              <w:top w:val="nil"/>
              <w:left w:val="nil"/>
              <w:bottom w:val="nil"/>
              <w:right w:val="nil"/>
            </w:tcBorders>
            <w:shd w:val="clear" w:color="auto" w:fill="auto"/>
            <w:noWrap/>
            <w:vAlign w:val="bottom"/>
          </w:tcPr>
          <w:p w14:paraId="57000FAD"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3866561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(.0602)</w:t>
            </w:r>
          </w:p>
        </w:tc>
        <w:tc>
          <w:tcPr>
            <w:tcW w:w="0" w:type="auto"/>
            <w:tcBorders>
              <w:top w:val="nil"/>
              <w:left w:val="nil"/>
              <w:bottom w:val="nil"/>
              <w:right w:val="nil"/>
            </w:tcBorders>
            <w:shd w:val="clear" w:color="auto" w:fill="auto"/>
            <w:noWrap/>
            <w:vAlign w:val="bottom"/>
          </w:tcPr>
          <w:p w14:paraId="4901559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(.0640)</w:t>
            </w:r>
          </w:p>
        </w:tc>
        <w:tc>
          <w:tcPr>
            <w:tcW w:w="0" w:type="auto"/>
            <w:tcBorders>
              <w:top w:val="nil"/>
              <w:left w:val="nil"/>
              <w:bottom w:val="nil"/>
              <w:right w:val="nil"/>
            </w:tcBorders>
            <w:shd w:val="clear" w:color="auto" w:fill="auto"/>
            <w:noWrap/>
            <w:vAlign w:val="bottom"/>
          </w:tcPr>
          <w:p w14:paraId="533D8C9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(.0734)</w:t>
            </w:r>
          </w:p>
        </w:tc>
        <w:tc>
          <w:tcPr>
            <w:tcW w:w="0" w:type="auto"/>
            <w:tcBorders>
              <w:top w:val="nil"/>
              <w:left w:val="nil"/>
              <w:bottom w:val="nil"/>
              <w:right w:val="nil"/>
            </w:tcBorders>
            <w:shd w:val="clear" w:color="auto" w:fill="auto"/>
            <w:noWrap/>
            <w:vAlign w:val="bottom"/>
          </w:tcPr>
          <w:p w14:paraId="7B4898E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(.0752)</w:t>
            </w:r>
          </w:p>
        </w:tc>
        <w:tc>
          <w:tcPr>
            <w:tcW w:w="0" w:type="auto"/>
            <w:tcBorders>
              <w:top w:val="nil"/>
              <w:left w:val="nil"/>
              <w:bottom w:val="nil"/>
              <w:right w:val="nil"/>
            </w:tcBorders>
            <w:shd w:val="clear" w:color="auto" w:fill="auto"/>
            <w:noWrap/>
            <w:vAlign w:val="bottom"/>
          </w:tcPr>
          <w:p w14:paraId="2B1E103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(.0766)</w:t>
            </w:r>
          </w:p>
        </w:tc>
      </w:tr>
      <w:tr w:rsidR="006751BB" w:rsidRPr="00351E73" w14:paraId="02A6FF72" w14:textId="77777777" w:rsidTr="00FC7167">
        <w:trPr>
          <w:trHeight w:val="255"/>
          <w:jc w:val="center"/>
        </w:trPr>
        <w:tc>
          <w:tcPr>
            <w:tcW w:w="0" w:type="auto"/>
            <w:tcBorders>
              <w:top w:val="nil"/>
              <w:left w:val="nil"/>
              <w:bottom w:val="nil"/>
              <w:right w:val="nil"/>
            </w:tcBorders>
            <w:shd w:val="clear" w:color="auto" w:fill="auto"/>
            <w:noWrap/>
            <w:vAlign w:val="bottom"/>
          </w:tcPr>
          <w:p w14:paraId="2CDBE4B7"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Age35-54</w:t>
            </w:r>
          </w:p>
        </w:tc>
        <w:tc>
          <w:tcPr>
            <w:tcW w:w="0" w:type="auto"/>
            <w:tcBorders>
              <w:top w:val="nil"/>
              <w:left w:val="nil"/>
              <w:bottom w:val="nil"/>
              <w:right w:val="nil"/>
            </w:tcBorders>
            <w:shd w:val="clear" w:color="auto" w:fill="auto"/>
            <w:noWrap/>
            <w:vAlign w:val="bottom"/>
          </w:tcPr>
          <w:p w14:paraId="0AE20E7C"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.0248</w:t>
            </w:r>
          </w:p>
        </w:tc>
        <w:tc>
          <w:tcPr>
            <w:tcW w:w="0" w:type="auto"/>
            <w:tcBorders>
              <w:top w:val="nil"/>
              <w:left w:val="nil"/>
              <w:bottom w:val="nil"/>
              <w:right w:val="nil"/>
            </w:tcBorders>
            <w:shd w:val="clear" w:color="auto" w:fill="auto"/>
            <w:noWrap/>
            <w:vAlign w:val="bottom"/>
          </w:tcPr>
          <w:p w14:paraId="1D5261E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.0336</w:t>
            </w:r>
          </w:p>
        </w:tc>
        <w:tc>
          <w:tcPr>
            <w:tcW w:w="0" w:type="auto"/>
            <w:tcBorders>
              <w:top w:val="nil"/>
              <w:left w:val="nil"/>
              <w:bottom w:val="nil"/>
              <w:right w:val="nil"/>
            </w:tcBorders>
            <w:shd w:val="clear" w:color="auto" w:fill="auto"/>
            <w:noWrap/>
            <w:vAlign w:val="bottom"/>
          </w:tcPr>
          <w:p w14:paraId="7C82668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.00450</w:t>
            </w:r>
          </w:p>
        </w:tc>
        <w:tc>
          <w:tcPr>
            <w:tcW w:w="0" w:type="auto"/>
            <w:tcBorders>
              <w:top w:val="nil"/>
              <w:left w:val="nil"/>
              <w:bottom w:val="nil"/>
              <w:right w:val="nil"/>
            </w:tcBorders>
            <w:shd w:val="clear" w:color="auto" w:fill="auto"/>
            <w:noWrap/>
            <w:vAlign w:val="bottom"/>
          </w:tcPr>
          <w:p w14:paraId="31A44F2A"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.0133</w:t>
            </w:r>
          </w:p>
        </w:tc>
        <w:tc>
          <w:tcPr>
            <w:tcW w:w="0" w:type="auto"/>
            <w:tcBorders>
              <w:top w:val="nil"/>
              <w:left w:val="nil"/>
              <w:bottom w:val="nil"/>
              <w:right w:val="nil"/>
            </w:tcBorders>
            <w:shd w:val="clear" w:color="auto" w:fill="auto"/>
            <w:noWrap/>
            <w:vAlign w:val="bottom"/>
          </w:tcPr>
          <w:p w14:paraId="077DDD7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.0314</w:t>
            </w:r>
          </w:p>
        </w:tc>
      </w:tr>
      <w:tr w:rsidR="006751BB" w:rsidRPr="00351E73" w14:paraId="05A9A84F" w14:textId="77777777" w:rsidTr="00FC7167">
        <w:trPr>
          <w:trHeight w:val="255"/>
          <w:jc w:val="center"/>
        </w:trPr>
        <w:tc>
          <w:tcPr>
            <w:tcW w:w="0" w:type="auto"/>
            <w:tcBorders>
              <w:top w:val="nil"/>
              <w:left w:val="nil"/>
              <w:bottom w:val="nil"/>
              <w:right w:val="nil"/>
            </w:tcBorders>
            <w:shd w:val="clear" w:color="auto" w:fill="auto"/>
            <w:noWrap/>
            <w:vAlign w:val="bottom"/>
          </w:tcPr>
          <w:p w14:paraId="5BA275A1"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bottom w:val="nil"/>
              <w:right w:val="nil"/>
            </w:tcBorders>
            <w:shd w:val="clear" w:color="auto" w:fill="auto"/>
            <w:noWrap/>
            <w:vAlign w:val="bottom"/>
          </w:tcPr>
          <w:p w14:paraId="02878AB2"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(.0876)</w:t>
            </w:r>
          </w:p>
        </w:tc>
        <w:tc>
          <w:tcPr>
            <w:tcW w:w="0" w:type="auto"/>
            <w:tcBorders>
              <w:top w:val="nil"/>
              <w:left w:val="nil"/>
              <w:bottom w:val="nil"/>
              <w:right w:val="nil"/>
            </w:tcBorders>
            <w:shd w:val="clear" w:color="auto" w:fill="auto"/>
            <w:noWrap/>
            <w:vAlign w:val="bottom"/>
          </w:tcPr>
          <w:p w14:paraId="24E073A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(.0927)</w:t>
            </w:r>
          </w:p>
        </w:tc>
        <w:tc>
          <w:tcPr>
            <w:tcW w:w="0" w:type="auto"/>
            <w:tcBorders>
              <w:top w:val="nil"/>
              <w:left w:val="nil"/>
              <w:bottom w:val="nil"/>
              <w:right w:val="nil"/>
            </w:tcBorders>
            <w:shd w:val="clear" w:color="auto" w:fill="auto"/>
            <w:noWrap/>
            <w:vAlign w:val="bottom"/>
          </w:tcPr>
          <w:p w14:paraId="51C2A9B6"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(.108)</w:t>
            </w:r>
          </w:p>
        </w:tc>
        <w:tc>
          <w:tcPr>
            <w:tcW w:w="0" w:type="auto"/>
            <w:tcBorders>
              <w:top w:val="nil"/>
              <w:left w:val="nil"/>
              <w:bottom w:val="nil"/>
              <w:right w:val="nil"/>
            </w:tcBorders>
            <w:shd w:val="clear" w:color="auto" w:fill="auto"/>
            <w:noWrap/>
            <w:vAlign w:val="bottom"/>
          </w:tcPr>
          <w:p w14:paraId="33F5913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(.112)</w:t>
            </w:r>
          </w:p>
        </w:tc>
        <w:tc>
          <w:tcPr>
            <w:tcW w:w="0" w:type="auto"/>
            <w:tcBorders>
              <w:top w:val="nil"/>
              <w:left w:val="nil"/>
              <w:bottom w:val="nil"/>
              <w:right w:val="nil"/>
            </w:tcBorders>
            <w:shd w:val="clear" w:color="auto" w:fill="auto"/>
            <w:noWrap/>
            <w:vAlign w:val="bottom"/>
          </w:tcPr>
          <w:p w14:paraId="6ED1E77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(.115)</w:t>
            </w:r>
          </w:p>
        </w:tc>
      </w:tr>
      <w:tr w:rsidR="006751BB" w:rsidRPr="00351E73" w14:paraId="431C766D" w14:textId="77777777" w:rsidTr="00FC7167">
        <w:trPr>
          <w:trHeight w:val="255"/>
          <w:jc w:val="center"/>
        </w:trPr>
        <w:tc>
          <w:tcPr>
            <w:tcW w:w="0" w:type="auto"/>
            <w:tcBorders>
              <w:top w:val="nil"/>
              <w:left w:val="nil"/>
              <w:right w:val="nil"/>
            </w:tcBorders>
            <w:shd w:val="clear" w:color="auto" w:fill="auto"/>
            <w:noWrap/>
            <w:vAlign w:val="bottom"/>
          </w:tcPr>
          <w:p w14:paraId="58AA9DB6"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Age55-69</w:t>
            </w:r>
          </w:p>
        </w:tc>
        <w:tc>
          <w:tcPr>
            <w:tcW w:w="0" w:type="auto"/>
            <w:tcBorders>
              <w:top w:val="nil"/>
              <w:left w:val="nil"/>
              <w:right w:val="nil"/>
            </w:tcBorders>
            <w:shd w:val="clear" w:color="auto" w:fill="auto"/>
            <w:noWrap/>
            <w:vAlign w:val="bottom"/>
          </w:tcPr>
          <w:p w14:paraId="2471461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-.152**</w:t>
            </w:r>
          </w:p>
        </w:tc>
        <w:tc>
          <w:tcPr>
            <w:tcW w:w="0" w:type="auto"/>
            <w:tcBorders>
              <w:top w:val="nil"/>
              <w:left w:val="nil"/>
              <w:right w:val="nil"/>
            </w:tcBorders>
            <w:shd w:val="clear" w:color="auto" w:fill="auto"/>
            <w:noWrap/>
            <w:vAlign w:val="bottom"/>
          </w:tcPr>
          <w:p w14:paraId="289B3E5F"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-.161**</w:t>
            </w:r>
          </w:p>
        </w:tc>
        <w:tc>
          <w:tcPr>
            <w:tcW w:w="0" w:type="auto"/>
            <w:tcBorders>
              <w:top w:val="nil"/>
              <w:left w:val="nil"/>
              <w:right w:val="nil"/>
            </w:tcBorders>
            <w:shd w:val="clear" w:color="auto" w:fill="auto"/>
            <w:noWrap/>
            <w:vAlign w:val="bottom"/>
          </w:tcPr>
          <w:p w14:paraId="66B47DB4"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-.200**</w:t>
            </w:r>
          </w:p>
        </w:tc>
        <w:tc>
          <w:tcPr>
            <w:tcW w:w="0" w:type="auto"/>
            <w:tcBorders>
              <w:top w:val="nil"/>
              <w:left w:val="nil"/>
              <w:right w:val="nil"/>
            </w:tcBorders>
            <w:shd w:val="clear" w:color="auto" w:fill="auto"/>
            <w:noWrap/>
            <w:vAlign w:val="bottom"/>
          </w:tcPr>
          <w:p w14:paraId="35474F4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-.195**</w:t>
            </w:r>
          </w:p>
        </w:tc>
        <w:tc>
          <w:tcPr>
            <w:tcW w:w="0" w:type="auto"/>
            <w:tcBorders>
              <w:top w:val="nil"/>
              <w:left w:val="nil"/>
              <w:right w:val="nil"/>
            </w:tcBorders>
            <w:shd w:val="clear" w:color="auto" w:fill="auto"/>
            <w:noWrap/>
            <w:vAlign w:val="bottom"/>
          </w:tcPr>
          <w:p w14:paraId="0BB89443"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-.192**</w:t>
            </w:r>
          </w:p>
        </w:tc>
      </w:tr>
      <w:tr w:rsidR="006751BB" w:rsidRPr="00351E73" w14:paraId="7787A63C" w14:textId="77777777" w:rsidTr="00FC7167">
        <w:trPr>
          <w:trHeight w:val="255"/>
          <w:jc w:val="center"/>
        </w:trPr>
        <w:tc>
          <w:tcPr>
            <w:tcW w:w="0" w:type="auto"/>
            <w:tcBorders>
              <w:top w:val="nil"/>
              <w:left w:val="nil"/>
              <w:right w:val="nil"/>
            </w:tcBorders>
            <w:shd w:val="clear" w:color="auto" w:fill="auto"/>
            <w:noWrap/>
            <w:vAlign w:val="bottom"/>
          </w:tcPr>
          <w:p w14:paraId="35F81442" w14:textId="77777777" w:rsidR="006751BB" w:rsidRPr="004961A2" w:rsidRDefault="006751BB" w:rsidP="006751BB">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092DE798"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(.0727)</w:t>
            </w:r>
          </w:p>
        </w:tc>
        <w:tc>
          <w:tcPr>
            <w:tcW w:w="0" w:type="auto"/>
            <w:tcBorders>
              <w:top w:val="nil"/>
              <w:left w:val="nil"/>
              <w:right w:val="nil"/>
            </w:tcBorders>
            <w:shd w:val="clear" w:color="auto" w:fill="auto"/>
            <w:noWrap/>
            <w:vAlign w:val="bottom"/>
          </w:tcPr>
          <w:p w14:paraId="411A6DDD"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(.0778)</w:t>
            </w:r>
          </w:p>
        </w:tc>
        <w:tc>
          <w:tcPr>
            <w:tcW w:w="0" w:type="auto"/>
            <w:tcBorders>
              <w:top w:val="nil"/>
              <w:left w:val="nil"/>
              <w:right w:val="nil"/>
            </w:tcBorders>
            <w:shd w:val="clear" w:color="auto" w:fill="auto"/>
            <w:noWrap/>
            <w:vAlign w:val="bottom"/>
          </w:tcPr>
          <w:p w14:paraId="2DF5813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(.0869)</w:t>
            </w:r>
          </w:p>
        </w:tc>
        <w:tc>
          <w:tcPr>
            <w:tcW w:w="0" w:type="auto"/>
            <w:tcBorders>
              <w:top w:val="nil"/>
              <w:left w:val="nil"/>
              <w:right w:val="nil"/>
            </w:tcBorders>
            <w:shd w:val="clear" w:color="auto" w:fill="auto"/>
            <w:noWrap/>
            <w:vAlign w:val="bottom"/>
          </w:tcPr>
          <w:p w14:paraId="3E6BE5B7"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(.0889)</w:t>
            </w:r>
          </w:p>
        </w:tc>
        <w:tc>
          <w:tcPr>
            <w:tcW w:w="0" w:type="auto"/>
            <w:tcBorders>
              <w:top w:val="nil"/>
              <w:left w:val="nil"/>
              <w:right w:val="nil"/>
            </w:tcBorders>
            <w:shd w:val="clear" w:color="auto" w:fill="auto"/>
            <w:noWrap/>
            <w:vAlign w:val="bottom"/>
          </w:tcPr>
          <w:p w14:paraId="4C586E2E"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(.0906)</w:t>
            </w:r>
          </w:p>
        </w:tc>
      </w:tr>
      <w:tr w:rsidR="006751BB" w:rsidRPr="00351E73" w14:paraId="2BFDBE91" w14:textId="77777777" w:rsidTr="00FC7167">
        <w:trPr>
          <w:trHeight w:val="255"/>
          <w:jc w:val="center"/>
        </w:trPr>
        <w:tc>
          <w:tcPr>
            <w:tcW w:w="0" w:type="auto"/>
            <w:tcBorders>
              <w:top w:val="nil"/>
              <w:left w:val="nil"/>
              <w:right w:val="nil"/>
            </w:tcBorders>
            <w:shd w:val="clear" w:color="auto" w:fill="auto"/>
            <w:noWrap/>
            <w:vAlign w:val="bottom"/>
          </w:tcPr>
          <w:p w14:paraId="2A014F99" w14:textId="77777777" w:rsidR="006751BB" w:rsidRPr="004961A2" w:rsidRDefault="006751BB" w:rsidP="006751BB">
            <w:pPr>
              <w:spacing w:after="0" w:line="240" w:lineRule="auto"/>
              <w:contextualSpacing/>
              <w:rPr>
                <w:rFonts w:ascii="Calibri" w:eastAsia="Times New Roman" w:hAnsi="Calibri" w:cs="Calibri"/>
                <w:i/>
                <w:sz w:val="20"/>
                <w:szCs w:val="20"/>
              </w:rPr>
            </w:pPr>
            <w:r>
              <w:rPr>
                <w:rFonts w:ascii="Calibri" w:eastAsia="Times New Roman" w:hAnsi="Calibri" w:cs="Calibri"/>
                <w:i/>
                <w:sz w:val="20"/>
                <w:szCs w:val="20"/>
              </w:rPr>
              <w:t>Census</w:t>
            </w:r>
            <w:r w:rsidRPr="004961A2">
              <w:rPr>
                <w:rFonts w:ascii="Calibri" w:eastAsia="Times New Roman" w:hAnsi="Calibri" w:cs="Calibri"/>
                <w:i/>
                <w:sz w:val="20"/>
                <w:szCs w:val="20"/>
              </w:rPr>
              <w:t>Age70plus</w:t>
            </w:r>
          </w:p>
        </w:tc>
        <w:tc>
          <w:tcPr>
            <w:tcW w:w="0" w:type="auto"/>
            <w:tcBorders>
              <w:top w:val="nil"/>
              <w:left w:val="nil"/>
              <w:right w:val="nil"/>
            </w:tcBorders>
            <w:shd w:val="clear" w:color="auto" w:fill="auto"/>
            <w:noWrap/>
            <w:vAlign w:val="bottom"/>
          </w:tcPr>
          <w:p w14:paraId="0F57678B"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-.153**</w:t>
            </w:r>
          </w:p>
        </w:tc>
        <w:tc>
          <w:tcPr>
            <w:tcW w:w="0" w:type="auto"/>
            <w:tcBorders>
              <w:top w:val="nil"/>
              <w:left w:val="nil"/>
              <w:right w:val="nil"/>
            </w:tcBorders>
            <w:shd w:val="clear" w:color="auto" w:fill="auto"/>
            <w:noWrap/>
            <w:vAlign w:val="bottom"/>
          </w:tcPr>
          <w:p w14:paraId="272BF380"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-.122*</w:t>
            </w:r>
          </w:p>
        </w:tc>
        <w:tc>
          <w:tcPr>
            <w:tcW w:w="0" w:type="auto"/>
            <w:tcBorders>
              <w:top w:val="nil"/>
              <w:left w:val="nil"/>
              <w:right w:val="nil"/>
            </w:tcBorders>
            <w:shd w:val="clear" w:color="auto" w:fill="auto"/>
            <w:noWrap/>
            <w:vAlign w:val="bottom"/>
          </w:tcPr>
          <w:p w14:paraId="5C292B39"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-.123</w:t>
            </w:r>
          </w:p>
        </w:tc>
        <w:tc>
          <w:tcPr>
            <w:tcW w:w="0" w:type="auto"/>
            <w:tcBorders>
              <w:top w:val="nil"/>
              <w:left w:val="nil"/>
              <w:right w:val="nil"/>
            </w:tcBorders>
            <w:shd w:val="clear" w:color="auto" w:fill="auto"/>
            <w:noWrap/>
            <w:vAlign w:val="bottom"/>
          </w:tcPr>
          <w:p w14:paraId="326C0C9D"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-.125</w:t>
            </w:r>
          </w:p>
        </w:tc>
        <w:tc>
          <w:tcPr>
            <w:tcW w:w="0" w:type="auto"/>
            <w:tcBorders>
              <w:top w:val="nil"/>
              <w:left w:val="nil"/>
              <w:right w:val="nil"/>
            </w:tcBorders>
            <w:shd w:val="clear" w:color="auto" w:fill="auto"/>
            <w:noWrap/>
            <w:vAlign w:val="bottom"/>
          </w:tcPr>
          <w:p w14:paraId="762CB3E1" w14:textId="77777777" w:rsidR="006751BB" w:rsidRPr="00C72371" w:rsidRDefault="006751BB" w:rsidP="006751BB">
            <w:pPr>
              <w:spacing w:after="0" w:line="240" w:lineRule="auto"/>
              <w:contextualSpacing/>
              <w:jc w:val="center"/>
              <w:rPr>
                <w:rFonts w:ascii="Calibri" w:eastAsia="Times New Roman" w:hAnsi="Calibri" w:cs="Calibri"/>
                <w:sz w:val="20"/>
                <w:szCs w:val="20"/>
              </w:rPr>
            </w:pPr>
            <w:r>
              <w:rPr>
                <w:rFonts w:ascii="Calibri" w:hAnsi="Calibri" w:cs="Calibri"/>
                <w:sz w:val="20"/>
                <w:szCs w:val="20"/>
              </w:rPr>
              <w:t>-.118</w:t>
            </w:r>
          </w:p>
        </w:tc>
      </w:tr>
      <w:tr w:rsidR="00DA64BC" w:rsidRPr="00351E73" w14:paraId="540B35BD" w14:textId="77777777" w:rsidTr="00FC7167">
        <w:trPr>
          <w:trHeight w:val="255"/>
          <w:jc w:val="center"/>
        </w:trPr>
        <w:tc>
          <w:tcPr>
            <w:tcW w:w="0" w:type="auto"/>
            <w:tcBorders>
              <w:top w:val="nil"/>
              <w:left w:val="nil"/>
              <w:right w:val="nil"/>
            </w:tcBorders>
            <w:shd w:val="clear" w:color="auto" w:fill="auto"/>
            <w:noWrap/>
            <w:vAlign w:val="bottom"/>
          </w:tcPr>
          <w:p w14:paraId="40849605"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397C136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(.0692)</w:t>
            </w:r>
          </w:p>
        </w:tc>
        <w:tc>
          <w:tcPr>
            <w:tcW w:w="0" w:type="auto"/>
            <w:tcBorders>
              <w:top w:val="nil"/>
              <w:left w:val="nil"/>
              <w:right w:val="nil"/>
            </w:tcBorders>
            <w:shd w:val="clear" w:color="auto" w:fill="auto"/>
            <w:noWrap/>
            <w:vAlign w:val="bottom"/>
          </w:tcPr>
          <w:p w14:paraId="6800811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(.0731)</w:t>
            </w:r>
          </w:p>
        </w:tc>
        <w:tc>
          <w:tcPr>
            <w:tcW w:w="0" w:type="auto"/>
            <w:tcBorders>
              <w:top w:val="nil"/>
              <w:left w:val="nil"/>
              <w:right w:val="nil"/>
            </w:tcBorders>
            <w:shd w:val="clear" w:color="auto" w:fill="auto"/>
            <w:noWrap/>
            <w:vAlign w:val="bottom"/>
          </w:tcPr>
          <w:p w14:paraId="7664940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(.0825)</w:t>
            </w:r>
          </w:p>
        </w:tc>
        <w:tc>
          <w:tcPr>
            <w:tcW w:w="0" w:type="auto"/>
            <w:tcBorders>
              <w:top w:val="nil"/>
              <w:left w:val="nil"/>
              <w:right w:val="nil"/>
            </w:tcBorders>
            <w:shd w:val="clear" w:color="auto" w:fill="auto"/>
            <w:noWrap/>
            <w:vAlign w:val="bottom"/>
          </w:tcPr>
          <w:p w14:paraId="0B8F165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(.0856)</w:t>
            </w:r>
          </w:p>
        </w:tc>
        <w:tc>
          <w:tcPr>
            <w:tcW w:w="0" w:type="auto"/>
            <w:tcBorders>
              <w:top w:val="nil"/>
              <w:left w:val="nil"/>
              <w:right w:val="nil"/>
            </w:tcBorders>
            <w:shd w:val="clear" w:color="auto" w:fill="auto"/>
            <w:noWrap/>
            <w:vAlign w:val="bottom"/>
          </w:tcPr>
          <w:p w14:paraId="0B5842E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(.0864)</w:t>
            </w:r>
          </w:p>
        </w:tc>
      </w:tr>
      <w:tr w:rsidR="00DA64BC" w:rsidRPr="00351E73" w14:paraId="3A7C24B2" w14:textId="77777777" w:rsidTr="00FC7167">
        <w:trPr>
          <w:trHeight w:val="255"/>
          <w:jc w:val="center"/>
        </w:trPr>
        <w:tc>
          <w:tcPr>
            <w:tcW w:w="0" w:type="auto"/>
            <w:tcBorders>
              <w:top w:val="nil"/>
              <w:left w:val="nil"/>
              <w:right w:val="nil"/>
            </w:tcBorders>
            <w:shd w:val="clear" w:color="auto" w:fill="auto"/>
            <w:noWrap/>
            <w:vAlign w:val="bottom"/>
          </w:tcPr>
          <w:p w14:paraId="4D1978BD"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Value$1-$2</w:t>
            </w:r>
          </w:p>
        </w:tc>
        <w:tc>
          <w:tcPr>
            <w:tcW w:w="0" w:type="auto"/>
            <w:tcBorders>
              <w:top w:val="nil"/>
              <w:left w:val="nil"/>
              <w:right w:val="nil"/>
            </w:tcBorders>
            <w:shd w:val="clear" w:color="auto" w:fill="auto"/>
            <w:noWrap/>
            <w:vAlign w:val="bottom"/>
          </w:tcPr>
          <w:p w14:paraId="6539C5C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-.0469*</w:t>
            </w:r>
          </w:p>
        </w:tc>
        <w:tc>
          <w:tcPr>
            <w:tcW w:w="0" w:type="auto"/>
            <w:tcBorders>
              <w:top w:val="nil"/>
              <w:left w:val="nil"/>
              <w:right w:val="nil"/>
            </w:tcBorders>
            <w:shd w:val="clear" w:color="auto" w:fill="auto"/>
            <w:noWrap/>
            <w:vAlign w:val="bottom"/>
          </w:tcPr>
          <w:p w14:paraId="746511F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-.0462*</w:t>
            </w:r>
          </w:p>
        </w:tc>
        <w:tc>
          <w:tcPr>
            <w:tcW w:w="0" w:type="auto"/>
            <w:tcBorders>
              <w:top w:val="nil"/>
              <w:left w:val="nil"/>
              <w:right w:val="nil"/>
            </w:tcBorders>
            <w:shd w:val="clear" w:color="auto" w:fill="auto"/>
            <w:noWrap/>
            <w:vAlign w:val="bottom"/>
          </w:tcPr>
          <w:p w14:paraId="646F5D8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-.0869**</w:t>
            </w:r>
          </w:p>
        </w:tc>
        <w:tc>
          <w:tcPr>
            <w:tcW w:w="0" w:type="auto"/>
            <w:tcBorders>
              <w:top w:val="nil"/>
              <w:left w:val="nil"/>
              <w:right w:val="nil"/>
            </w:tcBorders>
            <w:shd w:val="clear" w:color="auto" w:fill="auto"/>
            <w:noWrap/>
            <w:vAlign w:val="bottom"/>
          </w:tcPr>
          <w:p w14:paraId="1F6365B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-.092</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right w:val="nil"/>
            </w:tcBorders>
            <w:shd w:val="clear" w:color="auto" w:fill="auto"/>
            <w:noWrap/>
            <w:vAlign w:val="bottom"/>
          </w:tcPr>
          <w:p w14:paraId="4341483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-.0939***</w:t>
            </w:r>
          </w:p>
        </w:tc>
      </w:tr>
      <w:tr w:rsidR="00DA64BC" w:rsidRPr="00351E73" w14:paraId="64A8B178" w14:textId="77777777" w:rsidTr="00FC7167">
        <w:trPr>
          <w:trHeight w:val="255"/>
          <w:jc w:val="center"/>
        </w:trPr>
        <w:tc>
          <w:tcPr>
            <w:tcW w:w="0" w:type="auto"/>
            <w:tcBorders>
              <w:top w:val="nil"/>
              <w:left w:val="nil"/>
              <w:right w:val="nil"/>
            </w:tcBorders>
            <w:shd w:val="clear" w:color="auto" w:fill="auto"/>
            <w:noWrap/>
            <w:vAlign w:val="bottom"/>
          </w:tcPr>
          <w:p w14:paraId="47989BC7"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449CF65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(.0266)</w:t>
            </w:r>
          </w:p>
        </w:tc>
        <w:tc>
          <w:tcPr>
            <w:tcW w:w="0" w:type="auto"/>
            <w:tcBorders>
              <w:top w:val="nil"/>
              <w:left w:val="nil"/>
              <w:right w:val="nil"/>
            </w:tcBorders>
            <w:shd w:val="clear" w:color="auto" w:fill="auto"/>
            <w:noWrap/>
            <w:vAlign w:val="bottom"/>
          </w:tcPr>
          <w:p w14:paraId="54A3214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(.0273)</w:t>
            </w:r>
          </w:p>
        </w:tc>
        <w:tc>
          <w:tcPr>
            <w:tcW w:w="0" w:type="auto"/>
            <w:tcBorders>
              <w:top w:val="nil"/>
              <w:left w:val="nil"/>
              <w:right w:val="nil"/>
            </w:tcBorders>
            <w:shd w:val="clear" w:color="auto" w:fill="auto"/>
            <w:noWrap/>
            <w:vAlign w:val="bottom"/>
          </w:tcPr>
          <w:p w14:paraId="11415B9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(.0341)</w:t>
            </w:r>
          </w:p>
        </w:tc>
        <w:tc>
          <w:tcPr>
            <w:tcW w:w="0" w:type="auto"/>
            <w:tcBorders>
              <w:top w:val="nil"/>
              <w:left w:val="nil"/>
              <w:right w:val="nil"/>
            </w:tcBorders>
            <w:shd w:val="clear" w:color="auto" w:fill="auto"/>
            <w:noWrap/>
            <w:vAlign w:val="bottom"/>
          </w:tcPr>
          <w:p w14:paraId="1362A64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(.0343)</w:t>
            </w:r>
          </w:p>
        </w:tc>
        <w:tc>
          <w:tcPr>
            <w:tcW w:w="0" w:type="auto"/>
            <w:tcBorders>
              <w:top w:val="nil"/>
              <w:left w:val="nil"/>
              <w:right w:val="nil"/>
            </w:tcBorders>
            <w:shd w:val="clear" w:color="auto" w:fill="auto"/>
            <w:noWrap/>
            <w:vAlign w:val="bottom"/>
          </w:tcPr>
          <w:p w14:paraId="4A922BD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(.0346)</w:t>
            </w:r>
          </w:p>
        </w:tc>
      </w:tr>
      <w:tr w:rsidR="00DA64BC" w:rsidRPr="00351E73" w14:paraId="72CF19B7" w14:textId="77777777" w:rsidTr="00FC7167">
        <w:trPr>
          <w:trHeight w:val="255"/>
          <w:jc w:val="center"/>
        </w:trPr>
        <w:tc>
          <w:tcPr>
            <w:tcW w:w="0" w:type="auto"/>
            <w:tcBorders>
              <w:top w:val="nil"/>
              <w:left w:val="nil"/>
              <w:right w:val="nil"/>
            </w:tcBorders>
            <w:shd w:val="clear" w:color="auto" w:fill="auto"/>
            <w:noWrap/>
            <w:vAlign w:val="bottom"/>
          </w:tcPr>
          <w:p w14:paraId="36AD24AE"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Value$2-$3</w:t>
            </w:r>
          </w:p>
        </w:tc>
        <w:tc>
          <w:tcPr>
            <w:tcW w:w="0" w:type="auto"/>
            <w:tcBorders>
              <w:top w:val="nil"/>
              <w:left w:val="nil"/>
              <w:right w:val="nil"/>
            </w:tcBorders>
            <w:shd w:val="clear" w:color="auto" w:fill="auto"/>
            <w:noWrap/>
            <w:vAlign w:val="bottom"/>
          </w:tcPr>
          <w:p w14:paraId="2B650A1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-.0895***</w:t>
            </w:r>
          </w:p>
        </w:tc>
        <w:tc>
          <w:tcPr>
            <w:tcW w:w="0" w:type="auto"/>
            <w:tcBorders>
              <w:top w:val="nil"/>
              <w:left w:val="nil"/>
              <w:right w:val="nil"/>
            </w:tcBorders>
            <w:shd w:val="clear" w:color="auto" w:fill="auto"/>
            <w:noWrap/>
            <w:vAlign w:val="bottom"/>
          </w:tcPr>
          <w:p w14:paraId="5E41F1BF"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-.0973***</w:t>
            </w:r>
          </w:p>
        </w:tc>
        <w:tc>
          <w:tcPr>
            <w:tcW w:w="0" w:type="auto"/>
            <w:tcBorders>
              <w:top w:val="nil"/>
              <w:left w:val="nil"/>
              <w:right w:val="nil"/>
            </w:tcBorders>
            <w:shd w:val="clear" w:color="auto" w:fill="auto"/>
            <w:noWrap/>
            <w:vAlign w:val="bottom"/>
          </w:tcPr>
          <w:p w14:paraId="22E405D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-.13</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right w:val="nil"/>
            </w:tcBorders>
            <w:shd w:val="clear" w:color="auto" w:fill="auto"/>
            <w:noWrap/>
            <w:vAlign w:val="bottom"/>
          </w:tcPr>
          <w:p w14:paraId="20C1516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-.134***</w:t>
            </w:r>
          </w:p>
        </w:tc>
        <w:tc>
          <w:tcPr>
            <w:tcW w:w="0" w:type="auto"/>
            <w:tcBorders>
              <w:top w:val="nil"/>
              <w:left w:val="nil"/>
              <w:right w:val="nil"/>
            </w:tcBorders>
            <w:shd w:val="clear" w:color="auto" w:fill="auto"/>
            <w:noWrap/>
            <w:vAlign w:val="bottom"/>
          </w:tcPr>
          <w:p w14:paraId="335C30F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-.144***</w:t>
            </w:r>
          </w:p>
        </w:tc>
      </w:tr>
      <w:tr w:rsidR="00DA64BC" w:rsidRPr="00351E73" w14:paraId="134EAF69" w14:textId="77777777" w:rsidTr="00FC7167">
        <w:trPr>
          <w:trHeight w:val="255"/>
          <w:jc w:val="center"/>
        </w:trPr>
        <w:tc>
          <w:tcPr>
            <w:tcW w:w="0" w:type="auto"/>
            <w:tcBorders>
              <w:top w:val="nil"/>
              <w:left w:val="nil"/>
              <w:right w:val="nil"/>
            </w:tcBorders>
            <w:shd w:val="clear" w:color="auto" w:fill="auto"/>
            <w:noWrap/>
            <w:vAlign w:val="bottom"/>
          </w:tcPr>
          <w:p w14:paraId="0E1A8535"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2A75025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(.031</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right w:val="nil"/>
            </w:tcBorders>
            <w:shd w:val="clear" w:color="auto" w:fill="auto"/>
            <w:noWrap/>
            <w:vAlign w:val="bottom"/>
          </w:tcPr>
          <w:p w14:paraId="65E6C2E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(.032</w:t>
            </w:r>
            <w:r w:rsidR="006D5455">
              <w:rPr>
                <w:rFonts w:ascii="Calibri" w:hAnsi="Calibri" w:cs="Calibri"/>
                <w:sz w:val="20"/>
                <w:szCs w:val="20"/>
              </w:rPr>
              <w:t>0</w:t>
            </w:r>
            <w:r>
              <w:rPr>
                <w:rFonts w:ascii="Calibri" w:hAnsi="Calibri" w:cs="Calibri"/>
                <w:sz w:val="20"/>
                <w:szCs w:val="20"/>
              </w:rPr>
              <w:t>)</w:t>
            </w:r>
          </w:p>
        </w:tc>
        <w:tc>
          <w:tcPr>
            <w:tcW w:w="0" w:type="auto"/>
            <w:tcBorders>
              <w:top w:val="nil"/>
              <w:left w:val="nil"/>
              <w:right w:val="nil"/>
            </w:tcBorders>
            <w:shd w:val="clear" w:color="auto" w:fill="auto"/>
            <w:noWrap/>
            <w:vAlign w:val="bottom"/>
          </w:tcPr>
          <w:p w14:paraId="60CF095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(.0356)</w:t>
            </w:r>
          </w:p>
        </w:tc>
        <w:tc>
          <w:tcPr>
            <w:tcW w:w="0" w:type="auto"/>
            <w:tcBorders>
              <w:top w:val="nil"/>
              <w:left w:val="nil"/>
              <w:right w:val="nil"/>
            </w:tcBorders>
            <w:shd w:val="clear" w:color="auto" w:fill="auto"/>
            <w:noWrap/>
            <w:vAlign w:val="bottom"/>
          </w:tcPr>
          <w:p w14:paraId="01A5C252"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(.0359)</w:t>
            </w:r>
          </w:p>
        </w:tc>
        <w:tc>
          <w:tcPr>
            <w:tcW w:w="0" w:type="auto"/>
            <w:tcBorders>
              <w:top w:val="nil"/>
              <w:left w:val="nil"/>
              <w:right w:val="nil"/>
            </w:tcBorders>
            <w:shd w:val="clear" w:color="auto" w:fill="auto"/>
            <w:noWrap/>
            <w:vAlign w:val="bottom"/>
          </w:tcPr>
          <w:p w14:paraId="4F1C7F5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(.0359)</w:t>
            </w:r>
          </w:p>
        </w:tc>
      </w:tr>
      <w:tr w:rsidR="00DA64BC" w:rsidRPr="00351E73" w14:paraId="7B3FEC6B" w14:textId="77777777" w:rsidTr="00FC7167">
        <w:trPr>
          <w:trHeight w:val="255"/>
          <w:jc w:val="center"/>
        </w:trPr>
        <w:tc>
          <w:tcPr>
            <w:tcW w:w="0" w:type="auto"/>
            <w:tcBorders>
              <w:top w:val="nil"/>
              <w:left w:val="nil"/>
              <w:right w:val="nil"/>
            </w:tcBorders>
            <w:shd w:val="clear" w:color="auto" w:fill="auto"/>
            <w:noWrap/>
            <w:vAlign w:val="bottom"/>
          </w:tcPr>
          <w:p w14:paraId="4CAC1CEB"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Value$3-$5</w:t>
            </w:r>
          </w:p>
        </w:tc>
        <w:tc>
          <w:tcPr>
            <w:tcW w:w="0" w:type="auto"/>
            <w:tcBorders>
              <w:top w:val="nil"/>
              <w:left w:val="nil"/>
              <w:right w:val="nil"/>
            </w:tcBorders>
            <w:shd w:val="clear" w:color="auto" w:fill="auto"/>
            <w:noWrap/>
            <w:vAlign w:val="bottom"/>
          </w:tcPr>
          <w:p w14:paraId="01DE520B"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-.126***</w:t>
            </w:r>
          </w:p>
        </w:tc>
        <w:tc>
          <w:tcPr>
            <w:tcW w:w="0" w:type="auto"/>
            <w:tcBorders>
              <w:top w:val="nil"/>
              <w:left w:val="nil"/>
              <w:right w:val="nil"/>
            </w:tcBorders>
            <w:shd w:val="clear" w:color="auto" w:fill="auto"/>
            <w:noWrap/>
            <w:vAlign w:val="bottom"/>
          </w:tcPr>
          <w:p w14:paraId="48FE2E5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-.127***</w:t>
            </w:r>
          </w:p>
        </w:tc>
        <w:tc>
          <w:tcPr>
            <w:tcW w:w="0" w:type="auto"/>
            <w:tcBorders>
              <w:top w:val="nil"/>
              <w:left w:val="nil"/>
              <w:right w:val="nil"/>
            </w:tcBorders>
            <w:shd w:val="clear" w:color="auto" w:fill="auto"/>
            <w:noWrap/>
            <w:vAlign w:val="bottom"/>
          </w:tcPr>
          <w:p w14:paraId="5A4477E1"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-.181***</w:t>
            </w:r>
          </w:p>
        </w:tc>
        <w:tc>
          <w:tcPr>
            <w:tcW w:w="0" w:type="auto"/>
            <w:tcBorders>
              <w:top w:val="nil"/>
              <w:left w:val="nil"/>
              <w:right w:val="nil"/>
            </w:tcBorders>
            <w:shd w:val="clear" w:color="auto" w:fill="auto"/>
            <w:noWrap/>
            <w:vAlign w:val="bottom"/>
          </w:tcPr>
          <w:p w14:paraId="0FB7CD0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-.185***</w:t>
            </w:r>
          </w:p>
        </w:tc>
        <w:tc>
          <w:tcPr>
            <w:tcW w:w="0" w:type="auto"/>
            <w:tcBorders>
              <w:top w:val="nil"/>
              <w:left w:val="nil"/>
              <w:right w:val="nil"/>
            </w:tcBorders>
            <w:shd w:val="clear" w:color="auto" w:fill="auto"/>
            <w:noWrap/>
            <w:vAlign w:val="bottom"/>
          </w:tcPr>
          <w:p w14:paraId="19415AA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-.194***</w:t>
            </w:r>
          </w:p>
        </w:tc>
      </w:tr>
      <w:tr w:rsidR="00DA64BC" w:rsidRPr="00351E73" w14:paraId="11A4809D" w14:textId="77777777" w:rsidTr="00FC7167">
        <w:trPr>
          <w:trHeight w:val="255"/>
          <w:jc w:val="center"/>
        </w:trPr>
        <w:tc>
          <w:tcPr>
            <w:tcW w:w="0" w:type="auto"/>
            <w:tcBorders>
              <w:top w:val="nil"/>
              <w:left w:val="nil"/>
              <w:right w:val="nil"/>
            </w:tcBorders>
            <w:shd w:val="clear" w:color="auto" w:fill="auto"/>
            <w:noWrap/>
            <w:vAlign w:val="bottom"/>
          </w:tcPr>
          <w:p w14:paraId="5E5DBBB5"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 </w:t>
            </w:r>
          </w:p>
        </w:tc>
        <w:tc>
          <w:tcPr>
            <w:tcW w:w="0" w:type="auto"/>
            <w:tcBorders>
              <w:top w:val="nil"/>
              <w:left w:val="nil"/>
              <w:right w:val="nil"/>
            </w:tcBorders>
            <w:shd w:val="clear" w:color="auto" w:fill="auto"/>
            <w:noWrap/>
            <w:vAlign w:val="bottom"/>
          </w:tcPr>
          <w:p w14:paraId="4CF6EBE4"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(.0315)</w:t>
            </w:r>
          </w:p>
        </w:tc>
        <w:tc>
          <w:tcPr>
            <w:tcW w:w="0" w:type="auto"/>
            <w:tcBorders>
              <w:top w:val="nil"/>
              <w:left w:val="nil"/>
              <w:right w:val="nil"/>
            </w:tcBorders>
            <w:shd w:val="clear" w:color="auto" w:fill="auto"/>
            <w:noWrap/>
            <w:vAlign w:val="bottom"/>
          </w:tcPr>
          <w:p w14:paraId="37C45B3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(.0331)</w:t>
            </w:r>
          </w:p>
        </w:tc>
        <w:tc>
          <w:tcPr>
            <w:tcW w:w="0" w:type="auto"/>
            <w:tcBorders>
              <w:top w:val="nil"/>
              <w:left w:val="nil"/>
              <w:right w:val="nil"/>
            </w:tcBorders>
            <w:shd w:val="clear" w:color="auto" w:fill="auto"/>
            <w:noWrap/>
            <w:vAlign w:val="bottom"/>
          </w:tcPr>
          <w:p w14:paraId="02EB9769"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(.0413)</w:t>
            </w:r>
          </w:p>
        </w:tc>
        <w:tc>
          <w:tcPr>
            <w:tcW w:w="0" w:type="auto"/>
            <w:tcBorders>
              <w:top w:val="nil"/>
              <w:left w:val="nil"/>
              <w:right w:val="nil"/>
            </w:tcBorders>
            <w:shd w:val="clear" w:color="auto" w:fill="auto"/>
            <w:noWrap/>
            <w:vAlign w:val="bottom"/>
          </w:tcPr>
          <w:p w14:paraId="231C4F7E"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(.0412)</w:t>
            </w:r>
          </w:p>
        </w:tc>
        <w:tc>
          <w:tcPr>
            <w:tcW w:w="0" w:type="auto"/>
            <w:tcBorders>
              <w:top w:val="nil"/>
              <w:left w:val="nil"/>
              <w:right w:val="nil"/>
            </w:tcBorders>
            <w:shd w:val="clear" w:color="auto" w:fill="auto"/>
            <w:noWrap/>
            <w:vAlign w:val="bottom"/>
          </w:tcPr>
          <w:p w14:paraId="10225F08"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(.0413)</w:t>
            </w:r>
          </w:p>
        </w:tc>
      </w:tr>
      <w:tr w:rsidR="00DA64BC" w:rsidRPr="00351E73" w14:paraId="578E4DFA" w14:textId="77777777" w:rsidTr="00FC7167">
        <w:trPr>
          <w:trHeight w:val="255"/>
          <w:jc w:val="center"/>
        </w:trPr>
        <w:tc>
          <w:tcPr>
            <w:tcW w:w="0" w:type="auto"/>
            <w:tcBorders>
              <w:top w:val="nil"/>
              <w:left w:val="nil"/>
              <w:right w:val="nil"/>
            </w:tcBorders>
            <w:shd w:val="clear" w:color="auto" w:fill="auto"/>
            <w:noWrap/>
            <w:vAlign w:val="bottom"/>
          </w:tcPr>
          <w:p w14:paraId="6EE6BE2E" w14:textId="77777777" w:rsidR="00DA64BC" w:rsidRPr="004961A2" w:rsidRDefault="00DA64BC" w:rsidP="00DA64BC">
            <w:pPr>
              <w:spacing w:after="0" w:line="240" w:lineRule="auto"/>
              <w:contextualSpacing/>
              <w:rPr>
                <w:rFonts w:ascii="Calibri" w:eastAsia="Times New Roman" w:hAnsi="Calibri" w:cs="Calibri"/>
                <w:i/>
                <w:sz w:val="20"/>
                <w:szCs w:val="20"/>
              </w:rPr>
            </w:pPr>
            <w:r w:rsidRPr="004961A2">
              <w:rPr>
                <w:rFonts w:ascii="Calibri" w:eastAsia="Times New Roman" w:hAnsi="Calibri" w:cs="Calibri"/>
                <w:i/>
                <w:sz w:val="20"/>
                <w:szCs w:val="20"/>
              </w:rPr>
              <w:t>Value$5plus</w:t>
            </w:r>
          </w:p>
        </w:tc>
        <w:tc>
          <w:tcPr>
            <w:tcW w:w="0" w:type="auto"/>
            <w:tcBorders>
              <w:top w:val="nil"/>
              <w:left w:val="nil"/>
              <w:right w:val="nil"/>
            </w:tcBorders>
            <w:shd w:val="clear" w:color="auto" w:fill="auto"/>
            <w:noWrap/>
            <w:vAlign w:val="bottom"/>
          </w:tcPr>
          <w:p w14:paraId="251ADEE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-.303***</w:t>
            </w:r>
          </w:p>
        </w:tc>
        <w:tc>
          <w:tcPr>
            <w:tcW w:w="0" w:type="auto"/>
            <w:tcBorders>
              <w:top w:val="nil"/>
              <w:left w:val="nil"/>
              <w:right w:val="nil"/>
            </w:tcBorders>
            <w:shd w:val="clear" w:color="auto" w:fill="auto"/>
            <w:noWrap/>
            <w:vAlign w:val="bottom"/>
          </w:tcPr>
          <w:p w14:paraId="12E6F973"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-.306***</w:t>
            </w:r>
          </w:p>
        </w:tc>
        <w:tc>
          <w:tcPr>
            <w:tcW w:w="0" w:type="auto"/>
            <w:tcBorders>
              <w:top w:val="nil"/>
              <w:left w:val="nil"/>
              <w:right w:val="nil"/>
            </w:tcBorders>
            <w:shd w:val="clear" w:color="auto" w:fill="auto"/>
            <w:noWrap/>
            <w:vAlign w:val="bottom"/>
          </w:tcPr>
          <w:p w14:paraId="41FC71F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-.332***</w:t>
            </w:r>
          </w:p>
        </w:tc>
        <w:tc>
          <w:tcPr>
            <w:tcW w:w="0" w:type="auto"/>
            <w:tcBorders>
              <w:top w:val="nil"/>
              <w:left w:val="nil"/>
              <w:right w:val="nil"/>
            </w:tcBorders>
            <w:shd w:val="clear" w:color="auto" w:fill="auto"/>
            <w:noWrap/>
            <w:vAlign w:val="bottom"/>
          </w:tcPr>
          <w:p w14:paraId="0CACEB9F"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-.333***</w:t>
            </w:r>
          </w:p>
        </w:tc>
        <w:tc>
          <w:tcPr>
            <w:tcW w:w="0" w:type="auto"/>
            <w:tcBorders>
              <w:top w:val="nil"/>
              <w:left w:val="nil"/>
              <w:right w:val="nil"/>
            </w:tcBorders>
            <w:shd w:val="clear" w:color="auto" w:fill="auto"/>
            <w:noWrap/>
            <w:vAlign w:val="bottom"/>
          </w:tcPr>
          <w:p w14:paraId="60D7F2E6"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-.326***</w:t>
            </w:r>
          </w:p>
        </w:tc>
      </w:tr>
      <w:tr w:rsidR="00DA64BC" w:rsidRPr="00351E73" w14:paraId="039EBCA0" w14:textId="77777777" w:rsidTr="00FC7167">
        <w:trPr>
          <w:trHeight w:val="255"/>
          <w:jc w:val="center"/>
        </w:trPr>
        <w:tc>
          <w:tcPr>
            <w:tcW w:w="0" w:type="auto"/>
            <w:tcBorders>
              <w:top w:val="nil"/>
              <w:left w:val="nil"/>
              <w:right w:val="nil"/>
            </w:tcBorders>
            <w:shd w:val="clear" w:color="auto" w:fill="auto"/>
            <w:noWrap/>
            <w:vAlign w:val="bottom"/>
          </w:tcPr>
          <w:p w14:paraId="0952434B" w14:textId="77777777" w:rsidR="00DA64BC" w:rsidRPr="00351E73" w:rsidRDefault="00DA64BC" w:rsidP="00DA64BC">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 </w:t>
            </w:r>
          </w:p>
        </w:tc>
        <w:tc>
          <w:tcPr>
            <w:tcW w:w="0" w:type="auto"/>
            <w:tcBorders>
              <w:top w:val="nil"/>
              <w:left w:val="nil"/>
              <w:right w:val="nil"/>
            </w:tcBorders>
            <w:shd w:val="clear" w:color="auto" w:fill="auto"/>
            <w:noWrap/>
            <w:vAlign w:val="bottom"/>
          </w:tcPr>
          <w:p w14:paraId="33EC550F"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(.0338)</w:t>
            </w:r>
          </w:p>
        </w:tc>
        <w:tc>
          <w:tcPr>
            <w:tcW w:w="0" w:type="auto"/>
            <w:tcBorders>
              <w:top w:val="nil"/>
              <w:left w:val="nil"/>
              <w:right w:val="nil"/>
            </w:tcBorders>
            <w:shd w:val="clear" w:color="auto" w:fill="auto"/>
            <w:noWrap/>
            <w:vAlign w:val="bottom"/>
          </w:tcPr>
          <w:p w14:paraId="0C87FEDD"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(.0352)</w:t>
            </w:r>
          </w:p>
        </w:tc>
        <w:tc>
          <w:tcPr>
            <w:tcW w:w="0" w:type="auto"/>
            <w:tcBorders>
              <w:top w:val="nil"/>
              <w:left w:val="nil"/>
              <w:right w:val="nil"/>
            </w:tcBorders>
            <w:shd w:val="clear" w:color="auto" w:fill="auto"/>
            <w:noWrap/>
            <w:vAlign w:val="bottom"/>
          </w:tcPr>
          <w:p w14:paraId="584912A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(.0414)</w:t>
            </w:r>
          </w:p>
        </w:tc>
        <w:tc>
          <w:tcPr>
            <w:tcW w:w="0" w:type="auto"/>
            <w:tcBorders>
              <w:top w:val="nil"/>
              <w:left w:val="nil"/>
              <w:right w:val="nil"/>
            </w:tcBorders>
            <w:shd w:val="clear" w:color="auto" w:fill="auto"/>
            <w:noWrap/>
            <w:vAlign w:val="bottom"/>
          </w:tcPr>
          <w:p w14:paraId="065DEE4F"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(.0409)</w:t>
            </w:r>
          </w:p>
        </w:tc>
        <w:tc>
          <w:tcPr>
            <w:tcW w:w="0" w:type="auto"/>
            <w:tcBorders>
              <w:top w:val="nil"/>
              <w:left w:val="nil"/>
              <w:right w:val="nil"/>
            </w:tcBorders>
            <w:shd w:val="clear" w:color="auto" w:fill="auto"/>
            <w:noWrap/>
            <w:vAlign w:val="bottom"/>
          </w:tcPr>
          <w:p w14:paraId="5C8C0B6A" w14:textId="77777777" w:rsidR="00DA64BC" w:rsidRPr="00C72371" w:rsidRDefault="00DA64BC" w:rsidP="00DA64BC">
            <w:pPr>
              <w:spacing w:after="0" w:line="240" w:lineRule="auto"/>
              <w:contextualSpacing/>
              <w:jc w:val="center"/>
              <w:rPr>
                <w:rFonts w:ascii="Calibri" w:eastAsia="Times New Roman" w:hAnsi="Calibri" w:cs="Calibri"/>
                <w:sz w:val="20"/>
                <w:szCs w:val="20"/>
              </w:rPr>
            </w:pPr>
            <w:r>
              <w:rPr>
                <w:rFonts w:ascii="Calibri" w:hAnsi="Calibri" w:cs="Calibri"/>
                <w:sz w:val="20"/>
                <w:szCs w:val="20"/>
              </w:rPr>
              <w:t>(.0425)</w:t>
            </w:r>
          </w:p>
        </w:tc>
      </w:tr>
      <w:tr w:rsidR="00DA64BC" w:rsidRPr="00351E73" w14:paraId="18922D24" w14:textId="77777777" w:rsidTr="00FC7167">
        <w:trPr>
          <w:trHeight w:val="255"/>
          <w:jc w:val="center"/>
        </w:trPr>
        <w:tc>
          <w:tcPr>
            <w:tcW w:w="0" w:type="auto"/>
            <w:tcBorders>
              <w:top w:val="nil"/>
              <w:left w:val="nil"/>
              <w:right w:val="nil"/>
            </w:tcBorders>
            <w:shd w:val="clear" w:color="auto" w:fill="auto"/>
            <w:noWrap/>
            <w:vAlign w:val="bottom"/>
          </w:tcPr>
          <w:p w14:paraId="7BB6F4CD" w14:textId="77777777" w:rsidR="00DA64BC" w:rsidRPr="00351E73" w:rsidRDefault="00DA64BC" w:rsidP="00DA64BC">
            <w:pPr>
              <w:spacing w:after="0" w:line="240" w:lineRule="auto"/>
              <w:contextualSpacing/>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34DA62E5"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3910BFF0"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52A01E5F"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63BA079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c>
          <w:tcPr>
            <w:tcW w:w="0" w:type="auto"/>
            <w:tcBorders>
              <w:top w:val="nil"/>
              <w:left w:val="nil"/>
              <w:right w:val="nil"/>
            </w:tcBorders>
            <w:shd w:val="clear" w:color="auto" w:fill="auto"/>
            <w:noWrap/>
            <w:vAlign w:val="bottom"/>
          </w:tcPr>
          <w:p w14:paraId="72C206F7" w14:textId="77777777" w:rsidR="00DA64BC" w:rsidRPr="00C72371" w:rsidRDefault="00DA64BC" w:rsidP="00DA64BC">
            <w:pPr>
              <w:spacing w:after="0" w:line="240" w:lineRule="auto"/>
              <w:contextualSpacing/>
              <w:jc w:val="center"/>
              <w:rPr>
                <w:rFonts w:ascii="Calibri" w:eastAsia="Times New Roman" w:hAnsi="Calibri" w:cs="Calibri"/>
                <w:sz w:val="20"/>
                <w:szCs w:val="20"/>
              </w:rPr>
            </w:pPr>
          </w:p>
        </w:tc>
      </w:tr>
      <w:tr w:rsidR="00DA64BC" w:rsidRPr="00351E73" w14:paraId="71036BF5" w14:textId="77777777" w:rsidTr="00FC7167">
        <w:trPr>
          <w:trHeight w:val="255"/>
          <w:jc w:val="center"/>
        </w:trPr>
        <w:tc>
          <w:tcPr>
            <w:tcW w:w="0" w:type="auto"/>
            <w:tcBorders>
              <w:top w:val="nil"/>
              <w:left w:val="nil"/>
              <w:right w:val="nil"/>
            </w:tcBorders>
            <w:shd w:val="clear" w:color="auto" w:fill="auto"/>
            <w:noWrap/>
            <w:vAlign w:val="bottom"/>
          </w:tcPr>
          <w:p w14:paraId="3ADA77D9" w14:textId="77777777" w:rsidR="00DA64BC" w:rsidRPr="00351E73" w:rsidRDefault="00DA64BC" w:rsidP="00DA64BC">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Observations</w:t>
            </w:r>
          </w:p>
        </w:tc>
        <w:tc>
          <w:tcPr>
            <w:tcW w:w="0" w:type="auto"/>
            <w:tcBorders>
              <w:top w:val="nil"/>
              <w:left w:val="nil"/>
              <w:right w:val="nil"/>
            </w:tcBorders>
            <w:shd w:val="clear" w:color="auto" w:fill="auto"/>
            <w:noWrap/>
            <w:vAlign w:val="bottom"/>
          </w:tcPr>
          <w:p w14:paraId="6A349B64"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4,613</w:t>
            </w:r>
          </w:p>
        </w:tc>
        <w:tc>
          <w:tcPr>
            <w:tcW w:w="0" w:type="auto"/>
            <w:tcBorders>
              <w:top w:val="nil"/>
              <w:left w:val="nil"/>
              <w:right w:val="nil"/>
            </w:tcBorders>
            <w:shd w:val="clear" w:color="auto" w:fill="auto"/>
            <w:noWrap/>
            <w:vAlign w:val="bottom"/>
          </w:tcPr>
          <w:p w14:paraId="7F3A4A2E"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4,251</w:t>
            </w:r>
          </w:p>
        </w:tc>
        <w:tc>
          <w:tcPr>
            <w:tcW w:w="0" w:type="auto"/>
            <w:tcBorders>
              <w:top w:val="nil"/>
              <w:left w:val="nil"/>
              <w:right w:val="nil"/>
            </w:tcBorders>
            <w:shd w:val="clear" w:color="auto" w:fill="auto"/>
            <w:noWrap/>
            <w:vAlign w:val="bottom"/>
          </w:tcPr>
          <w:p w14:paraId="7A3CB467"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3,436</w:t>
            </w:r>
          </w:p>
        </w:tc>
        <w:tc>
          <w:tcPr>
            <w:tcW w:w="0" w:type="auto"/>
            <w:tcBorders>
              <w:top w:val="nil"/>
              <w:left w:val="nil"/>
              <w:right w:val="nil"/>
            </w:tcBorders>
            <w:shd w:val="clear" w:color="auto" w:fill="auto"/>
            <w:noWrap/>
            <w:vAlign w:val="bottom"/>
          </w:tcPr>
          <w:p w14:paraId="05E1D0A1"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3,258</w:t>
            </w:r>
          </w:p>
        </w:tc>
        <w:tc>
          <w:tcPr>
            <w:tcW w:w="0" w:type="auto"/>
            <w:tcBorders>
              <w:top w:val="nil"/>
              <w:left w:val="nil"/>
              <w:right w:val="nil"/>
            </w:tcBorders>
            <w:shd w:val="clear" w:color="auto" w:fill="auto"/>
            <w:noWrap/>
            <w:vAlign w:val="bottom"/>
          </w:tcPr>
          <w:p w14:paraId="430D51AF"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3,164</w:t>
            </w:r>
          </w:p>
        </w:tc>
      </w:tr>
      <w:tr w:rsidR="00DA64BC" w:rsidRPr="00351E73" w14:paraId="1F894701" w14:textId="77777777" w:rsidTr="00FC7167">
        <w:trPr>
          <w:trHeight w:val="255"/>
          <w:jc w:val="center"/>
        </w:trPr>
        <w:tc>
          <w:tcPr>
            <w:tcW w:w="0" w:type="auto"/>
            <w:tcBorders>
              <w:top w:val="nil"/>
              <w:left w:val="nil"/>
              <w:bottom w:val="single" w:sz="4" w:space="0" w:color="auto"/>
              <w:right w:val="nil"/>
            </w:tcBorders>
            <w:shd w:val="clear" w:color="auto" w:fill="auto"/>
            <w:noWrap/>
            <w:vAlign w:val="bottom"/>
          </w:tcPr>
          <w:p w14:paraId="2B51777D" w14:textId="77777777" w:rsidR="00DA64BC" w:rsidRPr="00351E73" w:rsidRDefault="00DA64BC" w:rsidP="00DA64BC">
            <w:pPr>
              <w:spacing w:after="0" w:line="240" w:lineRule="auto"/>
              <w:contextualSpacing/>
              <w:rPr>
                <w:rFonts w:ascii="Calibri" w:eastAsia="Times New Roman" w:hAnsi="Calibri" w:cs="Calibri"/>
                <w:sz w:val="20"/>
                <w:szCs w:val="20"/>
              </w:rPr>
            </w:pPr>
            <w:r w:rsidRPr="00351E73">
              <w:rPr>
                <w:rFonts w:ascii="Calibri" w:eastAsia="Times New Roman" w:hAnsi="Calibri" w:cs="Calibri"/>
                <w:sz w:val="20"/>
                <w:szCs w:val="20"/>
              </w:rPr>
              <w:t>R</w:t>
            </w:r>
            <w:r w:rsidRPr="00351E73">
              <w:rPr>
                <w:rFonts w:ascii="Calibri" w:eastAsia="Times New Roman" w:hAnsi="Calibri" w:cs="Calibri"/>
                <w:sz w:val="20"/>
                <w:szCs w:val="20"/>
                <w:vertAlign w:val="superscript"/>
              </w:rPr>
              <w:t>2</w:t>
            </w:r>
          </w:p>
        </w:tc>
        <w:tc>
          <w:tcPr>
            <w:tcW w:w="0" w:type="auto"/>
            <w:tcBorders>
              <w:top w:val="nil"/>
              <w:left w:val="nil"/>
              <w:bottom w:val="single" w:sz="4" w:space="0" w:color="auto"/>
              <w:right w:val="nil"/>
            </w:tcBorders>
            <w:shd w:val="clear" w:color="auto" w:fill="auto"/>
            <w:noWrap/>
            <w:vAlign w:val="bottom"/>
          </w:tcPr>
          <w:p w14:paraId="6F61B606"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0.188</w:t>
            </w:r>
          </w:p>
        </w:tc>
        <w:tc>
          <w:tcPr>
            <w:tcW w:w="0" w:type="auto"/>
            <w:tcBorders>
              <w:top w:val="nil"/>
              <w:left w:val="nil"/>
              <w:bottom w:val="single" w:sz="4" w:space="0" w:color="auto"/>
              <w:right w:val="nil"/>
            </w:tcBorders>
            <w:shd w:val="clear" w:color="auto" w:fill="auto"/>
            <w:noWrap/>
            <w:vAlign w:val="bottom"/>
          </w:tcPr>
          <w:p w14:paraId="1290E630"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0.184</w:t>
            </w:r>
          </w:p>
        </w:tc>
        <w:tc>
          <w:tcPr>
            <w:tcW w:w="0" w:type="auto"/>
            <w:tcBorders>
              <w:top w:val="nil"/>
              <w:left w:val="nil"/>
              <w:bottom w:val="single" w:sz="4" w:space="0" w:color="auto"/>
              <w:right w:val="nil"/>
            </w:tcBorders>
            <w:shd w:val="clear" w:color="auto" w:fill="auto"/>
            <w:noWrap/>
            <w:vAlign w:val="bottom"/>
          </w:tcPr>
          <w:p w14:paraId="5BDB8964"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0.135</w:t>
            </w:r>
          </w:p>
        </w:tc>
        <w:tc>
          <w:tcPr>
            <w:tcW w:w="0" w:type="auto"/>
            <w:tcBorders>
              <w:top w:val="nil"/>
              <w:left w:val="nil"/>
              <w:bottom w:val="single" w:sz="4" w:space="0" w:color="auto"/>
              <w:right w:val="nil"/>
            </w:tcBorders>
            <w:shd w:val="clear" w:color="auto" w:fill="auto"/>
            <w:noWrap/>
            <w:vAlign w:val="bottom"/>
          </w:tcPr>
          <w:p w14:paraId="1032A5E3"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0.120</w:t>
            </w:r>
          </w:p>
        </w:tc>
        <w:tc>
          <w:tcPr>
            <w:tcW w:w="0" w:type="auto"/>
            <w:tcBorders>
              <w:top w:val="nil"/>
              <w:left w:val="nil"/>
              <w:bottom w:val="single" w:sz="4" w:space="0" w:color="auto"/>
              <w:right w:val="nil"/>
            </w:tcBorders>
            <w:shd w:val="clear" w:color="auto" w:fill="auto"/>
            <w:noWrap/>
            <w:vAlign w:val="bottom"/>
          </w:tcPr>
          <w:p w14:paraId="02129FCE" w14:textId="77777777" w:rsidR="00DA64BC" w:rsidRPr="00C72371" w:rsidRDefault="00DA64BC" w:rsidP="00DA64BC">
            <w:pPr>
              <w:spacing w:after="0" w:line="240" w:lineRule="auto"/>
              <w:contextualSpacing/>
              <w:jc w:val="right"/>
              <w:rPr>
                <w:rFonts w:ascii="Calibri" w:eastAsia="Times New Roman" w:hAnsi="Calibri" w:cs="Calibri"/>
                <w:sz w:val="20"/>
                <w:szCs w:val="20"/>
              </w:rPr>
            </w:pPr>
            <w:r>
              <w:rPr>
                <w:rFonts w:ascii="Calibri" w:hAnsi="Calibri" w:cs="Calibri"/>
                <w:sz w:val="20"/>
                <w:szCs w:val="20"/>
              </w:rPr>
              <w:t>0.107</w:t>
            </w:r>
          </w:p>
        </w:tc>
      </w:tr>
    </w:tbl>
    <w:p w14:paraId="7075A86F" w14:textId="77777777" w:rsidR="00DA64BC" w:rsidRDefault="00DA64BC" w:rsidP="009D6779">
      <w:pPr>
        <w:spacing w:after="0"/>
        <w:contextualSpacing/>
      </w:pPr>
    </w:p>
    <w:p w14:paraId="6CCBAE92" w14:textId="77777777" w:rsidR="00DA64BC" w:rsidRDefault="00DA64BC" w:rsidP="009D6779">
      <w:pPr>
        <w:spacing w:after="0"/>
        <w:contextualSpacing/>
      </w:pPr>
    </w:p>
    <w:p w14:paraId="5CF507CE" w14:textId="77777777" w:rsidR="00C956E3" w:rsidRDefault="00C956E3" w:rsidP="009D6779">
      <w:pPr>
        <w:spacing w:after="0"/>
        <w:contextualSpacing/>
      </w:pPr>
    </w:p>
    <w:p w14:paraId="3F3951E9" w14:textId="77777777" w:rsidR="00FF4EC3" w:rsidRDefault="00FF4EC3" w:rsidP="009D6779">
      <w:pPr>
        <w:spacing w:after="0"/>
        <w:contextualSpacing/>
      </w:pPr>
    </w:p>
    <w:p w14:paraId="15083CF3" w14:textId="77777777" w:rsidR="004C09CB" w:rsidRDefault="004C09CB" w:rsidP="009D6779">
      <w:pPr>
        <w:spacing w:after="0"/>
        <w:contextualSpacing/>
      </w:pPr>
    </w:p>
    <w:p w14:paraId="7816FFEE" w14:textId="77777777" w:rsidR="00C956E3" w:rsidRDefault="00C956E3" w:rsidP="009D6779">
      <w:pPr>
        <w:spacing w:after="0"/>
        <w:contextualSpacing/>
      </w:pPr>
    </w:p>
    <w:p w14:paraId="25653C82" w14:textId="77777777" w:rsidR="00C956E3" w:rsidRDefault="00C956E3" w:rsidP="009D6779">
      <w:pPr>
        <w:spacing w:after="0"/>
        <w:contextualSpacing/>
      </w:pPr>
    </w:p>
    <w:p w14:paraId="37CF0232" w14:textId="77777777" w:rsidR="00C956E3" w:rsidRDefault="00C956E3" w:rsidP="009D6779">
      <w:pPr>
        <w:spacing w:after="0"/>
        <w:contextualSpacing/>
        <w:sectPr w:rsidR="00C956E3">
          <w:pgSz w:w="12240" w:h="15840"/>
          <w:pgMar w:top="1440" w:right="1440" w:bottom="1440" w:left="1440" w:header="720" w:footer="720" w:gutter="0"/>
          <w:cols w:space="720"/>
          <w:docGrid w:linePitch="360"/>
        </w:sectPr>
      </w:pPr>
    </w:p>
    <w:p w14:paraId="1B941022" w14:textId="2280E405" w:rsidR="004C09CB" w:rsidRPr="00871E25" w:rsidRDefault="004C09CB" w:rsidP="009D6779">
      <w:pPr>
        <w:spacing w:after="0"/>
        <w:contextualSpacing/>
        <w:rPr>
          <w:b/>
        </w:rPr>
      </w:pPr>
      <w:r>
        <w:rPr>
          <w:b/>
        </w:rPr>
        <w:lastRenderedPageBreak/>
        <w:t xml:space="preserve">Table </w:t>
      </w:r>
      <w:r w:rsidR="003520CC">
        <w:rPr>
          <w:b/>
        </w:rPr>
        <w:t>A1</w:t>
      </w:r>
      <w:r w:rsidR="00DC4756">
        <w:rPr>
          <w:b/>
        </w:rPr>
        <w:t>5</w:t>
      </w:r>
    </w:p>
    <w:p w14:paraId="1A3BA545" w14:textId="15EFCBCF" w:rsidR="004C09CB" w:rsidRDefault="004C09CB" w:rsidP="009D6779">
      <w:pPr>
        <w:spacing w:after="0"/>
        <w:contextualSpacing/>
      </w:pPr>
      <w:r>
        <w:t xml:space="preserve">Robustness checks of the main results for our full sample from Tables </w:t>
      </w:r>
      <w:r w:rsidR="009F7EF0">
        <w:t>6</w:t>
      </w:r>
      <w:r>
        <w:t xml:space="preserve"> and</w:t>
      </w:r>
      <w:r w:rsidR="00CD4B2F">
        <w:t xml:space="preserve"> </w:t>
      </w:r>
      <w:r w:rsidR="009F7EF0">
        <w:t>9</w:t>
      </w:r>
      <w:r>
        <w:t>.  Panels A and B present results for key variables from multinomial logit regressions similar to those in Table</w:t>
      </w:r>
      <w:r w:rsidR="00CD4B2F">
        <w:t xml:space="preserve"> </w:t>
      </w:r>
      <w:r w:rsidR="009F7EF0">
        <w:t>6</w:t>
      </w:r>
      <w:r>
        <w:t>, based on monthly observations of first-lien, conventional, amortizing (non-balloon, non-interest only), fixed-rate mortgages for purchases of single-family residences or condominiums in Maryland and Virginia originated by nonbank originators between 2000 and 2015.  Panels C and D present results for key variables from two-stage least squares regressions similar to those in Table</w:t>
      </w:r>
      <w:r w:rsidR="009F7EF0">
        <w:t>9</w:t>
      </w:r>
      <w:r>
        <w:t>, based on loan-level observations of first-lien, conventional, amortizing (non-balloon, non-interest only), fixed-rate mortgages for purchases of single-family residences or condominiums in Maryland and Virginia originated by nonbank originators between 2000 and 2015.</w:t>
      </w:r>
      <w:r w:rsidRPr="004B547A">
        <w:t xml:space="preserve"> </w:t>
      </w:r>
      <w:r>
        <w:t xml:space="preserve">The samples represented in all panels are restricted to only prime mortgages (defined as those originated to borrowers with a FICO score greater than 660). </w:t>
      </w:r>
      <w:r w:rsidRPr="00EB01F8">
        <w:rPr>
          <w:i/>
        </w:rPr>
        <w:t>Subsidiary</w:t>
      </w:r>
      <w:r>
        <w:t xml:space="preserve"> equals 1 if the originator is a subsidiary nonbank, 0 if the originator is an independent nonbank. In column 1, </w:t>
      </w:r>
      <w:r w:rsidRPr="00EB01F8">
        <w:rPr>
          <w:i/>
        </w:rPr>
        <w:t>Post</w:t>
      </w:r>
      <w:r>
        <w:t xml:space="preserve"> equals 1 if the mortgage was originated after the September 14, 2009 Federal Reserve policy change, 0 otherwise.  All regression specifications include the same explanatory variables as in Tables </w:t>
      </w:r>
      <w:r w:rsidR="009F7EF0">
        <w:t>6</w:t>
      </w:r>
      <w:r>
        <w:t xml:space="preserve"> (for Panels A and B) and </w:t>
      </w:r>
      <w:r w:rsidR="009F7EF0">
        <w:t>9</w:t>
      </w:r>
      <w:r>
        <w:t xml:space="preserve"> (for Panels C and D), omitted here for brevity.  (Full results are available from the authors upon request.)  Vintage year indicators and a constant term are included in each specification.  Standard errors (clustered by loan in Panels A and B) appear</w:t>
      </w:r>
      <w:r w:rsidRPr="00957138">
        <w:t xml:space="preserve"> in </w:t>
      </w:r>
      <w:r>
        <w:t>parentheses</w:t>
      </w:r>
      <w:r w:rsidRPr="00957138">
        <w:t xml:space="preserve">.  </w:t>
      </w:r>
      <w:r>
        <w:t xml:space="preserve">Levels of significance are indicated by *, **, and *** for 10%, 5%, and 1%, respectively.  Model 1 in Panels A and B and in Panels C and D show results from Tables </w:t>
      </w:r>
      <w:r w:rsidR="009F7EF0">
        <w:t>6</w:t>
      </w:r>
      <w:r>
        <w:t xml:space="preserve"> and</w:t>
      </w:r>
      <w:r w:rsidR="009F7EF0">
        <w:t>9</w:t>
      </w:r>
      <w:r>
        <w:t xml:space="preserve">, respectively.  Models 2 through 5 redefine </w:t>
      </w:r>
      <w:r w:rsidRPr="004961A2">
        <w:rPr>
          <w:i/>
        </w:rPr>
        <w:t>Post</w:t>
      </w:r>
      <w:r>
        <w:t xml:space="preserve"> to represent alternative policy treatment dates.  Model 6 restricts the sample to loans originated after 2002.  Models 7 and 8 use balanced subsamples created using a propensity score and through omitting randomly selected observations in each vintage year, respectively.  Model 9 omits loans that exit the sample due to a servicer transfer. Model 10 restricts the sample to loans owned by a government-sponsored enterprise at any point during the sample period.</w:t>
      </w:r>
    </w:p>
    <w:p w14:paraId="7D401564" w14:textId="77777777" w:rsidR="009D6779" w:rsidRDefault="009D6779" w:rsidP="009D6779">
      <w:pPr>
        <w:spacing w:after="0"/>
        <w:contextualSpacing/>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1132"/>
        <w:gridCol w:w="656"/>
        <w:gridCol w:w="657"/>
        <w:gridCol w:w="1313"/>
        <w:gridCol w:w="1313"/>
        <w:gridCol w:w="1313"/>
        <w:gridCol w:w="1137"/>
        <w:gridCol w:w="1218"/>
        <w:gridCol w:w="994"/>
        <w:gridCol w:w="1161"/>
        <w:gridCol w:w="1020"/>
      </w:tblGrid>
      <w:tr w:rsidR="005C7B9C" w:rsidRPr="00226AB7" w14:paraId="3289E551" w14:textId="77777777" w:rsidTr="004C757C">
        <w:tc>
          <w:tcPr>
            <w:tcW w:w="0" w:type="auto"/>
          </w:tcPr>
          <w:p w14:paraId="1E81888E" w14:textId="77777777" w:rsidR="005C7B9C" w:rsidRPr="00226AB7" w:rsidRDefault="005C7B9C">
            <w:pPr>
              <w:contextualSpacing/>
              <w:rPr>
                <w:b/>
                <w:sz w:val="20"/>
                <w:szCs w:val="20"/>
              </w:rPr>
            </w:pPr>
            <w:r w:rsidRPr="00226AB7">
              <w:rPr>
                <w:b/>
                <w:sz w:val="20"/>
                <w:szCs w:val="20"/>
              </w:rPr>
              <w:t>Panel A</w:t>
            </w:r>
          </w:p>
        </w:tc>
        <w:tc>
          <w:tcPr>
            <w:tcW w:w="0" w:type="auto"/>
          </w:tcPr>
          <w:p w14:paraId="6A60605D" w14:textId="77777777" w:rsidR="005C7B9C" w:rsidRPr="00226AB7" w:rsidRDefault="005C7B9C">
            <w:pPr>
              <w:contextualSpacing/>
              <w:rPr>
                <w:sz w:val="20"/>
                <w:szCs w:val="20"/>
              </w:rPr>
            </w:pPr>
          </w:p>
        </w:tc>
        <w:tc>
          <w:tcPr>
            <w:tcW w:w="0" w:type="auto"/>
            <w:gridSpan w:val="2"/>
          </w:tcPr>
          <w:p w14:paraId="0E5DB325" w14:textId="77777777" w:rsidR="005C7B9C" w:rsidRPr="00226AB7" w:rsidRDefault="005C7B9C">
            <w:pPr>
              <w:contextualSpacing/>
              <w:rPr>
                <w:sz w:val="20"/>
                <w:szCs w:val="20"/>
              </w:rPr>
            </w:pPr>
          </w:p>
        </w:tc>
        <w:tc>
          <w:tcPr>
            <w:tcW w:w="0" w:type="auto"/>
          </w:tcPr>
          <w:p w14:paraId="3BAE405F" w14:textId="77777777" w:rsidR="005C7B9C" w:rsidRPr="00226AB7" w:rsidRDefault="005C7B9C">
            <w:pPr>
              <w:contextualSpacing/>
              <w:rPr>
                <w:sz w:val="20"/>
                <w:szCs w:val="20"/>
              </w:rPr>
            </w:pPr>
          </w:p>
        </w:tc>
        <w:tc>
          <w:tcPr>
            <w:tcW w:w="0" w:type="auto"/>
          </w:tcPr>
          <w:p w14:paraId="26E8639D" w14:textId="77777777" w:rsidR="005C7B9C" w:rsidRPr="00226AB7" w:rsidRDefault="005C7B9C">
            <w:pPr>
              <w:contextualSpacing/>
              <w:rPr>
                <w:sz w:val="20"/>
                <w:szCs w:val="20"/>
              </w:rPr>
            </w:pPr>
          </w:p>
        </w:tc>
        <w:tc>
          <w:tcPr>
            <w:tcW w:w="0" w:type="auto"/>
          </w:tcPr>
          <w:p w14:paraId="57D6022F" w14:textId="77777777" w:rsidR="005C7B9C" w:rsidRPr="00226AB7" w:rsidRDefault="005C7B9C">
            <w:pPr>
              <w:contextualSpacing/>
              <w:rPr>
                <w:sz w:val="20"/>
                <w:szCs w:val="20"/>
              </w:rPr>
            </w:pPr>
          </w:p>
        </w:tc>
        <w:tc>
          <w:tcPr>
            <w:tcW w:w="0" w:type="auto"/>
          </w:tcPr>
          <w:p w14:paraId="481EAF3F" w14:textId="77777777" w:rsidR="005C7B9C" w:rsidRPr="00226AB7" w:rsidRDefault="005C7B9C">
            <w:pPr>
              <w:contextualSpacing/>
              <w:rPr>
                <w:sz w:val="20"/>
                <w:szCs w:val="20"/>
              </w:rPr>
            </w:pPr>
          </w:p>
        </w:tc>
        <w:tc>
          <w:tcPr>
            <w:tcW w:w="0" w:type="auto"/>
          </w:tcPr>
          <w:p w14:paraId="5C35EC7C" w14:textId="77777777" w:rsidR="005C7B9C" w:rsidRPr="00226AB7" w:rsidRDefault="005C7B9C">
            <w:pPr>
              <w:contextualSpacing/>
              <w:rPr>
                <w:sz w:val="20"/>
                <w:szCs w:val="20"/>
              </w:rPr>
            </w:pPr>
          </w:p>
        </w:tc>
        <w:tc>
          <w:tcPr>
            <w:tcW w:w="0" w:type="auto"/>
          </w:tcPr>
          <w:p w14:paraId="1BBE40C4" w14:textId="77777777" w:rsidR="005C7B9C" w:rsidRPr="00226AB7" w:rsidRDefault="005C7B9C">
            <w:pPr>
              <w:contextualSpacing/>
              <w:rPr>
                <w:sz w:val="20"/>
                <w:szCs w:val="20"/>
              </w:rPr>
            </w:pPr>
          </w:p>
        </w:tc>
        <w:tc>
          <w:tcPr>
            <w:tcW w:w="0" w:type="auto"/>
          </w:tcPr>
          <w:p w14:paraId="6CC7725F" w14:textId="77777777" w:rsidR="005C7B9C" w:rsidRPr="00226AB7" w:rsidRDefault="005C7B9C">
            <w:pPr>
              <w:contextualSpacing/>
              <w:rPr>
                <w:sz w:val="20"/>
                <w:szCs w:val="20"/>
              </w:rPr>
            </w:pPr>
          </w:p>
        </w:tc>
        <w:tc>
          <w:tcPr>
            <w:tcW w:w="0" w:type="auto"/>
          </w:tcPr>
          <w:p w14:paraId="3A7B982E" w14:textId="77777777" w:rsidR="005C7B9C" w:rsidRPr="00226AB7" w:rsidRDefault="005C7B9C">
            <w:pPr>
              <w:contextualSpacing/>
              <w:rPr>
                <w:sz w:val="20"/>
                <w:szCs w:val="20"/>
              </w:rPr>
            </w:pPr>
          </w:p>
        </w:tc>
      </w:tr>
      <w:tr w:rsidR="005C7B9C" w:rsidRPr="00226AB7" w14:paraId="40CAB3D1" w14:textId="77777777" w:rsidTr="004C757C">
        <w:trPr>
          <w:gridAfter w:val="9"/>
        </w:trPr>
        <w:tc>
          <w:tcPr>
            <w:tcW w:w="0" w:type="auto"/>
          </w:tcPr>
          <w:p w14:paraId="6F2F2EA3" w14:textId="77777777" w:rsidR="005C7B9C" w:rsidRPr="00226AB7" w:rsidRDefault="005C7B9C">
            <w:pPr>
              <w:contextualSpacing/>
              <w:rPr>
                <w:sz w:val="20"/>
                <w:szCs w:val="20"/>
              </w:rPr>
            </w:pPr>
          </w:p>
        </w:tc>
        <w:tc>
          <w:tcPr>
            <w:tcW w:w="0" w:type="auto"/>
            <w:gridSpan w:val="2"/>
          </w:tcPr>
          <w:p w14:paraId="001D17BC" w14:textId="77777777" w:rsidR="005C7B9C" w:rsidRDefault="005C7B9C">
            <w:pPr>
              <w:contextualSpacing/>
              <w:jc w:val="center"/>
              <w:rPr>
                <w:sz w:val="20"/>
                <w:szCs w:val="20"/>
              </w:rPr>
            </w:pPr>
          </w:p>
        </w:tc>
      </w:tr>
      <w:tr w:rsidR="005C7B9C" w:rsidRPr="00226AB7" w14:paraId="3E10229C" w14:textId="77777777" w:rsidTr="004C757C">
        <w:tc>
          <w:tcPr>
            <w:tcW w:w="0" w:type="auto"/>
          </w:tcPr>
          <w:p w14:paraId="3B611D56" w14:textId="77777777" w:rsidR="005C7B9C" w:rsidRPr="00226AB7" w:rsidRDefault="005C7B9C">
            <w:pPr>
              <w:contextualSpacing/>
              <w:rPr>
                <w:sz w:val="20"/>
                <w:szCs w:val="20"/>
              </w:rPr>
            </w:pPr>
          </w:p>
        </w:tc>
        <w:tc>
          <w:tcPr>
            <w:tcW w:w="0" w:type="auto"/>
            <w:tcBorders>
              <w:top w:val="single" w:sz="4" w:space="0" w:color="auto"/>
              <w:bottom w:val="nil"/>
            </w:tcBorders>
          </w:tcPr>
          <w:p w14:paraId="17AF3FDD" w14:textId="2E437C2B" w:rsidR="005C7B9C" w:rsidRPr="00226AB7" w:rsidRDefault="005C7B9C">
            <w:pPr>
              <w:contextualSpacing/>
              <w:jc w:val="center"/>
              <w:rPr>
                <w:sz w:val="20"/>
                <w:szCs w:val="20"/>
              </w:rPr>
            </w:pPr>
            <w:r>
              <w:rPr>
                <w:sz w:val="20"/>
                <w:szCs w:val="20"/>
              </w:rPr>
              <w:t>Table</w:t>
            </w:r>
            <w:r w:rsidR="009F7EF0">
              <w:rPr>
                <w:sz w:val="20"/>
                <w:szCs w:val="20"/>
              </w:rPr>
              <w:t>6</w:t>
            </w:r>
            <w:r>
              <w:rPr>
                <w:sz w:val="20"/>
                <w:szCs w:val="20"/>
              </w:rPr>
              <w:t>, model 3</w:t>
            </w:r>
          </w:p>
        </w:tc>
        <w:tc>
          <w:tcPr>
            <w:tcW w:w="0" w:type="auto"/>
            <w:gridSpan w:val="2"/>
            <w:tcBorders>
              <w:top w:val="single" w:sz="4" w:space="0" w:color="auto"/>
              <w:bottom w:val="nil"/>
            </w:tcBorders>
          </w:tcPr>
          <w:p w14:paraId="3931D009" w14:textId="77777777" w:rsidR="005C7B9C" w:rsidRPr="00226AB7" w:rsidRDefault="005C7B9C">
            <w:pPr>
              <w:contextualSpacing/>
              <w:jc w:val="center"/>
              <w:rPr>
                <w:sz w:val="20"/>
                <w:szCs w:val="20"/>
              </w:rPr>
            </w:pPr>
            <w:r w:rsidRPr="00226AB7">
              <w:rPr>
                <w:sz w:val="20"/>
                <w:szCs w:val="20"/>
              </w:rPr>
              <w:t>2004 policy treatment</w:t>
            </w:r>
          </w:p>
        </w:tc>
        <w:tc>
          <w:tcPr>
            <w:tcW w:w="0" w:type="auto"/>
            <w:tcBorders>
              <w:top w:val="single" w:sz="4" w:space="0" w:color="auto"/>
              <w:bottom w:val="nil"/>
            </w:tcBorders>
          </w:tcPr>
          <w:p w14:paraId="4706BF70" w14:textId="77777777" w:rsidR="005C7B9C" w:rsidRPr="00226AB7" w:rsidRDefault="005C7B9C">
            <w:pPr>
              <w:contextualSpacing/>
              <w:jc w:val="center"/>
              <w:rPr>
                <w:sz w:val="20"/>
                <w:szCs w:val="20"/>
              </w:rPr>
            </w:pPr>
            <w:r w:rsidRPr="00226AB7">
              <w:rPr>
                <w:sz w:val="20"/>
                <w:szCs w:val="20"/>
              </w:rPr>
              <w:t>2007 policy treatment</w:t>
            </w:r>
          </w:p>
        </w:tc>
        <w:tc>
          <w:tcPr>
            <w:tcW w:w="0" w:type="auto"/>
            <w:tcBorders>
              <w:top w:val="single" w:sz="4" w:space="0" w:color="auto"/>
              <w:bottom w:val="nil"/>
            </w:tcBorders>
          </w:tcPr>
          <w:p w14:paraId="68EB012E" w14:textId="77777777" w:rsidR="005C7B9C" w:rsidRPr="00226AB7" w:rsidRDefault="005C7B9C">
            <w:pPr>
              <w:contextualSpacing/>
              <w:jc w:val="center"/>
              <w:rPr>
                <w:sz w:val="20"/>
                <w:szCs w:val="20"/>
              </w:rPr>
            </w:pPr>
            <w:r w:rsidRPr="00226AB7">
              <w:rPr>
                <w:sz w:val="20"/>
                <w:szCs w:val="20"/>
              </w:rPr>
              <w:t>2010 policy treatment</w:t>
            </w:r>
          </w:p>
        </w:tc>
        <w:tc>
          <w:tcPr>
            <w:tcW w:w="0" w:type="auto"/>
            <w:tcBorders>
              <w:top w:val="single" w:sz="4" w:space="0" w:color="auto"/>
              <w:bottom w:val="nil"/>
            </w:tcBorders>
          </w:tcPr>
          <w:p w14:paraId="00359137" w14:textId="77777777" w:rsidR="005C7B9C" w:rsidRPr="00226AB7" w:rsidRDefault="005C7B9C">
            <w:pPr>
              <w:contextualSpacing/>
              <w:jc w:val="center"/>
              <w:rPr>
                <w:sz w:val="20"/>
                <w:szCs w:val="20"/>
              </w:rPr>
            </w:pPr>
            <w:r w:rsidRPr="00226AB7">
              <w:rPr>
                <w:sz w:val="20"/>
                <w:szCs w:val="20"/>
              </w:rPr>
              <w:t>2011 policy treatment</w:t>
            </w:r>
          </w:p>
        </w:tc>
        <w:tc>
          <w:tcPr>
            <w:tcW w:w="0" w:type="auto"/>
            <w:tcBorders>
              <w:top w:val="single" w:sz="4" w:space="0" w:color="auto"/>
              <w:bottom w:val="nil"/>
            </w:tcBorders>
          </w:tcPr>
          <w:p w14:paraId="2210A37B" w14:textId="77777777" w:rsidR="005C7B9C" w:rsidRPr="00226AB7" w:rsidRDefault="005C7B9C">
            <w:pPr>
              <w:contextualSpacing/>
              <w:jc w:val="center"/>
              <w:rPr>
                <w:sz w:val="20"/>
                <w:szCs w:val="20"/>
              </w:rPr>
            </w:pPr>
            <w:r>
              <w:rPr>
                <w:sz w:val="20"/>
                <w:szCs w:val="20"/>
              </w:rPr>
              <w:t>2000-02 omitted</w:t>
            </w:r>
          </w:p>
        </w:tc>
        <w:tc>
          <w:tcPr>
            <w:tcW w:w="0" w:type="auto"/>
            <w:tcBorders>
              <w:top w:val="single" w:sz="4" w:space="0" w:color="auto"/>
              <w:bottom w:val="nil"/>
            </w:tcBorders>
          </w:tcPr>
          <w:p w14:paraId="735C5782" w14:textId="77777777" w:rsidR="005C7B9C" w:rsidRPr="00226AB7" w:rsidRDefault="005C7B9C">
            <w:pPr>
              <w:contextualSpacing/>
              <w:jc w:val="center"/>
              <w:rPr>
                <w:sz w:val="20"/>
                <w:szCs w:val="20"/>
              </w:rPr>
            </w:pPr>
            <w:r>
              <w:rPr>
                <w:sz w:val="20"/>
                <w:szCs w:val="20"/>
              </w:rPr>
              <w:t>Propensity score</w:t>
            </w:r>
          </w:p>
        </w:tc>
        <w:tc>
          <w:tcPr>
            <w:tcW w:w="0" w:type="auto"/>
            <w:tcBorders>
              <w:top w:val="single" w:sz="4" w:space="0" w:color="auto"/>
              <w:bottom w:val="nil"/>
            </w:tcBorders>
          </w:tcPr>
          <w:p w14:paraId="38961CCC" w14:textId="77777777" w:rsidR="005C7B9C" w:rsidRDefault="005C7B9C">
            <w:pPr>
              <w:contextualSpacing/>
              <w:jc w:val="center"/>
              <w:rPr>
                <w:sz w:val="20"/>
                <w:szCs w:val="20"/>
              </w:rPr>
            </w:pPr>
          </w:p>
          <w:p w14:paraId="71DBA0A3" w14:textId="77777777" w:rsidR="005C7B9C" w:rsidRPr="00226AB7" w:rsidRDefault="005C7B9C">
            <w:pPr>
              <w:contextualSpacing/>
              <w:jc w:val="center"/>
              <w:rPr>
                <w:sz w:val="20"/>
                <w:szCs w:val="20"/>
              </w:rPr>
            </w:pPr>
            <w:r>
              <w:rPr>
                <w:sz w:val="20"/>
                <w:szCs w:val="20"/>
              </w:rPr>
              <w:t>Random</w:t>
            </w:r>
          </w:p>
        </w:tc>
        <w:tc>
          <w:tcPr>
            <w:tcW w:w="0" w:type="auto"/>
            <w:tcBorders>
              <w:top w:val="single" w:sz="4" w:space="0" w:color="auto"/>
              <w:bottom w:val="nil"/>
            </w:tcBorders>
          </w:tcPr>
          <w:p w14:paraId="11AE87F3" w14:textId="77777777" w:rsidR="005C7B9C" w:rsidRPr="00226AB7" w:rsidRDefault="005C7B9C">
            <w:pPr>
              <w:contextualSpacing/>
              <w:jc w:val="center"/>
              <w:rPr>
                <w:sz w:val="20"/>
                <w:szCs w:val="20"/>
              </w:rPr>
            </w:pPr>
            <w:r>
              <w:rPr>
                <w:sz w:val="20"/>
                <w:szCs w:val="20"/>
              </w:rPr>
              <w:t>Transfers omitted</w:t>
            </w:r>
          </w:p>
        </w:tc>
        <w:tc>
          <w:tcPr>
            <w:tcW w:w="0" w:type="auto"/>
            <w:tcBorders>
              <w:top w:val="single" w:sz="4" w:space="0" w:color="auto"/>
              <w:bottom w:val="nil"/>
            </w:tcBorders>
          </w:tcPr>
          <w:p w14:paraId="6FA23D22" w14:textId="77777777" w:rsidR="005C7B9C" w:rsidRPr="00226AB7" w:rsidRDefault="005C7B9C">
            <w:pPr>
              <w:contextualSpacing/>
              <w:jc w:val="center"/>
              <w:rPr>
                <w:sz w:val="20"/>
                <w:szCs w:val="20"/>
              </w:rPr>
            </w:pPr>
            <w:r>
              <w:rPr>
                <w:sz w:val="20"/>
                <w:szCs w:val="20"/>
              </w:rPr>
              <w:t>GSE-owned</w:t>
            </w:r>
          </w:p>
        </w:tc>
      </w:tr>
      <w:tr w:rsidR="005C7B9C" w:rsidRPr="00226AB7" w14:paraId="1BDACE0B" w14:textId="77777777" w:rsidTr="004C757C">
        <w:tc>
          <w:tcPr>
            <w:tcW w:w="0" w:type="auto"/>
          </w:tcPr>
          <w:p w14:paraId="0C0C8BD3" w14:textId="77777777" w:rsidR="005C7B9C" w:rsidRPr="00226AB7" w:rsidRDefault="005C7B9C">
            <w:pPr>
              <w:contextualSpacing/>
              <w:rPr>
                <w:sz w:val="20"/>
                <w:szCs w:val="20"/>
              </w:rPr>
            </w:pPr>
          </w:p>
        </w:tc>
        <w:tc>
          <w:tcPr>
            <w:tcW w:w="0" w:type="auto"/>
            <w:tcBorders>
              <w:top w:val="nil"/>
              <w:bottom w:val="single" w:sz="4" w:space="0" w:color="auto"/>
            </w:tcBorders>
            <w:vAlign w:val="bottom"/>
          </w:tcPr>
          <w:p w14:paraId="585CC643"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(1)</w:t>
            </w:r>
          </w:p>
        </w:tc>
        <w:tc>
          <w:tcPr>
            <w:tcW w:w="0" w:type="auto"/>
            <w:gridSpan w:val="2"/>
            <w:tcBorders>
              <w:top w:val="nil"/>
              <w:bottom w:val="single" w:sz="4" w:space="0" w:color="auto"/>
            </w:tcBorders>
            <w:vAlign w:val="bottom"/>
          </w:tcPr>
          <w:p w14:paraId="7A2EE369"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(2)</w:t>
            </w:r>
          </w:p>
        </w:tc>
        <w:tc>
          <w:tcPr>
            <w:tcW w:w="0" w:type="auto"/>
            <w:tcBorders>
              <w:top w:val="nil"/>
              <w:bottom w:val="single" w:sz="4" w:space="0" w:color="auto"/>
            </w:tcBorders>
            <w:vAlign w:val="bottom"/>
          </w:tcPr>
          <w:p w14:paraId="73D722A3"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(3)</w:t>
            </w:r>
          </w:p>
        </w:tc>
        <w:tc>
          <w:tcPr>
            <w:tcW w:w="0" w:type="auto"/>
            <w:tcBorders>
              <w:top w:val="nil"/>
              <w:bottom w:val="single" w:sz="4" w:space="0" w:color="auto"/>
            </w:tcBorders>
            <w:vAlign w:val="bottom"/>
          </w:tcPr>
          <w:p w14:paraId="1F58ABD9"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(4)</w:t>
            </w:r>
          </w:p>
        </w:tc>
        <w:tc>
          <w:tcPr>
            <w:tcW w:w="0" w:type="auto"/>
            <w:tcBorders>
              <w:top w:val="nil"/>
              <w:bottom w:val="single" w:sz="4" w:space="0" w:color="auto"/>
            </w:tcBorders>
          </w:tcPr>
          <w:p w14:paraId="5862C6FE"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(5)</w:t>
            </w:r>
          </w:p>
        </w:tc>
        <w:tc>
          <w:tcPr>
            <w:tcW w:w="0" w:type="auto"/>
            <w:tcBorders>
              <w:top w:val="nil"/>
              <w:bottom w:val="single" w:sz="4" w:space="0" w:color="auto"/>
            </w:tcBorders>
          </w:tcPr>
          <w:p w14:paraId="6078D7F6"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(6)</w:t>
            </w:r>
          </w:p>
        </w:tc>
        <w:tc>
          <w:tcPr>
            <w:tcW w:w="0" w:type="auto"/>
            <w:tcBorders>
              <w:top w:val="nil"/>
              <w:bottom w:val="single" w:sz="4" w:space="0" w:color="auto"/>
            </w:tcBorders>
          </w:tcPr>
          <w:p w14:paraId="1701E278"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(7)</w:t>
            </w:r>
          </w:p>
        </w:tc>
        <w:tc>
          <w:tcPr>
            <w:tcW w:w="0" w:type="auto"/>
            <w:tcBorders>
              <w:top w:val="nil"/>
              <w:bottom w:val="single" w:sz="4" w:space="0" w:color="auto"/>
            </w:tcBorders>
          </w:tcPr>
          <w:p w14:paraId="3E59D0DD"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(8)</w:t>
            </w:r>
          </w:p>
        </w:tc>
        <w:tc>
          <w:tcPr>
            <w:tcW w:w="0" w:type="auto"/>
            <w:tcBorders>
              <w:top w:val="nil"/>
              <w:bottom w:val="single" w:sz="4" w:space="0" w:color="auto"/>
            </w:tcBorders>
          </w:tcPr>
          <w:p w14:paraId="16AE7BC4"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(9)</w:t>
            </w:r>
          </w:p>
        </w:tc>
        <w:tc>
          <w:tcPr>
            <w:tcW w:w="0" w:type="auto"/>
            <w:tcBorders>
              <w:top w:val="nil"/>
              <w:bottom w:val="single" w:sz="4" w:space="0" w:color="auto"/>
            </w:tcBorders>
          </w:tcPr>
          <w:p w14:paraId="3ECEBAA3"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(10)</w:t>
            </w:r>
          </w:p>
        </w:tc>
      </w:tr>
      <w:tr w:rsidR="005C7B9C" w:rsidRPr="00226AB7" w14:paraId="600B056F" w14:textId="77777777" w:rsidTr="004C757C">
        <w:tc>
          <w:tcPr>
            <w:tcW w:w="0" w:type="auto"/>
            <w:vAlign w:val="bottom"/>
          </w:tcPr>
          <w:p w14:paraId="341F32C5"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Subsidiary</w:t>
            </w:r>
          </w:p>
        </w:tc>
        <w:tc>
          <w:tcPr>
            <w:tcW w:w="0" w:type="auto"/>
            <w:tcBorders>
              <w:top w:val="single" w:sz="4" w:space="0" w:color="auto"/>
            </w:tcBorders>
            <w:vAlign w:val="bottom"/>
          </w:tcPr>
          <w:p w14:paraId="2BEB80F1"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.127***</w:t>
            </w:r>
          </w:p>
        </w:tc>
        <w:tc>
          <w:tcPr>
            <w:tcW w:w="0" w:type="auto"/>
            <w:gridSpan w:val="2"/>
            <w:tcBorders>
              <w:top w:val="single" w:sz="4" w:space="0" w:color="auto"/>
            </w:tcBorders>
            <w:vAlign w:val="bottom"/>
          </w:tcPr>
          <w:p w14:paraId="04BE5B1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.244***</w:t>
            </w:r>
          </w:p>
        </w:tc>
        <w:tc>
          <w:tcPr>
            <w:tcW w:w="0" w:type="auto"/>
            <w:tcBorders>
              <w:top w:val="single" w:sz="4" w:space="0" w:color="auto"/>
            </w:tcBorders>
            <w:vAlign w:val="bottom"/>
          </w:tcPr>
          <w:p w14:paraId="15B879E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.104**</w:t>
            </w:r>
          </w:p>
        </w:tc>
        <w:tc>
          <w:tcPr>
            <w:tcW w:w="0" w:type="auto"/>
            <w:tcBorders>
              <w:top w:val="single" w:sz="4" w:space="0" w:color="auto"/>
            </w:tcBorders>
            <w:vAlign w:val="bottom"/>
          </w:tcPr>
          <w:p w14:paraId="6128C3B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.127***</w:t>
            </w:r>
          </w:p>
        </w:tc>
        <w:tc>
          <w:tcPr>
            <w:tcW w:w="0" w:type="auto"/>
            <w:tcBorders>
              <w:top w:val="single" w:sz="4" w:space="0" w:color="auto"/>
            </w:tcBorders>
            <w:vAlign w:val="bottom"/>
          </w:tcPr>
          <w:p w14:paraId="56DF01D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.110***</w:t>
            </w:r>
          </w:p>
        </w:tc>
        <w:tc>
          <w:tcPr>
            <w:tcW w:w="0" w:type="auto"/>
            <w:tcBorders>
              <w:top w:val="single" w:sz="4" w:space="0" w:color="auto"/>
            </w:tcBorders>
            <w:vAlign w:val="bottom"/>
          </w:tcPr>
          <w:p w14:paraId="4457220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.114***</w:t>
            </w:r>
          </w:p>
        </w:tc>
        <w:tc>
          <w:tcPr>
            <w:tcW w:w="0" w:type="auto"/>
            <w:tcBorders>
              <w:top w:val="single" w:sz="4" w:space="0" w:color="auto"/>
            </w:tcBorders>
            <w:vAlign w:val="bottom"/>
          </w:tcPr>
          <w:p w14:paraId="5DC1167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-.0226</w:t>
            </w:r>
          </w:p>
        </w:tc>
        <w:tc>
          <w:tcPr>
            <w:tcW w:w="0" w:type="auto"/>
            <w:tcBorders>
              <w:top w:val="single" w:sz="4" w:space="0" w:color="auto"/>
            </w:tcBorders>
            <w:vAlign w:val="bottom"/>
          </w:tcPr>
          <w:p w14:paraId="5388E991"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.132***</w:t>
            </w:r>
          </w:p>
        </w:tc>
        <w:tc>
          <w:tcPr>
            <w:tcW w:w="0" w:type="auto"/>
            <w:tcBorders>
              <w:top w:val="single" w:sz="4" w:space="0" w:color="auto"/>
            </w:tcBorders>
            <w:vAlign w:val="bottom"/>
          </w:tcPr>
          <w:p w14:paraId="46753AF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.101***</w:t>
            </w:r>
          </w:p>
        </w:tc>
        <w:tc>
          <w:tcPr>
            <w:tcW w:w="0" w:type="auto"/>
            <w:tcBorders>
              <w:top w:val="single" w:sz="4" w:space="0" w:color="auto"/>
            </w:tcBorders>
            <w:vAlign w:val="bottom"/>
          </w:tcPr>
          <w:p w14:paraId="1A62EC2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.134***</w:t>
            </w:r>
          </w:p>
        </w:tc>
      </w:tr>
      <w:tr w:rsidR="005C7B9C" w:rsidRPr="00226AB7" w14:paraId="22A2EC70" w14:textId="77777777" w:rsidTr="004C757C">
        <w:tc>
          <w:tcPr>
            <w:tcW w:w="0" w:type="auto"/>
            <w:vAlign w:val="bottom"/>
          </w:tcPr>
          <w:p w14:paraId="21DC6F08"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209C5B7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(.0382)</w:t>
            </w:r>
          </w:p>
        </w:tc>
        <w:tc>
          <w:tcPr>
            <w:tcW w:w="0" w:type="auto"/>
            <w:gridSpan w:val="2"/>
            <w:vAlign w:val="bottom"/>
          </w:tcPr>
          <w:p w14:paraId="296E1B6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(.0902)</w:t>
            </w:r>
          </w:p>
        </w:tc>
        <w:tc>
          <w:tcPr>
            <w:tcW w:w="0" w:type="auto"/>
            <w:vAlign w:val="bottom"/>
          </w:tcPr>
          <w:p w14:paraId="001F291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(.0432)</w:t>
            </w:r>
          </w:p>
        </w:tc>
        <w:tc>
          <w:tcPr>
            <w:tcW w:w="0" w:type="auto"/>
            <w:vAlign w:val="bottom"/>
          </w:tcPr>
          <w:p w14:paraId="467776C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(.0379)</w:t>
            </w:r>
          </w:p>
        </w:tc>
        <w:tc>
          <w:tcPr>
            <w:tcW w:w="0" w:type="auto"/>
            <w:vAlign w:val="bottom"/>
          </w:tcPr>
          <w:p w14:paraId="587E058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(.0371)</w:t>
            </w:r>
          </w:p>
        </w:tc>
        <w:tc>
          <w:tcPr>
            <w:tcW w:w="0" w:type="auto"/>
            <w:vAlign w:val="bottom"/>
          </w:tcPr>
          <w:p w14:paraId="75A7B05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(.0395)</w:t>
            </w:r>
          </w:p>
        </w:tc>
        <w:tc>
          <w:tcPr>
            <w:tcW w:w="0" w:type="auto"/>
            <w:vAlign w:val="bottom"/>
          </w:tcPr>
          <w:p w14:paraId="3D24C35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(.0448)</w:t>
            </w:r>
          </w:p>
        </w:tc>
        <w:tc>
          <w:tcPr>
            <w:tcW w:w="0" w:type="auto"/>
            <w:vAlign w:val="bottom"/>
          </w:tcPr>
          <w:p w14:paraId="466689E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(.0409)</w:t>
            </w:r>
          </w:p>
        </w:tc>
        <w:tc>
          <w:tcPr>
            <w:tcW w:w="0" w:type="auto"/>
            <w:vAlign w:val="bottom"/>
          </w:tcPr>
          <w:p w14:paraId="66C4CCE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(.0388)</w:t>
            </w:r>
          </w:p>
        </w:tc>
        <w:tc>
          <w:tcPr>
            <w:tcW w:w="0" w:type="auto"/>
            <w:vAlign w:val="bottom"/>
          </w:tcPr>
          <w:p w14:paraId="26F5113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(.0415)</w:t>
            </w:r>
          </w:p>
        </w:tc>
      </w:tr>
      <w:tr w:rsidR="005C7B9C" w:rsidRPr="00226AB7" w14:paraId="42606F39" w14:textId="77777777" w:rsidTr="004C757C">
        <w:tc>
          <w:tcPr>
            <w:tcW w:w="0" w:type="auto"/>
            <w:vAlign w:val="bottom"/>
          </w:tcPr>
          <w:p w14:paraId="5F553CA8"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Post</w:t>
            </w:r>
          </w:p>
        </w:tc>
        <w:tc>
          <w:tcPr>
            <w:tcW w:w="0" w:type="auto"/>
            <w:vAlign w:val="bottom"/>
          </w:tcPr>
          <w:p w14:paraId="6404ED2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-.478**</w:t>
            </w:r>
          </w:p>
        </w:tc>
        <w:tc>
          <w:tcPr>
            <w:tcW w:w="0" w:type="auto"/>
            <w:gridSpan w:val="2"/>
            <w:vAlign w:val="bottom"/>
          </w:tcPr>
          <w:p w14:paraId="2C0B794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1.070***</w:t>
            </w:r>
          </w:p>
        </w:tc>
        <w:tc>
          <w:tcPr>
            <w:tcW w:w="0" w:type="auto"/>
            <w:vAlign w:val="bottom"/>
          </w:tcPr>
          <w:p w14:paraId="4F38F09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.286***</w:t>
            </w:r>
          </w:p>
        </w:tc>
        <w:tc>
          <w:tcPr>
            <w:tcW w:w="0" w:type="auto"/>
            <w:vAlign w:val="bottom"/>
          </w:tcPr>
          <w:p w14:paraId="5672892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.652**</w:t>
            </w:r>
          </w:p>
        </w:tc>
        <w:tc>
          <w:tcPr>
            <w:tcW w:w="0" w:type="auto"/>
            <w:vAlign w:val="bottom"/>
          </w:tcPr>
          <w:p w14:paraId="3776AD9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.642***</w:t>
            </w:r>
          </w:p>
        </w:tc>
        <w:tc>
          <w:tcPr>
            <w:tcW w:w="0" w:type="auto"/>
            <w:vAlign w:val="bottom"/>
          </w:tcPr>
          <w:p w14:paraId="5EEF463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-.454**</w:t>
            </w:r>
          </w:p>
        </w:tc>
        <w:tc>
          <w:tcPr>
            <w:tcW w:w="0" w:type="auto"/>
            <w:vAlign w:val="bottom"/>
          </w:tcPr>
          <w:p w14:paraId="1C6679B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-.511*</w:t>
            </w:r>
          </w:p>
        </w:tc>
        <w:tc>
          <w:tcPr>
            <w:tcW w:w="0" w:type="auto"/>
            <w:vAlign w:val="bottom"/>
          </w:tcPr>
          <w:p w14:paraId="2258160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-.318</w:t>
            </w:r>
          </w:p>
        </w:tc>
        <w:tc>
          <w:tcPr>
            <w:tcW w:w="0" w:type="auto"/>
            <w:vAlign w:val="bottom"/>
          </w:tcPr>
          <w:p w14:paraId="28510AD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-.540**</w:t>
            </w:r>
          </w:p>
        </w:tc>
        <w:tc>
          <w:tcPr>
            <w:tcW w:w="0" w:type="auto"/>
            <w:vAlign w:val="bottom"/>
          </w:tcPr>
          <w:p w14:paraId="481AACB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-.608**</w:t>
            </w:r>
          </w:p>
        </w:tc>
      </w:tr>
      <w:tr w:rsidR="005C7B9C" w:rsidRPr="00226AB7" w14:paraId="13802C23" w14:textId="77777777" w:rsidTr="004C757C">
        <w:tc>
          <w:tcPr>
            <w:tcW w:w="0" w:type="auto"/>
            <w:vAlign w:val="bottom"/>
          </w:tcPr>
          <w:p w14:paraId="0897C4E3"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4168F08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(.219)</w:t>
            </w:r>
          </w:p>
        </w:tc>
        <w:tc>
          <w:tcPr>
            <w:tcW w:w="0" w:type="auto"/>
            <w:gridSpan w:val="2"/>
            <w:vAlign w:val="bottom"/>
          </w:tcPr>
          <w:p w14:paraId="71DFA65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(.222)</w:t>
            </w:r>
          </w:p>
        </w:tc>
        <w:tc>
          <w:tcPr>
            <w:tcW w:w="0" w:type="auto"/>
            <w:vAlign w:val="bottom"/>
          </w:tcPr>
          <w:p w14:paraId="2BFCF56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(.0783)</w:t>
            </w:r>
          </w:p>
        </w:tc>
        <w:tc>
          <w:tcPr>
            <w:tcW w:w="0" w:type="auto"/>
            <w:vAlign w:val="bottom"/>
          </w:tcPr>
          <w:p w14:paraId="22603BD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(.286)</w:t>
            </w:r>
          </w:p>
        </w:tc>
        <w:tc>
          <w:tcPr>
            <w:tcW w:w="0" w:type="auto"/>
            <w:vAlign w:val="bottom"/>
          </w:tcPr>
          <w:p w14:paraId="247C243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(.164)</w:t>
            </w:r>
          </w:p>
        </w:tc>
        <w:tc>
          <w:tcPr>
            <w:tcW w:w="0" w:type="auto"/>
            <w:vAlign w:val="bottom"/>
          </w:tcPr>
          <w:p w14:paraId="49854C9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(.219)</w:t>
            </w:r>
          </w:p>
        </w:tc>
        <w:tc>
          <w:tcPr>
            <w:tcW w:w="0" w:type="auto"/>
            <w:vAlign w:val="bottom"/>
          </w:tcPr>
          <w:p w14:paraId="19D8CA3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(.295)</w:t>
            </w:r>
          </w:p>
        </w:tc>
        <w:tc>
          <w:tcPr>
            <w:tcW w:w="0" w:type="auto"/>
            <w:vAlign w:val="bottom"/>
          </w:tcPr>
          <w:p w14:paraId="2CD2C67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(.276)</w:t>
            </w:r>
          </w:p>
        </w:tc>
        <w:tc>
          <w:tcPr>
            <w:tcW w:w="0" w:type="auto"/>
            <w:vAlign w:val="bottom"/>
          </w:tcPr>
          <w:p w14:paraId="2D14DAA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(.219)</w:t>
            </w:r>
          </w:p>
        </w:tc>
        <w:tc>
          <w:tcPr>
            <w:tcW w:w="0" w:type="auto"/>
            <w:vAlign w:val="bottom"/>
          </w:tcPr>
          <w:p w14:paraId="141562E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(.238)</w:t>
            </w:r>
          </w:p>
        </w:tc>
      </w:tr>
      <w:tr w:rsidR="005C7B9C" w:rsidRPr="00226AB7" w14:paraId="632EFE73" w14:textId="77777777" w:rsidTr="004C757C">
        <w:tc>
          <w:tcPr>
            <w:tcW w:w="0" w:type="auto"/>
            <w:vAlign w:val="bottom"/>
          </w:tcPr>
          <w:p w14:paraId="3729E3A0" w14:textId="77777777" w:rsidR="005C7B9C" w:rsidRPr="00226AB7" w:rsidRDefault="005C7B9C" w:rsidP="009D6779">
            <w:pPr>
              <w:contextualSpacing/>
              <w:rPr>
                <w:rFonts w:eastAsia="Times New Roman" w:cs="Calibri"/>
                <w:i/>
                <w:sz w:val="20"/>
                <w:szCs w:val="20"/>
              </w:rPr>
            </w:pPr>
            <w:r>
              <w:rPr>
                <w:rFonts w:eastAsia="Times New Roman" w:cs="Calibri"/>
                <w:i/>
                <w:sz w:val="20"/>
                <w:szCs w:val="20"/>
              </w:rPr>
              <w:t>Subsidiary</w:t>
            </w:r>
          </w:p>
        </w:tc>
        <w:tc>
          <w:tcPr>
            <w:tcW w:w="0" w:type="auto"/>
            <w:vAlign w:val="bottom"/>
          </w:tcPr>
          <w:p w14:paraId="5D0E51B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-.465***</w:t>
            </w:r>
          </w:p>
        </w:tc>
        <w:tc>
          <w:tcPr>
            <w:tcW w:w="0" w:type="auto"/>
            <w:gridSpan w:val="2"/>
            <w:vAlign w:val="bottom"/>
          </w:tcPr>
          <w:p w14:paraId="09616BC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-.220**</w:t>
            </w:r>
          </w:p>
        </w:tc>
        <w:tc>
          <w:tcPr>
            <w:tcW w:w="0" w:type="auto"/>
            <w:vAlign w:val="bottom"/>
          </w:tcPr>
          <w:p w14:paraId="796FFDF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-.120*</w:t>
            </w:r>
          </w:p>
        </w:tc>
        <w:tc>
          <w:tcPr>
            <w:tcW w:w="0" w:type="auto"/>
            <w:vAlign w:val="bottom"/>
          </w:tcPr>
          <w:p w14:paraId="586EDCA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-.494***</w:t>
            </w:r>
          </w:p>
        </w:tc>
        <w:tc>
          <w:tcPr>
            <w:tcW w:w="0" w:type="auto"/>
            <w:vAlign w:val="bottom"/>
          </w:tcPr>
          <w:p w14:paraId="218004F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-.469***</w:t>
            </w:r>
          </w:p>
        </w:tc>
        <w:tc>
          <w:tcPr>
            <w:tcW w:w="0" w:type="auto"/>
            <w:vAlign w:val="bottom"/>
          </w:tcPr>
          <w:p w14:paraId="474C6C0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-.455***</w:t>
            </w:r>
          </w:p>
        </w:tc>
        <w:tc>
          <w:tcPr>
            <w:tcW w:w="0" w:type="auto"/>
            <w:vAlign w:val="bottom"/>
          </w:tcPr>
          <w:p w14:paraId="59D9F82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-.515***</w:t>
            </w:r>
          </w:p>
        </w:tc>
        <w:tc>
          <w:tcPr>
            <w:tcW w:w="0" w:type="auto"/>
            <w:vAlign w:val="bottom"/>
          </w:tcPr>
          <w:p w14:paraId="1A11CA4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-.461***</w:t>
            </w:r>
          </w:p>
        </w:tc>
        <w:tc>
          <w:tcPr>
            <w:tcW w:w="0" w:type="auto"/>
            <w:vAlign w:val="bottom"/>
          </w:tcPr>
          <w:p w14:paraId="378AFFE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-.493***</w:t>
            </w:r>
          </w:p>
        </w:tc>
        <w:tc>
          <w:tcPr>
            <w:tcW w:w="0" w:type="auto"/>
            <w:vAlign w:val="bottom"/>
          </w:tcPr>
          <w:p w14:paraId="6A874A01"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-.465***</w:t>
            </w:r>
          </w:p>
        </w:tc>
      </w:tr>
      <w:tr w:rsidR="005C7B9C" w:rsidRPr="00226AB7" w14:paraId="40CA523B" w14:textId="77777777" w:rsidTr="004C757C">
        <w:tc>
          <w:tcPr>
            <w:tcW w:w="0" w:type="auto"/>
            <w:tcBorders>
              <w:bottom w:val="single" w:sz="4" w:space="0" w:color="auto"/>
            </w:tcBorders>
          </w:tcPr>
          <w:p w14:paraId="1CE465CF" w14:textId="77777777" w:rsidR="005C7B9C" w:rsidRPr="009911DF" w:rsidRDefault="005C7B9C" w:rsidP="009D6779">
            <w:pPr>
              <w:contextualSpacing/>
              <w:rPr>
                <w:i/>
                <w:sz w:val="20"/>
                <w:szCs w:val="20"/>
              </w:rPr>
            </w:pPr>
            <w:r>
              <w:rPr>
                <w:i/>
                <w:sz w:val="20"/>
                <w:szCs w:val="20"/>
              </w:rPr>
              <w:t xml:space="preserve">   </w:t>
            </w:r>
            <w:r w:rsidRPr="009911DF">
              <w:rPr>
                <w:i/>
                <w:sz w:val="20"/>
                <w:szCs w:val="20"/>
              </w:rPr>
              <w:t>* Post</w:t>
            </w:r>
          </w:p>
        </w:tc>
        <w:tc>
          <w:tcPr>
            <w:tcW w:w="0" w:type="auto"/>
            <w:tcBorders>
              <w:bottom w:val="single" w:sz="4" w:space="0" w:color="auto"/>
            </w:tcBorders>
            <w:vAlign w:val="bottom"/>
          </w:tcPr>
          <w:p w14:paraId="01227C7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(.0907)</w:t>
            </w:r>
          </w:p>
        </w:tc>
        <w:tc>
          <w:tcPr>
            <w:tcW w:w="0" w:type="auto"/>
            <w:gridSpan w:val="2"/>
            <w:tcBorders>
              <w:bottom w:val="single" w:sz="4" w:space="0" w:color="auto"/>
            </w:tcBorders>
            <w:vAlign w:val="bottom"/>
          </w:tcPr>
          <w:p w14:paraId="230E631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(.0976)</w:t>
            </w:r>
          </w:p>
        </w:tc>
        <w:tc>
          <w:tcPr>
            <w:tcW w:w="0" w:type="auto"/>
            <w:tcBorders>
              <w:bottom w:val="single" w:sz="4" w:space="0" w:color="auto"/>
            </w:tcBorders>
            <w:vAlign w:val="bottom"/>
          </w:tcPr>
          <w:p w14:paraId="79FB114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(.0716)</w:t>
            </w:r>
          </w:p>
        </w:tc>
        <w:tc>
          <w:tcPr>
            <w:tcW w:w="0" w:type="auto"/>
            <w:tcBorders>
              <w:bottom w:val="single" w:sz="4" w:space="0" w:color="auto"/>
            </w:tcBorders>
            <w:vAlign w:val="bottom"/>
          </w:tcPr>
          <w:p w14:paraId="2FD2226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(.0931)</w:t>
            </w:r>
          </w:p>
        </w:tc>
        <w:tc>
          <w:tcPr>
            <w:tcW w:w="0" w:type="auto"/>
            <w:tcBorders>
              <w:bottom w:val="single" w:sz="4" w:space="0" w:color="auto"/>
            </w:tcBorders>
            <w:vAlign w:val="bottom"/>
          </w:tcPr>
          <w:p w14:paraId="0BE93DB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(.102)</w:t>
            </w:r>
          </w:p>
        </w:tc>
        <w:tc>
          <w:tcPr>
            <w:tcW w:w="0" w:type="auto"/>
            <w:tcBorders>
              <w:bottom w:val="single" w:sz="4" w:space="0" w:color="auto"/>
            </w:tcBorders>
            <w:vAlign w:val="bottom"/>
          </w:tcPr>
          <w:p w14:paraId="0DF106D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(.0912)</w:t>
            </w:r>
          </w:p>
        </w:tc>
        <w:tc>
          <w:tcPr>
            <w:tcW w:w="0" w:type="auto"/>
            <w:tcBorders>
              <w:bottom w:val="single" w:sz="4" w:space="0" w:color="auto"/>
            </w:tcBorders>
            <w:vAlign w:val="bottom"/>
          </w:tcPr>
          <w:p w14:paraId="72A162B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(.104)</w:t>
            </w:r>
          </w:p>
        </w:tc>
        <w:tc>
          <w:tcPr>
            <w:tcW w:w="0" w:type="auto"/>
            <w:tcBorders>
              <w:bottom w:val="single" w:sz="4" w:space="0" w:color="auto"/>
            </w:tcBorders>
            <w:vAlign w:val="bottom"/>
          </w:tcPr>
          <w:p w14:paraId="3455E2A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(.0954)</w:t>
            </w:r>
          </w:p>
        </w:tc>
        <w:tc>
          <w:tcPr>
            <w:tcW w:w="0" w:type="auto"/>
            <w:tcBorders>
              <w:bottom w:val="single" w:sz="4" w:space="0" w:color="auto"/>
            </w:tcBorders>
            <w:vAlign w:val="bottom"/>
          </w:tcPr>
          <w:p w14:paraId="5DE5BD9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(.0909)</w:t>
            </w:r>
          </w:p>
        </w:tc>
        <w:tc>
          <w:tcPr>
            <w:tcW w:w="0" w:type="auto"/>
            <w:tcBorders>
              <w:bottom w:val="single" w:sz="4" w:space="0" w:color="auto"/>
            </w:tcBorders>
            <w:vAlign w:val="bottom"/>
          </w:tcPr>
          <w:p w14:paraId="51A84E2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(.0945)</w:t>
            </w:r>
          </w:p>
        </w:tc>
      </w:tr>
      <w:tr w:rsidR="005C7B9C" w:rsidRPr="00226AB7" w14:paraId="7CC6BCC3" w14:textId="77777777" w:rsidTr="004C757C">
        <w:tc>
          <w:tcPr>
            <w:tcW w:w="0" w:type="auto"/>
            <w:tcBorders>
              <w:top w:val="single" w:sz="4" w:space="0" w:color="auto"/>
              <w:bottom w:val="nil"/>
            </w:tcBorders>
          </w:tcPr>
          <w:p w14:paraId="2CC18025" w14:textId="77777777" w:rsidR="005C7B9C" w:rsidRPr="00226AB7" w:rsidRDefault="005C7B9C">
            <w:pPr>
              <w:contextualSpacing/>
              <w:rPr>
                <w:b/>
                <w:sz w:val="20"/>
                <w:szCs w:val="20"/>
              </w:rPr>
            </w:pPr>
            <w:r w:rsidRPr="00226AB7">
              <w:rPr>
                <w:b/>
                <w:sz w:val="20"/>
                <w:szCs w:val="20"/>
              </w:rPr>
              <w:t>Panel B</w:t>
            </w:r>
          </w:p>
        </w:tc>
        <w:tc>
          <w:tcPr>
            <w:tcW w:w="0" w:type="auto"/>
            <w:tcBorders>
              <w:top w:val="single" w:sz="4" w:space="0" w:color="auto"/>
              <w:bottom w:val="nil"/>
            </w:tcBorders>
          </w:tcPr>
          <w:p w14:paraId="165DD5B3" w14:textId="77777777" w:rsidR="005C7B9C" w:rsidRPr="00226AB7" w:rsidRDefault="005C7B9C">
            <w:pPr>
              <w:contextualSpacing/>
              <w:rPr>
                <w:sz w:val="20"/>
                <w:szCs w:val="20"/>
              </w:rPr>
            </w:pPr>
          </w:p>
        </w:tc>
        <w:tc>
          <w:tcPr>
            <w:tcW w:w="0" w:type="auto"/>
            <w:gridSpan w:val="2"/>
            <w:tcBorders>
              <w:top w:val="single" w:sz="4" w:space="0" w:color="auto"/>
              <w:bottom w:val="nil"/>
            </w:tcBorders>
          </w:tcPr>
          <w:p w14:paraId="28DBE7BB" w14:textId="77777777" w:rsidR="005C7B9C" w:rsidRPr="00226AB7" w:rsidRDefault="005C7B9C">
            <w:pPr>
              <w:contextualSpacing/>
              <w:rPr>
                <w:sz w:val="20"/>
                <w:szCs w:val="20"/>
              </w:rPr>
            </w:pPr>
          </w:p>
        </w:tc>
        <w:tc>
          <w:tcPr>
            <w:tcW w:w="0" w:type="auto"/>
            <w:tcBorders>
              <w:top w:val="single" w:sz="4" w:space="0" w:color="auto"/>
              <w:bottom w:val="nil"/>
            </w:tcBorders>
          </w:tcPr>
          <w:p w14:paraId="1755B126" w14:textId="77777777" w:rsidR="005C7B9C" w:rsidRPr="00226AB7" w:rsidRDefault="005C7B9C">
            <w:pPr>
              <w:contextualSpacing/>
              <w:rPr>
                <w:sz w:val="20"/>
                <w:szCs w:val="20"/>
              </w:rPr>
            </w:pPr>
          </w:p>
        </w:tc>
        <w:tc>
          <w:tcPr>
            <w:tcW w:w="0" w:type="auto"/>
            <w:tcBorders>
              <w:top w:val="single" w:sz="4" w:space="0" w:color="auto"/>
              <w:bottom w:val="nil"/>
            </w:tcBorders>
          </w:tcPr>
          <w:p w14:paraId="4D79CBD5" w14:textId="77777777" w:rsidR="005C7B9C" w:rsidRPr="00226AB7" w:rsidRDefault="005C7B9C">
            <w:pPr>
              <w:contextualSpacing/>
              <w:rPr>
                <w:sz w:val="20"/>
                <w:szCs w:val="20"/>
              </w:rPr>
            </w:pPr>
          </w:p>
        </w:tc>
        <w:tc>
          <w:tcPr>
            <w:tcW w:w="0" w:type="auto"/>
            <w:tcBorders>
              <w:top w:val="single" w:sz="4" w:space="0" w:color="auto"/>
              <w:bottom w:val="nil"/>
            </w:tcBorders>
          </w:tcPr>
          <w:p w14:paraId="5283BC1F" w14:textId="77777777" w:rsidR="005C7B9C" w:rsidRPr="00226AB7" w:rsidRDefault="005C7B9C">
            <w:pPr>
              <w:contextualSpacing/>
              <w:rPr>
                <w:sz w:val="20"/>
                <w:szCs w:val="20"/>
              </w:rPr>
            </w:pPr>
          </w:p>
        </w:tc>
        <w:tc>
          <w:tcPr>
            <w:tcW w:w="0" w:type="auto"/>
            <w:tcBorders>
              <w:top w:val="single" w:sz="4" w:space="0" w:color="auto"/>
              <w:bottom w:val="nil"/>
            </w:tcBorders>
          </w:tcPr>
          <w:p w14:paraId="22D4CC27" w14:textId="77777777" w:rsidR="005C7B9C" w:rsidRPr="00226AB7" w:rsidRDefault="005C7B9C">
            <w:pPr>
              <w:contextualSpacing/>
              <w:rPr>
                <w:sz w:val="20"/>
                <w:szCs w:val="20"/>
              </w:rPr>
            </w:pPr>
          </w:p>
        </w:tc>
        <w:tc>
          <w:tcPr>
            <w:tcW w:w="0" w:type="auto"/>
            <w:tcBorders>
              <w:top w:val="single" w:sz="4" w:space="0" w:color="auto"/>
              <w:bottom w:val="nil"/>
            </w:tcBorders>
          </w:tcPr>
          <w:p w14:paraId="58A8B44E" w14:textId="77777777" w:rsidR="005C7B9C" w:rsidRPr="00226AB7" w:rsidRDefault="005C7B9C">
            <w:pPr>
              <w:contextualSpacing/>
              <w:rPr>
                <w:sz w:val="20"/>
                <w:szCs w:val="20"/>
              </w:rPr>
            </w:pPr>
          </w:p>
        </w:tc>
        <w:tc>
          <w:tcPr>
            <w:tcW w:w="0" w:type="auto"/>
            <w:tcBorders>
              <w:top w:val="single" w:sz="4" w:space="0" w:color="auto"/>
              <w:bottom w:val="nil"/>
            </w:tcBorders>
          </w:tcPr>
          <w:p w14:paraId="5B1A00C1" w14:textId="77777777" w:rsidR="005C7B9C" w:rsidRPr="00226AB7" w:rsidRDefault="005C7B9C">
            <w:pPr>
              <w:contextualSpacing/>
              <w:rPr>
                <w:sz w:val="20"/>
                <w:szCs w:val="20"/>
              </w:rPr>
            </w:pPr>
          </w:p>
        </w:tc>
        <w:tc>
          <w:tcPr>
            <w:tcW w:w="0" w:type="auto"/>
            <w:tcBorders>
              <w:top w:val="single" w:sz="4" w:space="0" w:color="auto"/>
              <w:bottom w:val="nil"/>
            </w:tcBorders>
          </w:tcPr>
          <w:p w14:paraId="0F9BE5F3" w14:textId="77777777" w:rsidR="005C7B9C" w:rsidRPr="00226AB7" w:rsidRDefault="005C7B9C">
            <w:pPr>
              <w:contextualSpacing/>
              <w:rPr>
                <w:sz w:val="20"/>
                <w:szCs w:val="20"/>
              </w:rPr>
            </w:pPr>
          </w:p>
        </w:tc>
        <w:tc>
          <w:tcPr>
            <w:tcW w:w="0" w:type="auto"/>
            <w:tcBorders>
              <w:top w:val="single" w:sz="4" w:space="0" w:color="auto"/>
              <w:bottom w:val="nil"/>
            </w:tcBorders>
          </w:tcPr>
          <w:p w14:paraId="6AD15C17" w14:textId="77777777" w:rsidR="005C7B9C" w:rsidRPr="00226AB7" w:rsidRDefault="005C7B9C">
            <w:pPr>
              <w:contextualSpacing/>
              <w:rPr>
                <w:sz w:val="20"/>
                <w:szCs w:val="20"/>
              </w:rPr>
            </w:pPr>
          </w:p>
        </w:tc>
      </w:tr>
      <w:tr w:rsidR="005C7B9C" w:rsidRPr="00226AB7" w14:paraId="448968CA" w14:textId="77777777" w:rsidTr="004C757C">
        <w:trPr>
          <w:gridAfter w:val="9"/>
        </w:trPr>
        <w:tc>
          <w:tcPr>
            <w:tcW w:w="0" w:type="auto"/>
            <w:tcBorders>
              <w:top w:val="nil"/>
            </w:tcBorders>
          </w:tcPr>
          <w:p w14:paraId="6F447FF2" w14:textId="77777777" w:rsidR="005C7B9C" w:rsidRPr="00226AB7" w:rsidRDefault="005C7B9C">
            <w:pPr>
              <w:contextualSpacing/>
              <w:rPr>
                <w:sz w:val="20"/>
                <w:szCs w:val="20"/>
              </w:rPr>
            </w:pPr>
          </w:p>
        </w:tc>
        <w:tc>
          <w:tcPr>
            <w:tcW w:w="0" w:type="auto"/>
            <w:gridSpan w:val="2"/>
            <w:tcBorders>
              <w:top w:val="nil"/>
            </w:tcBorders>
          </w:tcPr>
          <w:p w14:paraId="31ED518A" w14:textId="77777777" w:rsidR="005C7B9C" w:rsidRDefault="005C7B9C">
            <w:pPr>
              <w:contextualSpacing/>
              <w:jc w:val="center"/>
              <w:rPr>
                <w:sz w:val="20"/>
                <w:szCs w:val="20"/>
              </w:rPr>
            </w:pPr>
          </w:p>
        </w:tc>
      </w:tr>
      <w:tr w:rsidR="005C7B9C" w:rsidRPr="00226AB7" w14:paraId="36221985" w14:textId="77777777" w:rsidTr="004C757C">
        <w:tc>
          <w:tcPr>
            <w:tcW w:w="0" w:type="auto"/>
          </w:tcPr>
          <w:p w14:paraId="6685DED4" w14:textId="77777777" w:rsidR="005C7B9C" w:rsidRPr="00226AB7" w:rsidRDefault="005C7B9C">
            <w:pPr>
              <w:contextualSpacing/>
              <w:rPr>
                <w:sz w:val="20"/>
                <w:szCs w:val="20"/>
              </w:rPr>
            </w:pPr>
          </w:p>
        </w:tc>
        <w:tc>
          <w:tcPr>
            <w:tcW w:w="0" w:type="auto"/>
            <w:tcBorders>
              <w:top w:val="single" w:sz="4" w:space="0" w:color="auto"/>
              <w:bottom w:val="nil"/>
            </w:tcBorders>
          </w:tcPr>
          <w:p w14:paraId="38C255DD" w14:textId="43F1FAD7" w:rsidR="005C7B9C" w:rsidRPr="00226AB7" w:rsidRDefault="005C7B9C">
            <w:pPr>
              <w:contextualSpacing/>
              <w:jc w:val="center"/>
              <w:rPr>
                <w:sz w:val="20"/>
                <w:szCs w:val="20"/>
              </w:rPr>
            </w:pPr>
            <w:r>
              <w:rPr>
                <w:sz w:val="20"/>
                <w:szCs w:val="20"/>
              </w:rPr>
              <w:t>Table 9, model 6</w:t>
            </w:r>
          </w:p>
        </w:tc>
        <w:tc>
          <w:tcPr>
            <w:tcW w:w="0" w:type="auto"/>
            <w:gridSpan w:val="2"/>
            <w:tcBorders>
              <w:top w:val="single" w:sz="4" w:space="0" w:color="auto"/>
              <w:bottom w:val="nil"/>
            </w:tcBorders>
          </w:tcPr>
          <w:p w14:paraId="1264D9E0" w14:textId="77777777" w:rsidR="005C7B9C" w:rsidRPr="00226AB7" w:rsidRDefault="005C7B9C">
            <w:pPr>
              <w:contextualSpacing/>
              <w:jc w:val="center"/>
              <w:rPr>
                <w:sz w:val="20"/>
                <w:szCs w:val="20"/>
              </w:rPr>
            </w:pPr>
            <w:r w:rsidRPr="00226AB7">
              <w:rPr>
                <w:sz w:val="20"/>
                <w:szCs w:val="20"/>
              </w:rPr>
              <w:t>2004 policy treatment</w:t>
            </w:r>
          </w:p>
        </w:tc>
        <w:tc>
          <w:tcPr>
            <w:tcW w:w="0" w:type="auto"/>
            <w:tcBorders>
              <w:top w:val="single" w:sz="4" w:space="0" w:color="auto"/>
              <w:bottom w:val="nil"/>
            </w:tcBorders>
          </w:tcPr>
          <w:p w14:paraId="42073101" w14:textId="77777777" w:rsidR="005C7B9C" w:rsidRPr="00226AB7" w:rsidRDefault="005C7B9C">
            <w:pPr>
              <w:contextualSpacing/>
              <w:jc w:val="center"/>
              <w:rPr>
                <w:sz w:val="20"/>
                <w:szCs w:val="20"/>
              </w:rPr>
            </w:pPr>
            <w:r w:rsidRPr="00226AB7">
              <w:rPr>
                <w:sz w:val="20"/>
                <w:szCs w:val="20"/>
              </w:rPr>
              <w:t>2007 policy treatment</w:t>
            </w:r>
          </w:p>
        </w:tc>
        <w:tc>
          <w:tcPr>
            <w:tcW w:w="0" w:type="auto"/>
            <w:tcBorders>
              <w:top w:val="single" w:sz="4" w:space="0" w:color="auto"/>
              <w:bottom w:val="nil"/>
            </w:tcBorders>
          </w:tcPr>
          <w:p w14:paraId="28EFC9E8" w14:textId="77777777" w:rsidR="005C7B9C" w:rsidRPr="00226AB7" w:rsidRDefault="005C7B9C">
            <w:pPr>
              <w:contextualSpacing/>
              <w:jc w:val="center"/>
              <w:rPr>
                <w:sz w:val="20"/>
                <w:szCs w:val="20"/>
              </w:rPr>
            </w:pPr>
            <w:r w:rsidRPr="00226AB7">
              <w:rPr>
                <w:sz w:val="20"/>
                <w:szCs w:val="20"/>
              </w:rPr>
              <w:t>2010 policy treatment</w:t>
            </w:r>
          </w:p>
        </w:tc>
        <w:tc>
          <w:tcPr>
            <w:tcW w:w="0" w:type="auto"/>
            <w:tcBorders>
              <w:top w:val="single" w:sz="4" w:space="0" w:color="auto"/>
              <w:bottom w:val="nil"/>
            </w:tcBorders>
          </w:tcPr>
          <w:p w14:paraId="2E4DDB84" w14:textId="77777777" w:rsidR="005C7B9C" w:rsidRPr="00226AB7" w:rsidRDefault="005C7B9C">
            <w:pPr>
              <w:contextualSpacing/>
              <w:jc w:val="center"/>
              <w:rPr>
                <w:sz w:val="20"/>
                <w:szCs w:val="20"/>
              </w:rPr>
            </w:pPr>
            <w:r w:rsidRPr="00226AB7">
              <w:rPr>
                <w:sz w:val="20"/>
                <w:szCs w:val="20"/>
              </w:rPr>
              <w:t>2011 policy treatment</w:t>
            </w:r>
          </w:p>
        </w:tc>
        <w:tc>
          <w:tcPr>
            <w:tcW w:w="0" w:type="auto"/>
            <w:tcBorders>
              <w:top w:val="single" w:sz="4" w:space="0" w:color="auto"/>
              <w:bottom w:val="nil"/>
            </w:tcBorders>
          </w:tcPr>
          <w:p w14:paraId="7BEB14B1" w14:textId="77777777" w:rsidR="005C7B9C" w:rsidRPr="00226AB7" w:rsidRDefault="005C7B9C">
            <w:pPr>
              <w:contextualSpacing/>
              <w:jc w:val="center"/>
              <w:rPr>
                <w:sz w:val="20"/>
                <w:szCs w:val="20"/>
              </w:rPr>
            </w:pPr>
            <w:r>
              <w:rPr>
                <w:sz w:val="20"/>
                <w:szCs w:val="20"/>
              </w:rPr>
              <w:t>2000-02 omitted</w:t>
            </w:r>
          </w:p>
        </w:tc>
        <w:tc>
          <w:tcPr>
            <w:tcW w:w="0" w:type="auto"/>
            <w:tcBorders>
              <w:top w:val="single" w:sz="4" w:space="0" w:color="auto"/>
              <w:bottom w:val="nil"/>
            </w:tcBorders>
          </w:tcPr>
          <w:p w14:paraId="0485BDEB" w14:textId="77777777" w:rsidR="005C7B9C" w:rsidRPr="00226AB7" w:rsidRDefault="005C7B9C">
            <w:pPr>
              <w:contextualSpacing/>
              <w:jc w:val="center"/>
              <w:rPr>
                <w:sz w:val="20"/>
                <w:szCs w:val="20"/>
              </w:rPr>
            </w:pPr>
            <w:r>
              <w:rPr>
                <w:sz w:val="20"/>
                <w:szCs w:val="20"/>
              </w:rPr>
              <w:t>Propensity score</w:t>
            </w:r>
          </w:p>
        </w:tc>
        <w:tc>
          <w:tcPr>
            <w:tcW w:w="0" w:type="auto"/>
            <w:tcBorders>
              <w:top w:val="single" w:sz="4" w:space="0" w:color="auto"/>
              <w:bottom w:val="nil"/>
            </w:tcBorders>
          </w:tcPr>
          <w:p w14:paraId="19D39E57" w14:textId="77777777" w:rsidR="005C7B9C" w:rsidRDefault="005C7B9C">
            <w:pPr>
              <w:contextualSpacing/>
              <w:jc w:val="center"/>
              <w:rPr>
                <w:sz w:val="20"/>
                <w:szCs w:val="20"/>
              </w:rPr>
            </w:pPr>
          </w:p>
          <w:p w14:paraId="666E2B65" w14:textId="77777777" w:rsidR="005C7B9C" w:rsidRPr="00226AB7" w:rsidRDefault="005C7B9C">
            <w:pPr>
              <w:contextualSpacing/>
              <w:jc w:val="center"/>
              <w:rPr>
                <w:sz w:val="20"/>
                <w:szCs w:val="20"/>
              </w:rPr>
            </w:pPr>
            <w:r>
              <w:rPr>
                <w:sz w:val="20"/>
                <w:szCs w:val="20"/>
              </w:rPr>
              <w:t>Random</w:t>
            </w:r>
          </w:p>
        </w:tc>
        <w:tc>
          <w:tcPr>
            <w:tcW w:w="0" w:type="auto"/>
            <w:tcBorders>
              <w:top w:val="single" w:sz="4" w:space="0" w:color="auto"/>
              <w:bottom w:val="nil"/>
            </w:tcBorders>
          </w:tcPr>
          <w:p w14:paraId="2B83BFF2" w14:textId="77777777" w:rsidR="005C7B9C" w:rsidRPr="00226AB7" w:rsidRDefault="005C7B9C">
            <w:pPr>
              <w:contextualSpacing/>
              <w:jc w:val="center"/>
              <w:rPr>
                <w:sz w:val="20"/>
                <w:szCs w:val="20"/>
              </w:rPr>
            </w:pPr>
            <w:r>
              <w:rPr>
                <w:sz w:val="20"/>
                <w:szCs w:val="20"/>
              </w:rPr>
              <w:t>Transfers omitted</w:t>
            </w:r>
          </w:p>
        </w:tc>
        <w:tc>
          <w:tcPr>
            <w:tcW w:w="0" w:type="auto"/>
            <w:tcBorders>
              <w:top w:val="single" w:sz="4" w:space="0" w:color="auto"/>
              <w:bottom w:val="nil"/>
            </w:tcBorders>
          </w:tcPr>
          <w:p w14:paraId="78678339" w14:textId="77777777" w:rsidR="005C7B9C" w:rsidRPr="00226AB7" w:rsidRDefault="005C7B9C">
            <w:pPr>
              <w:contextualSpacing/>
              <w:jc w:val="center"/>
              <w:rPr>
                <w:sz w:val="20"/>
                <w:szCs w:val="20"/>
              </w:rPr>
            </w:pPr>
            <w:r>
              <w:rPr>
                <w:sz w:val="20"/>
                <w:szCs w:val="20"/>
              </w:rPr>
              <w:t>GSE-owned</w:t>
            </w:r>
          </w:p>
        </w:tc>
      </w:tr>
      <w:tr w:rsidR="005C7B9C" w:rsidRPr="00226AB7" w14:paraId="684445FA" w14:textId="77777777" w:rsidTr="004C757C">
        <w:tc>
          <w:tcPr>
            <w:tcW w:w="0" w:type="auto"/>
          </w:tcPr>
          <w:p w14:paraId="5539C7E0" w14:textId="77777777" w:rsidR="005C7B9C" w:rsidRPr="00226AB7" w:rsidRDefault="005C7B9C">
            <w:pPr>
              <w:contextualSpacing/>
              <w:rPr>
                <w:sz w:val="20"/>
                <w:szCs w:val="20"/>
              </w:rPr>
            </w:pPr>
          </w:p>
        </w:tc>
        <w:tc>
          <w:tcPr>
            <w:tcW w:w="0" w:type="auto"/>
            <w:tcBorders>
              <w:top w:val="nil"/>
              <w:bottom w:val="single" w:sz="4" w:space="0" w:color="auto"/>
            </w:tcBorders>
            <w:vAlign w:val="bottom"/>
          </w:tcPr>
          <w:p w14:paraId="24B5BDEF"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(1)</w:t>
            </w:r>
          </w:p>
        </w:tc>
        <w:tc>
          <w:tcPr>
            <w:tcW w:w="0" w:type="auto"/>
            <w:gridSpan w:val="2"/>
            <w:tcBorders>
              <w:top w:val="nil"/>
              <w:bottom w:val="single" w:sz="4" w:space="0" w:color="auto"/>
            </w:tcBorders>
            <w:vAlign w:val="bottom"/>
          </w:tcPr>
          <w:p w14:paraId="6B444054"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(2)</w:t>
            </w:r>
          </w:p>
        </w:tc>
        <w:tc>
          <w:tcPr>
            <w:tcW w:w="0" w:type="auto"/>
            <w:tcBorders>
              <w:top w:val="nil"/>
              <w:bottom w:val="single" w:sz="4" w:space="0" w:color="auto"/>
            </w:tcBorders>
            <w:vAlign w:val="bottom"/>
          </w:tcPr>
          <w:p w14:paraId="3464D3CC"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(3)</w:t>
            </w:r>
          </w:p>
        </w:tc>
        <w:tc>
          <w:tcPr>
            <w:tcW w:w="0" w:type="auto"/>
            <w:tcBorders>
              <w:top w:val="nil"/>
              <w:bottom w:val="single" w:sz="4" w:space="0" w:color="auto"/>
            </w:tcBorders>
            <w:vAlign w:val="bottom"/>
          </w:tcPr>
          <w:p w14:paraId="1B1E0790"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(4)</w:t>
            </w:r>
          </w:p>
        </w:tc>
        <w:tc>
          <w:tcPr>
            <w:tcW w:w="0" w:type="auto"/>
            <w:tcBorders>
              <w:top w:val="nil"/>
              <w:bottom w:val="single" w:sz="4" w:space="0" w:color="auto"/>
            </w:tcBorders>
          </w:tcPr>
          <w:p w14:paraId="3CECF549"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(5)</w:t>
            </w:r>
          </w:p>
        </w:tc>
        <w:tc>
          <w:tcPr>
            <w:tcW w:w="0" w:type="auto"/>
            <w:tcBorders>
              <w:top w:val="nil"/>
              <w:bottom w:val="single" w:sz="4" w:space="0" w:color="auto"/>
            </w:tcBorders>
          </w:tcPr>
          <w:p w14:paraId="698AD386"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(6)</w:t>
            </w:r>
          </w:p>
        </w:tc>
        <w:tc>
          <w:tcPr>
            <w:tcW w:w="0" w:type="auto"/>
            <w:tcBorders>
              <w:top w:val="nil"/>
              <w:bottom w:val="single" w:sz="4" w:space="0" w:color="auto"/>
            </w:tcBorders>
          </w:tcPr>
          <w:p w14:paraId="0DE1AC00"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(7)</w:t>
            </w:r>
          </w:p>
        </w:tc>
        <w:tc>
          <w:tcPr>
            <w:tcW w:w="0" w:type="auto"/>
            <w:tcBorders>
              <w:top w:val="nil"/>
              <w:bottom w:val="single" w:sz="4" w:space="0" w:color="auto"/>
            </w:tcBorders>
          </w:tcPr>
          <w:p w14:paraId="25903A31"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(8)</w:t>
            </w:r>
          </w:p>
        </w:tc>
        <w:tc>
          <w:tcPr>
            <w:tcW w:w="0" w:type="auto"/>
            <w:tcBorders>
              <w:top w:val="nil"/>
              <w:bottom w:val="single" w:sz="4" w:space="0" w:color="auto"/>
            </w:tcBorders>
          </w:tcPr>
          <w:p w14:paraId="29153A80"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(9)</w:t>
            </w:r>
          </w:p>
        </w:tc>
        <w:tc>
          <w:tcPr>
            <w:tcW w:w="0" w:type="auto"/>
            <w:tcBorders>
              <w:top w:val="nil"/>
              <w:bottom w:val="single" w:sz="4" w:space="0" w:color="auto"/>
            </w:tcBorders>
          </w:tcPr>
          <w:p w14:paraId="2E720C07"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(10)</w:t>
            </w:r>
          </w:p>
        </w:tc>
      </w:tr>
      <w:tr w:rsidR="005C7B9C" w:rsidRPr="00226AB7" w14:paraId="390B4903" w14:textId="77777777" w:rsidTr="004C757C">
        <w:tc>
          <w:tcPr>
            <w:tcW w:w="0" w:type="auto"/>
            <w:vAlign w:val="bottom"/>
          </w:tcPr>
          <w:p w14:paraId="1E3D7511"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Subsidiary</w:t>
            </w:r>
          </w:p>
        </w:tc>
        <w:tc>
          <w:tcPr>
            <w:tcW w:w="0" w:type="auto"/>
            <w:tcBorders>
              <w:top w:val="single" w:sz="4" w:space="0" w:color="auto"/>
            </w:tcBorders>
            <w:vAlign w:val="bottom"/>
          </w:tcPr>
          <w:p w14:paraId="36C0E09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-.00176</w:t>
            </w:r>
          </w:p>
        </w:tc>
        <w:tc>
          <w:tcPr>
            <w:tcW w:w="0" w:type="auto"/>
            <w:gridSpan w:val="2"/>
            <w:tcBorders>
              <w:top w:val="single" w:sz="4" w:space="0" w:color="auto"/>
            </w:tcBorders>
            <w:vAlign w:val="bottom"/>
          </w:tcPr>
          <w:p w14:paraId="2074214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-.0108</w:t>
            </w:r>
          </w:p>
        </w:tc>
        <w:tc>
          <w:tcPr>
            <w:tcW w:w="0" w:type="auto"/>
            <w:tcBorders>
              <w:top w:val="single" w:sz="4" w:space="0" w:color="auto"/>
            </w:tcBorders>
            <w:vAlign w:val="bottom"/>
          </w:tcPr>
          <w:p w14:paraId="222C506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-.000615</w:t>
            </w:r>
          </w:p>
        </w:tc>
        <w:tc>
          <w:tcPr>
            <w:tcW w:w="0" w:type="auto"/>
            <w:tcBorders>
              <w:top w:val="single" w:sz="4" w:space="0" w:color="auto"/>
            </w:tcBorders>
            <w:vAlign w:val="bottom"/>
          </w:tcPr>
          <w:p w14:paraId="1915ED3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-.00185</w:t>
            </w:r>
          </w:p>
        </w:tc>
        <w:tc>
          <w:tcPr>
            <w:tcW w:w="0" w:type="auto"/>
            <w:tcBorders>
              <w:top w:val="single" w:sz="4" w:space="0" w:color="auto"/>
            </w:tcBorders>
            <w:vAlign w:val="bottom"/>
          </w:tcPr>
          <w:p w14:paraId="6DF649C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-.00470</w:t>
            </w:r>
          </w:p>
        </w:tc>
        <w:tc>
          <w:tcPr>
            <w:tcW w:w="0" w:type="auto"/>
            <w:tcBorders>
              <w:top w:val="single" w:sz="4" w:space="0" w:color="auto"/>
            </w:tcBorders>
            <w:vAlign w:val="bottom"/>
          </w:tcPr>
          <w:p w14:paraId="1C784A5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-.0203*</w:t>
            </w:r>
          </w:p>
        </w:tc>
        <w:tc>
          <w:tcPr>
            <w:tcW w:w="0" w:type="auto"/>
            <w:tcBorders>
              <w:top w:val="single" w:sz="4" w:space="0" w:color="auto"/>
            </w:tcBorders>
            <w:vAlign w:val="bottom"/>
          </w:tcPr>
          <w:p w14:paraId="4DC9456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.142***</w:t>
            </w:r>
          </w:p>
        </w:tc>
        <w:tc>
          <w:tcPr>
            <w:tcW w:w="0" w:type="auto"/>
            <w:tcBorders>
              <w:top w:val="single" w:sz="4" w:space="0" w:color="auto"/>
            </w:tcBorders>
            <w:vAlign w:val="bottom"/>
          </w:tcPr>
          <w:p w14:paraId="3D791B3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-.0000121</w:t>
            </w:r>
          </w:p>
        </w:tc>
        <w:tc>
          <w:tcPr>
            <w:tcW w:w="0" w:type="auto"/>
            <w:tcBorders>
              <w:top w:val="single" w:sz="4" w:space="0" w:color="auto"/>
            </w:tcBorders>
            <w:vAlign w:val="bottom"/>
          </w:tcPr>
          <w:p w14:paraId="6A153AA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-.0246***</w:t>
            </w:r>
          </w:p>
        </w:tc>
        <w:tc>
          <w:tcPr>
            <w:tcW w:w="0" w:type="auto"/>
            <w:tcBorders>
              <w:top w:val="single" w:sz="4" w:space="0" w:color="auto"/>
            </w:tcBorders>
            <w:vAlign w:val="bottom"/>
          </w:tcPr>
          <w:p w14:paraId="4B77412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.0426***</w:t>
            </w:r>
          </w:p>
        </w:tc>
      </w:tr>
      <w:tr w:rsidR="005C7B9C" w:rsidRPr="00226AB7" w14:paraId="2FC9022A" w14:textId="77777777" w:rsidTr="004C757C">
        <w:tc>
          <w:tcPr>
            <w:tcW w:w="0" w:type="auto"/>
            <w:vAlign w:val="bottom"/>
          </w:tcPr>
          <w:p w14:paraId="00FCDBC0"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7F86F83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(.00894)</w:t>
            </w:r>
          </w:p>
        </w:tc>
        <w:tc>
          <w:tcPr>
            <w:tcW w:w="0" w:type="auto"/>
            <w:gridSpan w:val="2"/>
            <w:vAlign w:val="bottom"/>
          </w:tcPr>
          <w:p w14:paraId="77EC466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(.0132)</w:t>
            </w:r>
          </w:p>
        </w:tc>
        <w:tc>
          <w:tcPr>
            <w:tcW w:w="0" w:type="auto"/>
            <w:vAlign w:val="bottom"/>
          </w:tcPr>
          <w:p w14:paraId="3E565B5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(.00981)</w:t>
            </w:r>
          </w:p>
        </w:tc>
        <w:tc>
          <w:tcPr>
            <w:tcW w:w="0" w:type="auto"/>
            <w:vAlign w:val="bottom"/>
          </w:tcPr>
          <w:p w14:paraId="11FB5581"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(.00867)</w:t>
            </w:r>
          </w:p>
        </w:tc>
        <w:tc>
          <w:tcPr>
            <w:tcW w:w="0" w:type="auto"/>
            <w:vAlign w:val="bottom"/>
          </w:tcPr>
          <w:p w14:paraId="4D87E5D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(.00807)</w:t>
            </w:r>
          </w:p>
        </w:tc>
        <w:tc>
          <w:tcPr>
            <w:tcW w:w="0" w:type="auto"/>
            <w:vAlign w:val="bottom"/>
          </w:tcPr>
          <w:p w14:paraId="718933F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(.0106)</w:t>
            </w:r>
          </w:p>
        </w:tc>
        <w:tc>
          <w:tcPr>
            <w:tcW w:w="0" w:type="auto"/>
            <w:vAlign w:val="bottom"/>
          </w:tcPr>
          <w:p w14:paraId="379B297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(.00991)</w:t>
            </w:r>
          </w:p>
        </w:tc>
        <w:tc>
          <w:tcPr>
            <w:tcW w:w="0" w:type="auto"/>
            <w:vAlign w:val="bottom"/>
          </w:tcPr>
          <w:p w14:paraId="56920CE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(.00914)</w:t>
            </w:r>
          </w:p>
        </w:tc>
        <w:tc>
          <w:tcPr>
            <w:tcW w:w="0" w:type="auto"/>
            <w:vAlign w:val="bottom"/>
          </w:tcPr>
          <w:p w14:paraId="3C05B18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(.00899)</w:t>
            </w:r>
          </w:p>
        </w:tc>
        <w:tc>
          <w:tcPr>
            <w:tcW w:w="0" w:type="auto"/>
            <w:vAlign w:val="bottom"/>
          </w:tcPr>
          <w:p w14:paraId="4177E64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(.00971)</w:t>
            </w:r>
          </w:p>
        </w:tc>
      </w:tr>
      <w:tr w:rsidR="005C7B9C" w:rsidRPr="00226AB7" w14:paraId="6262BCE9" w14:textId="77777777" w:rsidTr="004C757C">
        <w:tc>
          <w:tcPr>
            <w:tcW w:w="0" w:type="auto"/>
            <w:vAlign w:val="bottom"/>
          </w:tcPr>
          <w:p w14:paraId="4D64C1B9"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Post</w:t>
            </w:r>
          </w:p>
        </w:tc>
        <w:tc>
          <w:tcPr>
            <w:tcW w:w="0" w:type="auto"/>
            <w:vAlign w:val="bottom"/>
          </w:tcPr>
          <w:p w14:paraId="2D68C67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.0884***</w:t>
            </w:r>
          </w:p>
        </w:tc>
        <w:tc>
          <w:tcPr>
            <w:tcW w:w="0" w:type="auto"/>
            <w:gridSpan w:val="2"/>
            <w:vAlign w:val="bottom"/>
          </w:tcPr>
          <w:p w14:paraId="2792075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.183***</w:t>
            </w:r>
          </w:p>
        </w:tc>
        <w:tc>
          <w:tcPr>
            <w:tcW w:w="0" w:type="auto"/>
            <w:vAlign w:val="bottom"/>
          </w:tcPr>
          <w:p w14:paraId="28314F9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.148***</w:t>
            </w:r>
          </w:p>
        </w:tc>
        <w:tc>
          <w:tcPr>
            <w:tcW w:w="0" w:type="auto"/>
            <w:vAlign w:val="bottom"/>
          </w:tcPr>
          <w:p w14:paraId="06C7B87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-.00929</w:t>
            </w:r>
          </w:p>
        </w:tc>
        <w:tc>
          <w:tcPr>
            <w:tcW w:w="0" w:type="auto"/>
            <w:vAlign w:val="bottom"/>
          </w:tcPr>
          <w:p w14:paraId="0C27E52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-.0521**</w:t>
            </w:r>
          </w:p>
        </w:tc>
        <w:tc>
          <w:tcPr>
            <w:tcW w:w="0" w:type="auto"/>
            <w:vAlign w:val="bottom"/>
          </w:tcPr>
          <w:p w14:paraId="718E679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.0348</w:t>
            </w:r>
          </w:p>
        </w:tc>
        <w:tc>
          <w:tcPr>
            <w:tcW w:w="0" w:type="auto"/>
            <w:vAlign w:val="bottom"/>
          </w:tcPr>
          <w:p w14:paraId="7F294A6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.147***</w:t>
            </w:r>
          </w:p>
        </w:tc>
        <w:tc>
          <w:tcPr>
            <w:tcW w:w="0" w:type="auto"/>
            <w:vAlign w:val="bottom"/>
          </w:tcPr>
          <w:p w14:paraId="6E18019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.0795**</w:t>
            </w:r>
          </w:p>
        </w:tc>
        <w:tc>
          <w:tcPr>
            <w:tcW w:w="0" w:type="auto"/>
            <w:vAlign w:val="bottom"/>
          </w:tcPr>
          <w:p w14:paraId="2A021CA1"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.0676***</w:t>
            </w:r>
          </w:p>
        </w:tc>
        <w:tc>
          <w:tcPr>
            <w:tcW w:w="0" w:type="auto"/>
            <w:vAlign w:val="bottom"/>
          </w:tcPr>
          <w:p w14:paraId="2E11226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.121***</w:t>
            </w:r>
          </w:p>
        </w:tc>
      </w:tr>
      <w:tr w:rsidR="005C7B9C" w:rsidRPr="00226AB7" w14:paraId="10EB57DF" w14:textId="77777777" w:rsidTr="004C757C">
        <w:tc>
          <w:tcPr>
            <w:tcW w:w="0" w:type="auto"/>
            <w:vAlign w:val="bottom"/>
          </w:tcPr>
          <w:p w14:paraId="00F62684"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7E3050B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(.0255)</w:t>
            </w:r>
          </w:p>
        </w:tc>
        <w:tc>
          <w:tcPr>
            <w:tcW w:w="0" w:type="auto"/>
            <w:gridSpan w:val="2"/>
            <w:vAlign w:val="bottom"/>
          </w:tcPr>
          <w:p w14:paraId="1E94A61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(.0290)</w:t>
            </w:r>
          </w:p>
        </w:tc>
        <w:tc>
          <w:tcPr>
            <w:tcW w:w="0" w:type="auto"/>
            <w:vAlign w:val="bottom"/>
          </w:tcPr>
          <w:p w14:paraId="47B4954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(.0294)</w:t>
            </w:r>
          </w:p>
        </w:tc>
        <w:tc>
          <w:tcPr>
            <w:tcW w:w="0" w:type="auto"/>
            <w:vAlign w:val="bottom"/>
          </w:tcPr>
          <w:p w14:paraId="75CE8A5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(.0266)</w:t>
            </w:r>
          </w:p>
        </w:tc>
        <w:tc>
          <w:tcPr>
            <w:tcW w:w="0" w:type="auto"/>
            <w:vAlign w:val="bottom"/>
          </w:tcPr>
          <w:p w14:paraId="6AB4A14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(.0213)</w:t>
            </w:r>
          </w:p>
        </w:tc>
        <w:tc>
          <w:tcPr>
            <w:tcW w:w="0" w:type="auto"/>
            <w:vAlign w:val="bottom"/>
          </w:tcPr>
          <w:p w14:paraId="2E9BA90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(.0283)</w:t>
            </w:r>
          </w:p>
        </w:tc>
        <w:tc>
          <w:tcPr>
            <w:tcW w:w="0" w:type="auto"/>
            <w:vAlign w:val="bottom"/>
          </w:tcPr>
          <w:p w14:paraId="24B0975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(.0334)</w:t>
            </w:r>
          </w:p>
        </w:tc>
        <w:tc>
          <w:tcPr>
            <w:tcW w:w="0" w:type="auto"/>
            <w:vAlign w:val="bottom"/>
          </w:tcPr>
          <w:p w14:paraId="25AB7D2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(.0329)</w:t>
            </w:r>
          </w:p>
        </w:tc>
        <w:tc>
          <w:tcPr>
            <w:tcW w:w="0" w:type="auto"/>
            <w:vAlign w:val="bottom"/>
          </w:tcPr>
          <w:p w14:paraId="3EEC83F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(.0249)</w:t>
            </w:r>
          </w:p>
        </w:tc>
        <w:tc>
          <w:tcPr>
            <w:tcW w:w="0" w:type="auto"/>
            <w:vAlign w:val="bottom"/>
          </w:tcPr>
          <w:p w14:paraId="128EF21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(.0265)</w:t>
            </w:r>
          </w:p>
        </w:tc>
      </w:tr>
      <w:tr w:rsidR="005C7B9C" w:rsidRPr="00226AB7" w14:paraId="71AB0DB6" w14:textId="77777777" w:rsidTr="004C757C">
        <w:tc>
          <w:tcPr>
            <w:tcW w:w="0" w:type="auto"/>
            <w:vAlign w:val="bottom"/>
          </w:tcPr>
          <w:p w14:paraId="2F96B9DD" w14:textId="77777777" w:rsidR="005C7B9C" w:rsidRPr="00226AB7" w:rsidRDefault="005C7B9C" w:rsidP="009D6779">
            <w:pPr>
              <w:contextualSpacing/>
              <w:rPr>
                <w:rFonts w:eastAsia="Times New Roman" w:cs="Calibri"/>
                <w:i/>
                <w:sz w:val="20"/>
                <w:szCs w:val="20"/>
              </w:rPr>
            </w:pPr>
            <w:r>
              <w:rPr>
                <w:rFonts w:eastAsia="Times New Roman" w:cs="Calibri"/>
                <w:i/>
                <w:sz w:val="20"/>
                <w:szCs w:val="20"/>
              </w:rPr>
              <w:t>Subsidiary</w:t>
            </w:r>
          </w:p>
        </w:tc>
        <w:tc>
          <w:tcPr>
            <w:tcW w:w="0" w:type="auto"/>
            <w:vAlign w:val="bottom"/>
          </w:tcPr>
          <w:p w14:paraId="4465216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-.00604</w:t>
            </w:r>
          </w:p>
        </w:tc>
        <w:tc>
          <w:tcPr>
            <w:tcW w:w="0" w:type="auto"/>
            <w:gridSpan w:val="2"/>
            <w:vAlign w:val="bottom"/>
          </w:tcPr>
          <w:p w14:paraId="76C08A7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.0109</w:t>
            </w:r>
          </w:p>
        </w:tc>
        <w:tc>
          <w:tcPr>
            <w:tcW w:w="0" w:type="auto"/>
            <w:vAlign w:val="bottom"/>
          </w:tcPr>
          <w:p w14:paraId="538D140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-.00525</w:t>
            </w:r>
          </w:p>
        </w:tc>
        <w:tc>
          <w:tcPr>
            <w:tcW w:w="0" w:type="auto"/>
            <w:vAlign w:val="bottom"/>
          </w:tcPr>
          <w:p w14:paraId="66473DA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-.00593</w:t>
            </w:r>
          </w:p>
        </w:tc>
        <w:tc>
          <w:tcPr>
            <w:tcW w:w="0" w:type="auto"/>
            <w:vAlign w:val="bottom"/>
          </w:tcPr>
          <w:p w14:paraId="17DFE01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.00265</w:t>
            </w:r>
          </w:p>
        </w:tc>
        <w:tc>
          <w:tcPr>
            <w:tcW w:w="0" w:type="auto"/>
            <w:vAlign w:val="bottom"/>
          </w:tcPr>
          <w:p w14:paraId="02A5A87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.00686</w:t>
            </w:r>
          </w:p>
        </w:tc>
        <w:tc>
          <w:tcPr>
            <w:tcW w:w="0" w:type="auto"/>
            <w:vAlign w:val="bottom"/>
          </w:tcPr>
          <w:p w14:paraId="283D386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-.141***</w:t>
            </w:r>
          </w:p>
        </w:tc>
        <w:tc>
          <w:tcPr>
            <w:tcW w:w="0" w:type="auto"/>
            <w:vAlign w:val="bottom"/>
          </w:tcPr>
          <w:p w14:paraId="4FA95FF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-.00332</w:t>
            </w:r>
          </w:p>
        </w:tc>
        <w:tc>
          <w:tcPr>
            <w:tcW w:w="0" w:type="auto"/>
            <w:vAlign w:val="bottom"/>
          </w:tcPr>
          <w:p w14:paraId="2FD49A4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-.0129</w:t>
            </w:r>
          </w:p>
        </w:tc>
        <w:tc>
          <w:tcPr>
            <w:tcW w:w="0" w:type="auto"/>
            <w:vAlign w:val="bottom"/>
          </w:tcPr>
          <w:p w14:paraId="0A30153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-.0472***</w:t>
            </w:r>
          </w:p>
        </w:tc>
      </w:tr>
      <w:tr w:rsidR="005C7B9C" w:rsidRPr="00226AB7" w14:paraId="3BDE3FD9" w14:textId="77777777" w:rsidTr="004C757C">
        <w:tc>
          <w:tcPr>
            <w:tcW w:w="0" w:type="auto"/>
            <w:tcBorders>
              <w:bottom w:val="single" w:sz="4" w:space="0" w:color="auto"/>
            </w:tcBorders>
          </w:tcPr>
          <w:p w14:paraId="4A39EF6F" w14:textId="77777777" w:rsidR="005C7B9C" w:rsidRPr="009911DF" w:rsidRDefault="005C7B9C" w:rsidP="009D6779">
            <w:pPr>
              <w:contextualSpacing/>
              <w:rPr>
                <w:i/>
                <w:sz w:val="20"/>
                <w:szCs w:val="20"/>
              </w:rPr>
            </w:pPr>
            <w:r>
              <w:rPr>
                <w:i/>
                <w:sz w:val="20"/>
                <w:szCs w:val="20"/>
              </w:rPr>
              <w:t xml:space="preserve">   </w:t>
            </w:r>
            <w:r w:rsidRPr="009911DF">
              <w:rPr>
                <w:i/>
                <w:sz w:val="20"/>
                <w:szCs w:val="20"/>
              </w:rPr>
              <w:t>* Post</w:t>
            </w:r>
          </w:p>
        </w:tc>
        <w:tc>
          <w:tcPr>
            <w:tcW w:w="0" w:type="auto"/>
            <w:tcBorders>
              <w:bottom w:val="single" w:sz="4" w:space="0" w:color="auto"/>
            </w:tcBorders>
            <w:vAlign w:val="bottom"/>
          </w:tcPr>
          <w:p w14:paraId="2BA359F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(.0120)</w:t>
            </w:r>
          </w:p>
        </w:tc>
        <w:tc>
          <w:tcPr>
            <w:tcW w:w="0" w:type="auto"/>
            <w:gridSpan w:val="2"/>
            <w:tcBorders>
              <w:bottom w:val="single" w:sz="4" w:space="0" w:color="auto"/>
            </w:tcBorders>
            <w:vAlign w:val="bottom"/>
          </w:tcPr>
          <w:p w14:paraId="34BEBD4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(.0149)</w:t>
            </w:r>
          </w:p>
        </w:tc>
        <w:tc>
          <w:tcPr>
            <w:tcW w:w="0" w:type="auto"/>
            <w:tcBorders>
              <w:bottom w:val="single" w:sz="4" w:space="0" w:color="auto"/>
            </w:tcBorders>
            <w:vAlign w:val="bottom"/>
          </w:tcPr>
          <w:p w14:paraId="1471471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(.0125)</w:t>
            </w:r>
          </w:p>
        </w:tc>
        <w:tc>
          <w:tcPr>
            <w:tcW w:w="0" w:type="auto"/>
            <w:tcBorders>
              <w:bottom w:val="single" w:sz="4" w:space="0" w:color="auto"/>
            </w:tcBorders>
            <w:vAlign w:val="bottom"/>
          </w:tcPr>
          <w:p w14:paraId="58C1B49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(.0120)</w:t>
            </w:r>
          </w:p>
        </w:tc>
        <w:tc>
          <w:tcPr>
            <w:tcW w:w="0" w:type="auto"/>
            <w:tcBorders>
              <w:bottom w:val="single" w:sz="4" w:space="0" w:color="auto"/>
            </w:tcBorders>
            <w:vAlign w:val="bottom"/>
          </w:tcPr>
          <w:p w14:paraId="63C0B96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(.0118)</w:t>
            </w:r>
          </w:p>
        </w:tc>
        <w:tc>
          <w:tcPr>
            <w:tcW w:w="0" w:type="auto"/>
            <w:tcBorders>
              <w:bottom w:val="single" w:sz="4" w:space="0" w:color="auto"/>
            </w:tcBorders>
            <w:vAlign w:val="bottom"/>
          </w:tcPr>
          <w:p w14:paraId="7395F99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(.0137)</w:t>
            </w:r>
          </w:p>
        </w:tc>
        <w:tc>
          <w:tcPr>
            <w:tcW w:w="0" w:type="auto"/>
            <w:tcBorders>
              <w:bottom w:val="single" w:sz="4" w:space="0" w:color="auto"/>
            </w:tcBorders>
            <w:vAlign w:val="bottom"/>
          </w:tcPr>
          <w:p w14:paraId="5B94E6C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(.0138)</w:t>
            </w:r>
          </w:p>
        </w:tc>
        <w:tc>
          <w:tcPr>
            <w:tcW w:w="0" w:type="auto"/>
            <w:tcBorders>
              <w:bottom w:val="single" w:sz="4" w:space="0" w:color="auto"/>
            </w:tcBorders>
            <w:vAlign w:val="bottom"/>
          </w:tcPr>
          <w:p w14:paraId="7A6640B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(.0125)</w:t>
            </w:r>
          </w:p>
        </w:tc>
        <w:tc>
          <w:tcPr>
            <w:tcW w:w="0" w:type="auto"/>
            <w:tcBorders>
              <w:bottom w:val="single" w:sz="4" w:space="0" w:color="auto"/>
            </w:tcBorders>
            <w:vAlign w:val="bottom"/>
          </w:tcPr>
          <w:p w14:paraId="3FCDF0A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(.0119)</w:t>
            </w:r>
          </w:p>
        </w:tc>
        <w:tc>
          <w:tcPr>
            <w:tcW w:w="0" w:type="auto"/>
            <w:tcBorders>
              <w:bottom w:val="single" w:sz="4" w:space="0" w:color="auto"/>
            </w:tcBorders>
            <w:vAlign w:val="bottom"/>
          </w:tcPr>
          <w:p w14:paraId="5A95B21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(.0129)</w:t>
            </w:r>
          </w:p>
        </w:tc>
      </w:tr>
      <w:tr w:rsidR="005C7B9C" w:rsidRPr="00226AB7" w14:paraId="7558353D" w14:textId="77777777" w:rsidTr="004C757C">
        <w:tc>
          <w:tcPr>
            <w:tcW w:w="0" w:type="auto"/>
            <w:tcBorders>
              <w:top w:val="single" w:sz="4" w:space="0" w:color="auto"/>
              <w:bottom w:val="nil"/>
            </w:tcBorders>
          </w:tcPr>
          <w:p w14:paraId="58444EB5" w14:textId="77777777" w:rsidR="005C7B9C" w:rsidRPr="00226AB7" w:rsidRDefault="005C7B9C">
            <w:pPr>
              <w:contextualSpacing/>
              <w:rPr>
                <w:b/>
                <w:sz w:val="20"/>
                <w:szCs w:val="20"/>
              </w:rPr>
            </w:pPr>
            <w:r w:rsidRPr="00226AB7">
              <w:rPr>
                <w:b/>
                <w:sz w:val="20"/>
                <w:szCs w:val="20"/>
              </w:rPr>
              <w:t>Panel C</w:t>
            </w:r>
          </w:p>
        </w:tc>
        <w:tc>
          <w:tcPr>
            <w:tcW w:w="0" w:type="auto"/>
            <w:tcBorders>
              <w:top w:val="single" w:sz="4" w:space="0" w:color="auto"/>
              <w:bottom w:val="nil"/>
            </w:tcBorders>
          </w:tcPr>
          <w:p w14:paraId="4F8C5EA7" w14:textId="77777777" w:rsidR="005C7B9C" w:rsidRDefault="005C7B9C">
            <w:pPr>
              <w:contextualSpacing/>
              <w:rPr>
                <w:sz w:val="20"/>
                <w:szCs w:val="20"/>
              </w:rPr>
            </w:pPr>
          </w:p>
        </w:tc>
        <w:tc>
          <w:tcPr>
            <w:tcW w:w="0" w:type="auto"/>
            <w:gridSpan w:val="2"/>
            <w:tcBorders>
              <w:top w:val="single" w:sz="4" w:space="0" w:color="auto"/>
              <w:bottom w:val="nil"/>
            </w:tcBorders>
          </w:tcPr>
          <w:p w14:paraId="571811E5" w14:textId="77777777" w:rsidR="005C7B9C" w:rsidRPr="00226AB7" w:rsidRDefault="005C7B9C">
            <w:pPr>
              <w:contextualSpacing/>
              <w:rPr>
                <w:sz w:val="20"/>
                <w:szCs w:val="20"/>
              </w:rPr>
            </w:pPr>
          </w:p>
        </w:tc>
        <w:tc>
          <w:tcPr>
            <w:tcW w:w="0" w:type="auto"/>
            <w:tcBorders>
              <w:top w:val="single" w:sz="4" w:space="0" w:color="auto"/>
              <w:bottom w:val="nil"/>
            </w:tcBorders>
          </w:tcPr>
          <w:p w14:paraId="5173673D" w14:textId="77777777" w:rsidR="005C7B9C" w:rsidRPr="00226AB7" w:rsidRDefault="005C7B9C">
            <w:pPr>
              <w:contextualSpacing/>
              <w:rPr>
                <w:sz w:val="20"/>
                <w:szCs w:val="20"/>
              </w:rPr>
            </w:pPr>
          </w:p>
        </w:tc>
        <w:tc>
          <w:tcPr>
            <w:tcW w:w="0" w:type="auto"/>
            <w:tcBorders>
              <w:top w:val="single" w:sz="4" w:space="0" w:color="auto"/>
              <w:bottom w:val="nil"/>
            </w:tcBorders>
          </w:tcPr>
          <w:p w14:paraId="534C8253" w14:textId="77777777" w:rsidR="005C7B9C" w:rsidRPr="00226AB7" w:rsidRDefault="005C7B9C">
            <w:pPr>
              <w:contextualSpacing/>
              <w:rPr>
                <w:sz w:val="20"/>
                <w:szCs w:val="20"/>
              </w:rPr>
            </w:pPr>
          </w:p>
        </w:tc>
        <w:tc>
          <w:tcPr>
            <w:tcW w:w="0" w:type="auto"/>
            <w:tcBorders>
              <w:top w:val="single" w:sz="4" w:space="0" w:color="auto"/>
              <w:bottom w:val="nil"/>
            </w:tcBorders>
          </w:tcPr>
          <w:p w14:paraId="164FCCEC" w14:textId="77777777" w:rsidR="005C7B9C" w:rsidRPr="00226AB7" w:rsidRDefault="005C7B9C">
            <w:pPr>
              <w:contextualSpacing/>
              <w:rPr>
                <w:sz w:val="20"/>
                <w:szCs w:val="20"/>
              </w:rPr>
            </w:pPr>
          </w:p>
        </w:tc>
        <w:tc>
          <w:tcPr>
            <w:tcW w:w="0" w:type="auto"/>
            <w:tcBorders>
              <w:top w:val="single" w:sz="4" w:space="0" w:color="auto"/>
              <w:bottom w:val="nil"/>
            </w:tcBorders>
          </w:tcPr>
          <w:p w14:paraId="0E752D23" w14:textId="77777777" w:rsidR="005C7B9C" w:rsidRPr="00226AB7" w:rsidRDefault="005C7B9C">
            <w:pPr>
              <w:contextualSpacing/>
              <w:rPr>
                <w:sz w:val="20"/>
                <w:szCs w:val="20"/>
              </w:rPr>
            </w:pPr>
          </w:p>
        </w:tc>
        <w:tc>
          <w:tcPr>
            <w:tcW w:w="0" w:type="auto"/>
            <w:tcBorders>
              <w:top w:val="single" w:sz="4" w:space="0" w:color="auto"/>
              <w:bottom w:val="nil"/>
            </w:tcBorders>
          </w:tcPr>
          <w:p w14:paraId="4051626B" w14:textId="77777777" w:rsidR="005C7B9C" w:rsidRPr="00226AB7" w:rsidRDefault="005C7B9C">
            <w:pPr>
              <w:contextualSpacing/>
              <w:rPr>
                <w:sz w:val="20"/>
                <w:szCs w:val="20"/>
              </w:rPr>
            </w:pPr>
          </w:p>
        </w:tc>
        <w:tc>
          <w:tcPr>
            <w:tcW w:w="0" w:type="auto"/>
            <w:tcBorders>
              <w:top w:val="single" w:sz="4" w:space="0" w:color="auto"/>
              <w:bottom w:val="nil"/>
            </w:tcBorders>
          </w:tcPr>
          <w:p w14:paraId="0D398063" w14:textId="77777777" w:rsidR="005C7B9C" w:rsidRPr="00226AB7" w:rsidRDefault="005C7B9C">
            <w:pPr>
              <w:contextualSpacing/>
              <w:rPr>
                <w:sz w:val="20"/>
                <w:szCs w:val="20"/>
              </w:rPr>
            </w:pPr>
          </w:p>
        </w:tc>
        <w:tc>
          <w:tcPr>
            <w:tcW w:w="0" w:type="auto"/>
            <w:tcBorders>
              <w:top w:val="single" w:sz="4" w:space="0" w:color="auto"/>
              <w:bottom w:val="nil"/>
            </w:tcBorders>
          </w:tcPr>
          <w:p w14:paraId="71FEFD73" w14:textId="77777777" w:rsidR="005C7B9C" w:rsidRPr="00226AB7" w:rsidRDefault="005C7B9C">
            <w:pPr>
              <w:contextualSpacing/>
              <w:rPr>
                <w:sz w:val="20"/>
                <w:szCs w:val="20"/>
              </w:rPr>
            </w:pPr>
          </w:p>
        </w:tc>
        <w:tc>
          <w:tcPr>
            <w:tcW w:w="0" w:type="auto"/>
            <w:tcBorders>
              <w:top w:val="single" w:sz="4" w:space="0" w:color="auto"/>
              <w:bottom w:val="nil"/>
            </w:tcBorders>
          </w:tcPr>
          <w:p w14:paraId="5E4E1A6A" w14:textId="77777777" w:rsidR="005C7B9C" w:rsidRPr="00226AB7" w:rsidRDefault="005C7B9C">
            <w:pPr>
              <w:contextualSpacing/>
              <w:rPr>
                <w:sz w:val="20"/>
                <w:szCs w:val="20"/>
              </w:rPr>
            </w:pPr>
          </w:p>
        </w:tc>
      </w:tr>
      <w:tr w:rsidR="005C7B9C" w:rsidRPr="00226AB7" w14:paraId="75F22E15" w14:textId="77777777" w:rsidTr="004C757C">
        <w:trPr>
          <w:gridAfter w:val="9"/>
        </w:trPr>
        <w:tc>
          <w:tcPr>
            <w:tcW w:w="0" w:type="auto"/>
            <w:tcBorders>
              <w:top w:val="nil"/>
            </w:tcBorders>
          </w:tcPr>
          <w:p w14:paraId="53FF521B" w14:textId="77777777" w:rsidR="005C7B9C" w:rsidRPr="00226AB7" w:rsidRDefault="005C7B9C">
            <w:pPr>
              <w:contextualSpacing/>
              <w:rPr>
                <w:sz w:val="20"/>
                <w:szCs w:val="20"/>
              </w:rPr>
            </w:pPr>
          </w:p>
        </w:tc>
        <w:tc>
          <w:tcPr>
            <w:tcW w:w="0" w:type="auto"/>
            <w:gridSpan w:val="2"/>
            <w:tcBorders>
              <w:top w:val="nil"/>
            </w:tcBorders>
          </w:tcPr>
          <w:p w14:paraId="04FDB3D9" w14:textId="77777777" w:rsidR="005C7B9C" w:rsidRDefault="005C7B9C">
            <w:pPr>
              <w:contextualSpacing/>
              <w:jc w:val="center"/>
              <w:rPr>
                <w:sz w:val="20"/>
                <w:szCs w:val="20"/>
              </w:rPr>
            </w:pPr>
          </w:p>
        </w:tc>
      </w:tr>
      <w:tr w:rsidR="005C7B9C" w:rsidRPr="00226AB7" w14:paraId="611D6505" w14:textId="77777777" w:rsidTr="004C757C">
        <w:tc>
          <w:tcPr>
            <w:tcW w:w="0" w:type="auto"/>
          </w:tcPr>
          <w:p w14:paraId="66DEE532" w14:textId="77777777" w:rsidR="005C7B9C" w:rsidRPr="00226AB7" w:rsidRDefault="005C7B9C">
            <w:pPr>
              <w:contextualSpacing/>
              <w:rPr>
                <w:sz w:val="20"/>
                <w:szCs w:val="20"/>
              </w:rPr>
            </w:pPr>
          </w:p>
        </w:tc>
        <w:tc>
          <w:tcPr>
            <w:tcW w:w="0" w:type="auto"/>
            <w:tcBorders>
              <w:top w:val="single" w:sz="4" w:space="0" w:color="auto"/>
              <w:bottom w:val="nil"/>
            </w:tcBorders>
          </w:tcPr>
          <w:p w14:paraId="100B9BE3" w14:textId="756E6284" w:rsidR="005C7B9C" w:rsidRPr="00226AB7" w:rsidRDefault="005C7B9C">
            <w:pPr>
              <w:contextualSpacing/>
              <w:jc w:val="center"/>
              <w:rPr>
                <w:sz w:val="20"/>
                <w:szCs w:val="20"/>
              </w:rPr>
            </w:pPr>
            <w:r>
              <w:rPr>
                <w:sz w:val="20"/>
                <w:szCs w:val="20"/>
              </w:rPr>
              <w:t>Table</w:t>
            </w:r>
            <w:r w:rsidR="009F7EF0">
              <w:rPr>
                <w:sz w:val="20"/>
                <w:szCs w:val="20"/>
              </w:rPr>
              <w:t>9</w:t>
            </w:r>
            <w:r>
              <w:rPr>
                <w:sz w:val="20"/>
                <w:szCs w:val="20"/>
              </w:rPr>
              <w:t>, model 3</w:t>
            </w:r>
          </w:p>
        </w:tc>
        <w:tc>
          <w:tcPr>
            <w:tcW w:w="0" w:type="auto"/>
            <w:gridSpan w:val="2"/>
            <w:tcBorders>
              <w:top w:val="single" w:sz="4" w:space="0" w:color="auto"/>
              <w:bottom w:val="nil"/>
            </w:tcBorders>
          </w:tcPr>
          <w:p w14:paraId="28681C72" w14:textId="77777777" w:rsidR="005C7B9C" w:rsidRPr="00226AB7" w:rsidRDefault="005C7B9C">
            <w:pPr>
              <w:contextualSpacing/>
              <w:jc w:val="center"/>
              <w:rPr>
                <w:sz w:val="20"/>
                <w:szCs w:val="20"/>
              </w:rPr>
            </w:pPr>
            <w:r w:rsidRPr="00226AB7">
              <w:rPr>
                <w:sz w:val="20"/>
                <w:szCs w:val="20"/>
              </w:rPr>
              <w:t>2004 policy treatment</w:t>
            </w:r>
          </w:p>
        </w:tc>
        <w:tc>
          <w:tcPr>
            <w:tcW w:w="0" w:type="auto"/>
            <w:tcBorders>
              <w:top w:val="single" w:sz="4" w:space="0" w:color="auto"/>
              <w:bottom w:val="nil"/>
            </w:tcBorders>
          </w:tcPr>
          <w:p w14:paraId="3D18181B" w14:textId="77777777" w:rsidR="005C7B9C" w:rsidRPr="00226AB7" w:rsidRDefault="005C7B9C">
            <w:pPr>
              <w:contextualSpacing/>
              <w:jc w:val="center"/>
              <w:rPr>
                <w:sz w:val="20"/>
                <w:szCs w:val="20"/>
              </w:rPr>
            </w:pPr>
            <w:r w:rsidRPr="00226AB7">
              <w:rPr>
                <w:sz w:val="20"/>
                <w:szCs w:val="20"/>
              </w:rPr>
              <w:t>2007 policy treatment</w:t>
            </w:r>
          </w:p>
        </w:tc>
        <w:tc>
          <w:tcPr>
            <w:tcW w:w="0" w:type="auto"/>
            <w:tcBorders>
              <w:top w:val="single" w:sz="4" w:space="0" w:color="auto"/>
              <w:bottom w:val="nil"/>
            </w:tcBorders>
          </w:tcPr>
          <w:p w14:paraId="6061A3B7" w14:textId="77777777" w:rsidR="005C7B9C" w:rsidRPr="00226AB7" w:rsidRDefault="005C7B9C">
            <w:pPr>
              <w:contextualSpacing/>
              <w:jc w:val="center"/>
              <w:rPr>
                <w:sz w:val="20"/>
                <w:szCs w:val="20"/>
              </w:rPr>
            </w:pPr>
            <w:r w:rsidRPr="00226AB7">
              <w:rPr>
                <w:sz w:val="20"/>
                <w:szCs w:val="20"/>
              </w:rPr>
              <w:t>2010 policy treatment</w:t>
            </w:r>
          </w:p>
        </w:tc>
        <w:tc>
          <w:tcPr>
            <w:tcW w:w="0" w:type="auto"/>
            <w:tcBorders>
              <w:top w:val="single" w:sz="4" w:space="0" w:color="auto"/>
              <w:bottom w:val="nil"/>
            </w:tcBorders>
          </w:tcPr>
          <w:p w14:paraId="54FE635A" w14:textId="77777777" w:rsidR="005C7B9C" w:rsidRPr="00226AB7" w:rsidRDefault="005C7B9C">
            <w:pPr>
              <w:contextualSpacing/>
              <w:jc w:val="center"/>
              <w:rPr>
                <w:sz w:val="20"/>
                <w:szCs w:val="20"/>
              </w:rPr>
            </w:pPr>
            <w:r w:rsidRPr="00226AB7">
              <w:rPr>
                <w:sz w:val="20"/>
                <w:szCs w:val="20"/>
              </w:rPr>
              <w:t>2011 policy treatment</w:t>
            </w:r>
          </w:p>
        </w:tc>
        <w:tc>
          <w:tcPr>
            <w:tcW w:w="0" w:type="auto"/>
            <w:tcBorders>
              <w:top w:val="single" w:sz="4" w:space="0" w:color="auto"/>
              <w:bottom w:val="nil"/>
            </w:tcBorders>
          </w:tcPr>
          <w:p w14:paraId="3E366044" w14:textId="77777777" w:rsidR="005C7B9C" w:rsidRPr="00226AB7" w:rsidRDefault="005C7B9C">
            <w:pPr>
              <w:contextualSpacing/>
              <w:jc w:val="center"/>
              <w:rPr>
                <w:sz w:val="20"/>
                <w:szCs w:val="20"/>
              </w:rPr>
            </w:pPr>
            <w:r>
              <w:rPr>
                <w:sz w:val="20"/>
                <w:szCs w:val="20"/>
              </w:rPr>
              <w:t>2000-02 omitted</w:t>
            </w:r>
          </w:p>
        </w:tc>
        <w:tc>
          <w:tcPr>
            <w:tcW w:w="0" w:type="auto"/>
            <w:tcBorders>
              <w:top w:val="single" w:sz="4" w:space="0" w:color="auto"/>
              <w:bottom w:val="nil"/>
            </w:tcBorders>
          </w:tcPr>
          <w:p w14:paraId="4717F21C" w14:textId="77777777" w:rsidR="005C7B9C" w:rsidRPr="00226AB7" w:rsidRDefault="005C7B9C">
            <w:pPr>
              <w:contextualSpacing/>
              <w:jc w:val="center"/>
              <w:rPr>
                <w:sz w:val="20"/>
                <w:szCs w:val="20"/>
              </w:rPr>
            </w:pPr>
            <w:r>
              <w:rPr>
                <w:sz w:val="20"/>
                <w:szCs w:val="20"/>
              </w:rPr>
              <w:t>Propensity score</w:t>
            </w:r>
          </w:p>
        </w:tc>
        <w:tc>
          <w:tcPr>
            <w:tcW w:w="0" w:type="auto"/>
            <w:tcBorders>
              <w:top w:val="single" w:sz="4" w:space="0" w:color="auto"/>
              <w:bottom w:val="nil"/>
            </w:tcBorders>
          </w:tcPr>
          <w:p w14:paraId="7CAFFB1A" w14:textId="77777777" w:rsidR="005C7B9C" w:rsidRDefault="005C7B9C">
            <w:pPr>
              <w:contextualSpacing/>
              <w:jc w:val="center"/>
              <w:rPr>
                <w:sz w:val="20"/>
                <w:szCs w:val="20"/>
              </w:rPr>
            </w:pPr>
          </w:p>
          <w:p w14:paraId="064119F9" w14:textId="77777777" w:rsidR="005C7B9C" w:rsidRPr="00226AB7" w:rsidRDefault="005C7B9C">
            <w:pPr>
              <w:contextualSpacing/>
              <w:jc w:val="center"/>
              <w:rPr>
                <w:sz w:val="20"/>
                <w:szCs w:val="20"/>
              </w:rPr>
            </w:pPr>
            <w:r>
              <w:rPr>
                <w:sz w:val="20"/>
                <w:szCs w:val="20"/>
              </w:rPr>
              <w:t>Random</w:t>
            </w:r>
          </w:p>
        </w:tc>
        <w:tc>
          <w:tcPr>
            <w:tcW w:w="0" w:type="auto"/>
            <w:tcBorders>
              <w:top w:val="single" w:sz="4" w:space="0" w:color="auto"/>
              <w:bottom w:val="nil"/>
            </w:tcBorders>
          </w:tcPr>
          <w:p w14:paraId="0A8E0CF3" w14:textId="77777777" w:rsidR="005C7B9C" w:rsidRPr="00226AB7" w:rsidRDefault="005C7B9C">
            <w:pPr>
              <w:contextualSpacing/>
              <w:jc w:val="center"/>
              <w:rPr>
                <w:sz w:val="20"/>
                <w:szCs w:val="20"/>
              </w:rPr>
            </w:pPr>
            <w:r>
              <w:rPr>
                <w:sz w:val="20"/>
                <w:szCs w:val="20"/>
              </w:rPr>
              <w:t>Transfers omitted</w:t>
            </w:r>
          </w:p>
        </w:tc>
        <w:tc>
          <w:tcPr>
            <w:tcW w:w="0" w:type="auto"/>
            <w:tcBorders>
              <w:top w:val="single" w:sz="4" w:space="0" w:color="auto"/>
              <w:bottom w:val="nil"/>
            </w:tcBorders>
          </w:tcPr>
          <w:p w14:paraId="06936F31" w14:textId="77777777" w:rsidR="005C7B9C" w:rsidRPr="00226AB7" w:rsidRDefault="005C7B9C">
            <w:pPr>
              <w:contextualSpacing/>
              <w:jc w:val="center"/>
              <w:rPr>
                <w:sz w:val="20"/>
                <w:szCs w:val="20"/>
              </w:rPr>
            </w:pPr>
            <w:r>
              <w:rPr>
                <w:sz w:val="20"/>
                <w:szCs w:val="20"/>
              </w:rPr>
              <w:t>GSE-owned</w:t>
            </w:r>
          </w:p>
        </w:tc>
      </w:tr>
      <w:tr w:rsidR="005C7B9C" w:rsidRPr="00226AB7" w14:paraId="4EA8AE98" w14:textId="77777777" w:rsidTr="004C757C">
        <w:tc>
          <w:tcPr>
            <w:tcW w:w="0" w:type="auto"/>
          </w:tcPr>
          <w:p w14:paraId="3FB94FD3" w14:textId="77777777" w:rsidR="005C7B9C" w:rsidRPr="00226AB7" w:rsidRDefault="005C7B9C">
            <w:pPr>
              <w:contextualSpacing/>
              <w:rPr>
                <w:sz w:val="20"/>
                <w:szCs w:val="20"/>
              </w:rPr>
            </w:pPr>
          </w:p>
        </w:tc>
        <w:tc>
          <w:tcPr>
            <w:tcW w:w="0" w:type="auto"/>
            <w:tcBorders>
              <w:top w:val="nil"/>
              <w:bottom w:val="single" w:sz="4" w:space="0" w:color="auto"/>
            </w:tcBorders>
            <w:vAlign w:val="bottom"/>
          </w:tcPr>
          <w:p w14:paraId="433837C8"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(1)</w:t>
            </w:r>
          </w:p>
        </w:tc>
        <w:tc>
          <w:tcPr>
            <w:tcW w:w="0" w:type="auto"/>
            <w:gridSpan w:val="2"/>
            <w:tcBorders>
              <w:top w:val="nil"/>
              <w:bottom w:val="single" w:sz="4" w:space="0" w:color="auto"/>
            </w:tcBorders>
            <w:vAlign w:val="bottom"/>
          </w:tcPr>
          <w:p w14:paraId="5EC0BD3C"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(2)</w:t>
            </w:r>
          </w:p>
        </w:tc>
        <w:tc>
          <w:tcPr>
            <w:tcW w:w="0" w:type="auto"/>
            <w:tcBorders>
              <w:top w:val="nil"/>
              <w:bottom w:val="single" w:sz="4" w:space="0" w:color="auto"/>
            </w:tcBorders>
            <w:vAlign w:val="bottom"/>
          </w:tcPr>
          <w:p w14:paraId="23288EE0"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(3)</w:t>
            </w:r>
          </w:p>
        </w:tc>
        <w:tc>
          <w:tcPr>
            <w:tcW w:w="0" w:type="auto"/>
            <w:tcBorders>
              <w:top w:val="nil"/>
              <w:bottom w:val="single" w:sz="4" w:space="0" w:color="auto"/>
            </w:tcBorders>
            <w:vAlign w:val="bottom"/>
          </w:tcPr>
          <w:p w14:paraId="65FDE650"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(4)</w:t>
            </w:r>
          </w:p>
        </w:tc>
        <w:tc>
          <w:tcPr>
            <w:tcW w:w="0" w:type="auto"/>
            <w:tcBorders>
              <w:top w:val="nil"/>
              <w:bottom w:val="single" w:sz="4" w:space="0" w:color="auto"/>
            </w:tcBorders>
          </w:tcPr>
          <w:p w14:paraId="47739D4F"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(5)</w:t>
            </w:r>
          </w:p>
        </w:tc>
        <w:tc>
          <w:tcPr>
            <w:tcW w:w="0" w:type="auto"/>
            <w:tcBorders>
              <w:top w:val="nil"/>
              <w:bottom w:val="single" w:sz="4" w:space="0" w:color="auto"/>
            </w:tcBorders>
          </w:tcPr>
          <w:p w14:paraId="3966C0E2"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(6)</w:t>
            </w:r>
          </w:p>
        </w:tc>
        <w:tc>
          <w:tcPr>
            <w:tcW w:w="0" w:type="auto"/>
            <w:tcBorders>
              <w:top w:val="nil"/>
              <w:bottom w:val="single" w:sz="4" w:space="0" w:color="auto"/>
            </w:tcBorders>
          </w:tcPr>
          <w:p w14:paraId="36026822"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(7)</w:t>
            </w:r>
          </w:p>
        </w:tc>
        <w:tc>
          <w:tcPr>
            <w:tcW w:w="0" w:type="auto"/>
            <w:tcBorders>
              <w:top w:val="nil"/>
              <w:bottom w:val="single" w:sz="4" w:space="0" w:color="auto"/>
            </w:tcBorders>
          </w:tcPr>
          <w:p w14:paraId="1561A583"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(8)</w:t>
            </w:r>
          </w:p>
        </w:tc>
        <w:tc>
          <w:tcPr>
            <w:tcW w:w="0" w:type="auto"/>
            <w:tcBorders>
              <w:top w:val="nil"/>
              <w:bottom w:val="single" w:sz="4" w:space="0" w:color="auto"/>
            </w:tcBorders>
          </w:tcPr>
          <w:p w14:paraId="5E175F2A"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(9)</w:t>
            </w:r>
          </w:p>
        </w:tc>
        <w:tc>
          <w:tcPr>
            <w:tcW w:w="0" w:type="auto"/>
            <w:tcBorders>
              <w:top w:val="nil"/>
              <w:bottom w:val="single" w:sz="4" w:space="0" w:color="auto"/>
            </w:tcBorders>
          </w:tcPr>
          <w:p w14:paraId="41AAC086"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(10)</w:t>
            </w:r>
          </w:p>
        </w:tc>
      </w:tr>
      <w:tr w:rsidR="005C7B9C" w:rsidRPr="00226AB7" w14:paraId="41DFD22E" w14:textId="77777777" w:rsidTr="004C757C">
        <w:tc>
          <w:tcPr>
            <w:tcW w:w="0" w:type="auto"/>
            <w:vAlign w:val="bottom"/>
          </w:tcPr>
          <w:p w14:paraId="383ED5DC"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Subsidiary</w:t>
            </w:r>
          </w:p>
        </w:tc>
        <w:tc>
          <w:tcPr>
            <w:tcW w:w="0" w:type="auto"/>
            <w:tcBorders>
              <w:top w:val="single" w:sz="4" w:space="0" w:color="auto"/>
            </w:tcBorders>
            <w:vAlign w:val="bottom"/>
          </w:tcPr>
          <w:p w14:paraId="5D9F2E3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.0322***</w:t>
            </w:r>
          </w:p>
        </w:tc>
        <w:tc>
          <w:tcPr>
            <w:tcW w:w="0" w:type="auto"/>
            <w:gridSpan w:val="2"/>
            <w:tcBorders>
              <w:top w:val="single" w:sz="4" w:space="0" w:color="auto"/>
            </w:tcBorders>
            <w:vAlign w:val="bottom"/>
          </w:tcPr>
          <w:p w14:paraId="3EBBDC6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.0457***</w:t>
            </w:r>
          </w:p>
        </w:tc>
        <w:tc>
          <w:tcPr>
            <w:tcW w:w="0" w:type="auto"/>
            <w:tcBorders>
              <w:top w:val="single" w:sz="4" w:space="0" w:color="auto"/>
            </w:tcBorders>
            <w:vAlign w:val="bottom"/>
          </w:tcPr>
          <w:p w14:paraId="480323A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.0402***</w:t>
            </w:r>
          </w:p>
        </w:tc>
        <w:tc>
          <w:tcPr>
            <w:tcW w:w="0" w:type="auto"/>
            <w:tcBorders>
              <w:top w:val="single" w:sz="4" w:space="0" w:color="auto"/>
            </w:tcBorders>
            <w:vAlign w:val="bottom"/>
          </w:tcPr>
          <w:p w14:paraId="3B7B750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.0316***</w:t>
            </w:r>
          </w:p>
        </w:tc>
        <w:tc>
          <w:tcPr>
            <w:tcW w:w="0" w:type="auto"/>
            <w:tcBorders>
              <w:top w:val="single" w:sz="4" w:space="0" w:color="auto"/>
            </w:tcBorders>
            <w:vAlign w:val="bottom"/>
          </w:tcPr>
          <w:p w14:paraId="3631363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.0296***</w:t>
            </w:r>
          </w:p>
        </w:tc>
        <w:tc>
          <w:tcPr>
            <w:tcW w:w="0" w:type="auto"/>
            <w:tcBorders>
              <w:top w:val="single" w:sz="4" w:space="0" w:color="auto"/>
            </w:tcBorders>
            <w:vAlign w:val="bottom"/>
          </w:tcPr>
          <w:p w14:paraId="18FAA3D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.0385***</w:t>
            </w:r>
          </w:p>
        </w:tc>
        <w:tc>
          <w:tcPr>
            <w:tcW w:w="0" w:type="auto"/>
            <w:tcBorders>
              <w:top w:val="single" w:sz="4" w:space="0" w:color="auto"/>
            </w:tcBorders>
            <w:vAlign w:val="bottom"/>
          </w:tcPr>
          <w:p w14:paraId="626D501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.0212***</w:t>
            </w:r>
          </w:p>
        </w:tc>
        <w:tc>
          <w:tcPr>
            <w:tcW w:w="0" w:type="auto"/>
            <w:tcBorders>
              <w:top w:val="single" w:sz="4" w:space="0" w:color="auto"/>
            </w:tcBorders>
            <w:vAlign w:val="bottom"/>
          </w:tcPr>
          <w:p w14:paraId="16A6776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.0352***</w:t>
            </w:r>
          </w:p>
        </w:tc>
        <w:tc>
          <w:tcPr>
            <w:tcW w:w="0" w:type="auto"/>
            <w:tcBorders>
              <w:top w:val="single" w:sz="4" w:space="0" w:color="auto"/>
            </w:tcBorders>
            <w:vAlign w:val="bottom"/>
          </w:tcPr>
          <w:p w14:paraId="0B3F2CE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.0350***</w:t>
            </w:r>
          </w:p>
        </w:tc>
        <w:tc>
          <w:tcPr>
            <w:tcW w:w="0" w:type="auto"/>
            <w:tcBorders>
              <w:top w:val="single" w:sz="4" w:space="0" w:color="auto"/>
            </w:tcBorders>
            <w:vAlign w:val="bottom"/>
          </w:tcPr>
          <w:p w14:paraId="11AA007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.0166***</w:t>
            </w:r>
          </w:p>
        </w:tc>
      </w:tr>
      <w:tr w:rsidR="005C7B9C" w:rsidRPr="00226AB7" w14:paraId="1CC14B6D" w14:textId="77777777" w:rsidTr="004C757C">
        <w:tc>
          <w:tcPr>
            <w:tcW w:w="0" w:type="auto"/>
            <w:vAlign w:val="bottom"/>
          </w:tcPr>
          <w:p w14:paraId="428F1477"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0610E65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(.00346)</w:t>
            </w:r>
          </w:p>
        </w:tc>
        <w:tc>
          <w:tcPr>
            <w:tcW w:w="0" w:type="auto"/>
            <w:gridSpan w:val="2"/>
            <w:vAlign w:val="bottom"/>
          </w:tcPr>
          <w:p w14:paraId="5161213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(.00488)</w:t>
            </w:r>
          </w:p>
        </w:tc>
        <w:tc>
          <w:tcPr>
            <w:tcW w:w="0" w:type="auto"/>
            <w:vAlign w:val="bottom"/>
          </w:tcPr>
          <w:p w14:paraId="16435E9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(.00373)</w:t>
            </w:r>
          </w:p>
        </w:tc>
        <w:tc>
          <w:tcPr>
            <w:tcW w:w="0" w:type="auto"/>
            <w:vAlign w:val="bottom"/>
          </w:tcPr>
          <w:p w14:paraId="3190C87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(.00338)</w:t>
            </w:r>
          </w:p>
        </w:tc>
        <w:tc>
          <w:tcPr>
            <w:tcW w:w="0" w:type="auto"/>
            <w:vAlign w:val="bottom"/>
          </w:tcPr>
          <w:p w14:paraId="21E1C69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(.00321)</w:t>
            </w:r>
          </w:p>
        </w:tc>
        <w:tc>
          <w:tcPr>
            <w:tcW w:w="0" w:type="auto"/>
            <w:vAlign w:val="bottom"/>
          </w:tcPr>
          <w:p w14:paraId="6D8BCAB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(.00425)</w:t>
            </w:r>
          </w:p>
        </w:tc>
        <w:tc>
          <w:tcPr>
            <w:tcW w:w="0" w:type="auto"/>
            <w:vAlign w:val="bottom"/>
          </w:tcPr>
          <w:p w14:paraId="26EDD6F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(.00386)</w:t>
            </w:r>
          </w:p>
        </w:tc>
        <w:tc>
          <w:tcPr>
            <w:tcW w:w="0" w:type="auto"/>
            <w:vAlign w:val="bottom"/>
          </w:tcPr>
          <w:p w14:paraId="0D5C394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(.00364)</w:t>
            </w:r>
          </w:p>
        </w:tc>
        <w:tc>
          <w:tcPr>
            <w:tcW w:w="0" w:type="auto"/>
            <w:vAlign w:val="bottom"/>
          </w:tcPr>
          <w:p w14:paraId="260DAB6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(.00358)</w:t>
            </w:r>
          </w:p>
        </w:tc>
        <w:tc>
          <w:tcPr>
            <w:tcW w:w="0" w:type="auto"/>
            <w:vAlign w:val="bottom"/>
          </w:tcPr>
          <w:p w14:paraId="7574CBF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(.00355)</w:t>
            </w:r>
          </w:p>
        </w:tc>
      </w:tr>
      <w:tr w:rsidR="005C7B9C" w:rsidRPr="00226AB7" w14:paraId="12B34D0B" w14:textId="77777777" w:rsidTr="004C757C">
        <w:tc>
          <w:tcPr>
            <w:tcW w:w="0" w:type="auto"/>
            <w:vAlign w:val="bottom"/>
          </w:tcPr>
          <w:p w14:paraId="3E774AC5"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Post</w:t>
            </w:r>
          </w:p>
        </w:tc>
        <w:tc>
          <w:tcPr>
            <w:tcW w:w="0" w:type="auto"/>
            <w:vAlign w:val="bottom"/>
          </w:tcPr>
          <w:p w14:paraId="017C4DE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.0453***</w:t>
            </w:r>
          </w:p>
        </w:tc>
        <w:tc>
          <w:tcPr>
            <w:tcW w:w="0" w:type="auto"/>
            <w:gridSpan w:val="2"/>
            <w:vAlign w:val="bottom"/>
          </w:tcPr>
          <w:p w14:paraId="18C60ED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-2.805***</w:t>
            </w:r>
          </w:p>
        </w:tc>
        <w:tc>
          <w:tcPr>
            <w:tcW w:w="0" w:type="auto"/>
            <w:vAlign w:val="bottom"/>
          </w:tcPr>
          <w:p w14:paraId="0134C34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.286***</w:t>
            </w:r>
          </w:p>
        </w:tc>
        <w:tc>
          <w:tcPr>
            <w:tcW w:w="0" w:type="auto"/>
            <w:vAlign w:val="bottom"/>
          </w:tcPr>
          <w:p w14:paraId="60341FF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-.394***</w:t>
            </w:r>
          </w:p>
        </w:tc>
        <w:tc>
          <w:tcPr>
            <w:tcW w:w="0" w:type="auto"/>
            <w:vAlign w:val="bottom"/>
          </w:tcPr>
          <w:p w14:paraId="340B1161"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-.457***</w:t>
            </w:r>
          </w:p>
        </w:tc>
        <w:tc>
          <w:tcPr>
            <w:tcW w:w="0" w:type="auto"/>
            <w:vAlign w:val="bottom"/>
          </w:tcPr>
          <w:p w14:paraId="27A6987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.0487***</w:t>
            </w:r>
          </w:p>
        </w:tc>
        <w:tc>
          <w:tcPr>
            <w:tcW w:w="0" w:type="auto"/>
            <w:vAlign w:val="bottom"/>
          </w:tcPr>
          <w:p w14:paraId="3D34127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.0449**</w:t>
            </w:r>
          </w:p>
        </w:tc>
        <w:tc>
          <w:tcPr>
            <w:tcW w:w="0" w:type="auto"/>
            <w:vAlign w:val="bottom"/>
          </w:tcPr>
          <w:p w14:paraId="11B4C45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.0309</w:t>
            </w:r>
          </w:p>
        </w:tc>
        <w:tc>
          <w:tcPr>
            <w:tcW w:w="0" w:type="auto"/>
            <w:vAlign w:val="bottom"/>
          </w:tcPr>
          <w:p w14:paraId="5EDCC2B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.0478***</w:t>
            </w:r>
          </w:p>
        </w:tc>
        <w:tc>
          <w:tcPr>
            <w:tcW w:w="0" w:type="auto"/>
            <w:vAlign w:val="bottom"/>
          </w:tcPr>
          <w:p w14:paraId="5626345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.0367***</w:t>
            </w:r>
          </w:p>
        </w:tc>
      </w:tr>
      <w:tr w:rsidR="005C7B9C" w:rsidRPr="00226AB7" w14:paraId="05B42B51" w14:textId="77777777" w:rsidTr="004C757C">
        <w:tc>
          <w:tcPr>
            <w:tcW w:w="0" w:type="auto"/>
            <w:vAlign w:val="bottom"/>
          </w:tcPr>
          <w:p w14:paraId="039F6B80"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15EBD27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(.0146)</w:t>
            </w:r>
          </w:p>
        </w:tc>
        <w:tc>
          <w:tcPr>
            <w:tcW w:w="0" w:type="auto"/>
            <w:gridSpan w:val="2"/>
            <w:vAlign w:val="bottom"/>
          </w:tcPr>
          <w:p w14:paraId="12F4CA5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(.0245)</w:t>
            </w:r>
          </w:p>
        </w:tc>
        <w:tc>
          <w:tcPr>
            <w:tcW w:w="0" w:type="auto"/>
            <w:vAlign w:val="bottom"/>
          </w:tcPr>
          <w:p w14:paraId="540403B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(.0111)</w:t>
            </w:r>
          </w:p>
        </w:tc>
        <w:tc>
          <w:tcPr>
            <w:tcW w:w="0" w:type="auto"/>
            <w:vAlign w:val="bottom"/>
          </w:tcPr>
          <w:p w14:paraId="390E4FB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(.0142)</w:t>
            </w:r>
          </w:p>
        </w:tc>
        <w:tc>
          <w:tcPr>
            <w:tcW w:w="0" w:type="auto"/>
            <w:vAlign w:val="bottom"/>
          </w:tcPr>
          <w:p w14:paraId="535419A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(.0115)</w:t>
            </w:r>
          </w:p>
        </w:tc>
        <w:tc>
          <w:tcPr>
            <w:tcW w:w="0" w:type="auto"/>
            <w:vAlign w:val="bottom"/>
          </w:tcPr>
          <w:p w14:paraId="5C68E4B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(.0150)</w:t>
            </w:r>
          </w:p>
        </w:tc>
        <w:tc>
          <w:tcPr>
            <w:tcW w:w="0" w:type="auto"/>
            <w:vAlign w:val="bottom"/>
          </w:tcPr>
          <w:p w14:paraId="3F1B6AD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(.0188)</w:t>
            </w:r>
          </w:p>
        </w:tc>
        <w:tc>
          <w:tcPr>
            <w:tcW w:w="0" w:type="auto"/>
            <w:vAlign w:val="bottom"/>
          </w:tcPr>
          <w:p w14:paraId="19DFA27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(.0195)</w:t>
            </w:r>
          </w:p>
        </w:tc>
        <w:tc>
          <w:tcPr>
            <w:tcW w:w="0" w:type="auto"/>
            <w:vAlign w:val="bottom"/>
          </w:tcPr>
          <w:p w14:paraId="336769B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(.0147)</w:t>
            </w:r>
          </w:p>
        </w:tc>
        <w:tc>
          <w:tcPr>
            <w:tcW w:w="0" w:type="auto"/>
            <w:vAlign w:val="bottom"/>
          </w:tcPr>
          <w:p w14:paraId="214F992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(.0138)</w:t>
            </w:r>
          </w:p>
        </w:tc>
      </w:tr>
      <w:tr w:rsidR="005C7B9C" w:rsidRPr="00226AB7" w14:paraId="5E63EE49" w14:textId="77777777" w:rsidTr="004C757C">
        <w:tc>
          <w:tcPr>
            <w:tcW w:w="0" w:type="auto"/>
            <w:vAlign w:val="bottom"/>
          </w:tcPr>
          <w:p w14:paraId="6BEE7F57" w14:textId="77777777" w:rsidR="005C7B9C" w:rsidRPr="00226AB7" w:rsidRDefault="005C7B9C" w:rsidP="009D6779">
            <w:pPr>
              <w:contextualSpacing/>
              <w:rPr>
                <w:rFonts w:eastAsia="Times New Roman" w:cs="Calibri"/>
                <w:i/>
                <w:sz w:val="20"/>
                <w:szCs w:val="20"/>
              </w:rPr>
            </w:pPr>
            <w:r>
              <w:rPr>
                <w:rFonts w:eastAsia="Times New Roman" w:cs="Calibri"/>
                <w:i/>
                <w:sz w:val="20"/>
                <w:szCs w:val="20"/>
              </w:rPr>
              <w:t>Subsidiary</w:t>
            </w:r>
          </w:p>
        </w:tc>
        <w:tc>
          <w:tcPr>
            <w:tcW w:w="0" w:type="auto"/>
            <w:vAlign w:val="bottom"/>
          </w:tcPr>
          <w:p w14:paraId="3798204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-.0430***</w:t>
            </w:r>
          </w:p>
        </w:tc>
        <w:tc>
          <w:tcPr>
            <w:tcW w:w="0" w:type="auto"/>
            <w:gridSpan w:val="2"/>
            <w:vAlign w:val="bottom"/>
          </w:tcPr>
          <w:p w14:paraId="621BC87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-.0400***</w:t>
            </w:r>
          </w:p>
        </w:tc>
        <w:tc>
          <w:tcPr>
            <w:tcW w:w="0" w:type="auto"/>
            <w:vAlign w:val="bottom"/>
          </w:tcPr>
          <w:p w14:paraId="5EE67AA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-.0469***</w:t>
            </w:r>
          </w:p>
        </w:tc>
        <w:tc>
          <w:tcPr>
            <w:tcW w:w="0" w:type="auto"/>
            <w:vAlign w:val="bottom"/>
          </w:tcPr>
          <w:p w14:paraId="4AFC81C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-.0448***</w:t>
            </w:r>
          </w:p>
        </w:tc>
        <w:tc>
          <w:tcPr>
            <w:tcW w:w="0" w:type="auto"/>
            <w:vAlign w:val="bottom"/>
          </w:tcPr>
          <w:p w14:paraId="5F21CF4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-.0667***</w:t>
            </w:r>
          </w:p>
        </w:tc>
        <w:tc>
          <w:tcPr>
            <w:tcW w:w="0" w:type="auto"/>
            <w:vAlign w:val="bottom"/>
          </w:tcPr>
          <w:p w14:paraId="2F193EA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-.0491***</w:t>
            </w:r>
          </w:p>
        </w:tc>
        <w:tc>
          <w:tcPr>
            <w:tcW w:w="0" w:type="auto"/>
            <w:vAlign w:val="bottom"/>
          </w:tcPr>
          <w:p w14:paraId="7685ED3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-.0309***</w:t>
            </w:r>
          </w:p>
        </w:tc>
        <w:tc>
          <w:tcPr>
            <w:tcW w:w="0" w:type="auto"/>
            <w:vAlign w:val="bottom"/>
          </w:tcPr>
          <w:p w14:paraId="0AEAB26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-.0436***</w:t>
            </w:r>
          </w:p>
        </w:tc>
        <w:tc>
          <w:tcPr>
            <w:tcW w:w="0" w:type="auto"/>
            <w:vAlign w:val="bottom"/>
          </w:tcPr>
          <w:p w14:paraId="68C9BA5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-.0543***</w:t>
            </w:r>
          </w:p>
        </w:tc>
        <w:tc>
          <w:tcPr>
            <w:tcW w:w="0" w:type="auto"/>
            <w:vAlign w:val="bottom"/>
          </w:tcPr>
          <w:p w14:paraId="1DFF18B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-.0246***</w:t>
            </w:r>
          </w:p>
        </w:tc>
      </w:tr>
      <w:tr w:rsidR="005C7B9C" w:rsidRPr="00226AB7" w14:paraId="3D7C70F5" w14:textId="77777777" w:rsidTr="004C757C">
        <w:tc>
          <w:tcPr>
            <w:tcW w:w="0" w:type="auto"/>
            <w:tcBorders>
              <w:bottom w:val="single" w:sz="4" w:space="0" w:color="auto"/>
            </w:tcBorders>
          </w:tcPr>
          <w:p w14:paraId="3AB93D23" w14:textId="77777777" w:rsidR="005C7B9C" w:rsidRPr="009911DF" w:rsidRDefault="005C7B9C" w:rsidP="009D6779">
            <w:pPr>
              <w:contextualSpacing/>
              <w:rPr>
                <w:i/>
                <w:sz w:val="20"/>
                <w:szCs w:val="20"/>
              </w:rPr>
            </w:pPr>
            <w:r>
              <w:rPr>
                <w:i/>
                <w:sz w:val="20"/>
                <w:szCs w:val="20"/>
              </w:rPr>
              <w:t xml:space="preserve">   </w:t>
            </w:r>
            <w:r w:rsidRPr="009911DF">
              <w:rPr>
                <w:i/>
                <w:sz w:val="20"/>
                <w:szCs w:val="20"/>
              </w:rPr>
              <w:t>* Post</w:t>
            </w:r>
          </w:p>
        </w:tc>
        <w:tc>
          <w:tcPr>
            <w:tcW w:w="0" w:type="auto"/>
            <w:tcBorders>
              <w:bottom w:val="single" w:sz="4" w:space="0" w:color="auto"/>
            </w:tcBorders>
            <w:vAlign w:val="bottom"/>
          </w:tcPr>
          <w:p w14:paraId="6F6B40A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(.00650)</w:t>
            </w:r>
          </w:p>
        </w:tc>
        <w:tc>
          <w:tcPr>
            <w:tcW w:w="0" w:type="auto"/>
            <w:gridSpan w:val="2"/>
            <w:tcBorders>
              <w:bottom w:val="single" w:sz="4" w:space="0" w:color="auto"/>
            </w:tcBorders>
            <w:vAlign w:val="bottom"/>
          </w:tcPr>
          <w:p w14:paraId="009C37D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(.00609)</w:t>
            </w:r>
          </w:p>
        </w:tc>
        <w:tc>
          <w:tcPr>
            <w:tcW w:w="0" w:type="auto"/>
            <w:tcBorders>
              <w:bottom w:val="single" w:sz="4" w:space="0" w:color="auto"/>
            </w:tcBorders>
            <w:vAlign w:val="bottom"/>
          </w:tcPr>
          <w:p w14:paraId="0415E4D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(.00601)</w:t>
            </w:r>
          </w:p>
        </w:tc>
        <w:tc>
          <w:tcPr>
            <w:tcW w:w="0" w:type="auto"/>
            <w:tcBorders>
              <w:bottom w:val="single" w:sz="4" w:space="0" w:color="auto"/>
            </w:tcBorders>
            <w:vAlign w:val="bottom"/>
          </w:tcPr>
          <w:p w14:paraId="56F870A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(.00668)</w:t>
            </w:r>
          </w:p>
        </w:tc>
        <w:tc>
          <w:tcPr>
            <w:tcW w:w="0" w:type="auto"/>
            <w:tcBorders>
              <w:bottom w:val="single" w:sz="4" w:space="0" w:color="auto"/>
            </w:tcBorders>
            <w:vAlign w:val="bottom"/>
          </w:tcPr>
          <w:p w14:paraId="07D6792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(.00763)</w:t>
            </w:r>
          </w:p>
        </w:tc>
        <w:tc>
          <w:tcPr>
            <w:tcW w:w="0" w:type="auto"/>
            <w:tcBorders>
              <w:bottom w:val="single" w:sz="4" w:space="0" w:color="auto"/>
            </w:tcBorders>
            <w:vAlign w:val="bottom"/>
          </w:tcPr>
          <w:p w14:paraId="49F3798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(.00704)</w:t>
            </w:r>
          </w:p>
        </w:tc>
        <w:tc>
          <w:tcPr>
            <w:tcW w:w="0" w:type="auto"/>
            <w:tcBorders>
              <w:bottom w:val="single" w:sz="4" w:space="0" w:color="auto"/>
            </w:tcBorders>
            <w:vAlign w:val="bottom"/>
          </w:tcPr>
          <w:p w14:paraId="1C8B1DF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(.00695)</w:t>
            </w:r>
          </w:p>
        </w:tc>
        <w:tc>
          <w:tcPr>
            <w:tcW w:w="0" w:type="auto"/>
            <w:tcBorders>
              <w:bottom w:val="single" w:sz="4" w:space="0" w:color="auto"/>
            </w:tcBorders>
            <w:vAlign w:val="bottom"/>
          </w:tcPr>
          <w:p w14:paraId="200A783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(.00707)</w:t>
            </w:r>
          </w:p>
        </w:tc>
        <w:tc>
          <w:tcPr>
            <w:tcW w:w="0" w:type="auto"/>
            <w:tcBorders>
              <w:bottom w:val="single" w:sz="4" w:space="0" w:color="auto"/>
            </w:tcBorders>
            <w:vAlign w:val="bottom"/>
          </w:tcPr>
          <w:p w14:paraId="4CB2686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(.00662)</w:t>
            </w:r>
          </w:p>
        </w:tc>
        <w:tc>
          <w:tcPr>
            <w:tcW w:w="0" w:type="auto"/>
            <w:tcBorders>
              <w:bottom w:val="single" w:sz="4" w:space="0" w:color="auto"/>
            </w:tcBorders>
            <w:vAlign w:val="bottom"/>
          </w:tcPr>
          <w:p w14:paraId="735C783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(.00636)</w:t>
            </w:r>
          </w:p>
        </w:tc>
      </w:tr>
      <w:tr w:rsidR="005C7B9C" w:rsidRPr="00226AB7" w14:paraId="3938CD8B" w14:textId="77777777" w:rsidTr="004C757C">
        <w:tc>
          <w:tcPr>
            <w:tcW w:w="0" w:type="auto"/>
            <w:tcBorders>
              <w:top w:val="single" w:sz="4" w:space="0" w:color="auto"/>
              <w:bottom w:val="nil"/>
            </w:tcBorders>
          </w:tcPr>
          <w:p w14:paraId="6A062977" w14:textId="77777777" w:rsidR="005C7B9C" w:rsidRPr="00226AB7" w:rsidRDefault="005C7B9C">
            <w:pPr>
              <w:contextualSpacing/>
              <w:rPr>
                <w:b/>
                <w:sz w:val="20"/>
                <w:szCs w:val="20"/>
              </w:rPr>
            </w:pPr>
            <w:r w:rsidRPr="00226AB7">
              <w:rPr>
                <w:b/>
                <w:sz w:val="20"/>
                <w:szCs w:val="20"/>
              </w:rPr>
              <w:t>Panel D</w:t>
            </w:r>
          </w:p>
        </w:tc>
        <w:tc>
          <w:tcPr>
            <w:tcW w:w="0" w:type="auto"/>
            <w:tcBorders>
              <w:top w:val="single" w:sz="4" w:space="0" w:color="auto"/>
              <w:bottom w:val="nil"/>
            </w:tcBorders>
          </w:tcPr>
          <w:p w14:paraId="0971987E" w14:textId="77777777" w:rsidR="005C7B9C" w:rsidRDefault="005C7B9C">
            <w:pPr>
              <w:contextualSpacing/>
              <w:rPr>
                <w:sz w:val="20"/>
                <w:szCs w:val="20"/>
              </w:rPr>
            </w:pPr>
          </w:p>
        </w:tc>
        <w:tc>
          <w:tcPr>
            <w:tcW w:w="0" w:type="auto"/>
            <w:gridSpan w:val="2"/>
            <w:tcBorders>
              <w:top w:val="single" w:sz="4" w:space="0" w:color="auto"/>
              <w:bottom w:val="nil"/>
            </w:tcBorders>
          </w:tcPr>
          <w:p w14:paraId="65F3E094" w14:textId="77777777" w:rsidR="005C7B9C" w:rsidRPr="00226AB7" w:rsidRDefault="005C7B9C">
            <w:pPr>
              <w:contextualSpacing/>
              <w:rPr>
                <w:sz w:val="20"/>
                <w:szCs w:val="20"/>
              </w:rPr>
            </w:pPr>
          </w:p>
        </w:tc>
        <w:tc>
          <w:tcPr>
            <w:tcW w:w="0" w:type="auto"/>
            <w:tcBorders>
              <w:top w:val="single" w:sz="4" w:space="0" w:color="auto"/>
              <w:bottom w:val="nil"/>
            </w:tcBorders>
          </w:tcPr>
          <w:p w14:paraId="57FB808E" w14:textId="77777777" w:rsidR="005C7B9C" w:rsidRPr="00226AB7" w:rsidRDefault="005C7B9C">
            <w:pPr>
              <w:contextualSpacing/>
              <w:rPr>
                <w:sz w:val="20"/>
                <w:szCs w:val="20"/>
              </w:rPr>
            </w:pPr>
          </w:p>
        </w:tc>
        <w:tc>
          <w:tcPr>
            <w:tcW w:w="0" w:type="auto"/>
            <w:tcBorders>
              <w:top w:val="single" w:sz="4" w:space="0" w:color="auto"/>
              <w:bottom w:val="nil"/>
            </w:tcBorders>
          </w:tcPr>
          <w:p w14:paraId="667FABEA" w14:textId="77777777" w:rsidR="005C7B9C" w:rsidRPr="00226AB7" w:rsidRDefault="005C7B9C">
            <w:pPr>
              <w:contextualSpacing/>
              <w:rPr>
                <w:sz w:val="20"/>
                <w:szCs w:val="20"/>
              </w:rPr>
            </w:pPr>
          </w:p>
        </w:tc>
        <w:tc>
          <w:tcPr>
            <w:tcW w:w="0" w:type="auto"/>
            <w:tcBorders>
              <w:top w:val="single" w:sz="4" w:space="0" w:color="auto"/>
              <w:bottom w:val="nil"/>
            </w:tcBorders>
          </w:tcPr>
          <w:p w14:paraId="6A0CAD25" w14:textId="77777777" w:rsidR="005C7B9C" w:rsidRPr="00226AB7" w:rsidRDefault="005C7B9C">
            <w:pPr>
              <w:contextualSpacing/>
              <w:rPr>
                <w:sz w:val="20"/>
                <w:szCs w:val="20"/>
              </w:rPr>
            </w:pPr>
          </w:p>
        </w:tc>
        <w:tc>
          <w:tcPr>
            <w:tcW w:w="0" w:type="auto"/>
            <w:tcBorders>
              <w:top w:val="single" w:sz="4" w:space="0" w:color="auto"/>
              <w:bottom w:val="nil"/>
            </w:tcBorders>
          </w:tcPr>
          <w:p w14:paraId="035B671F" w14:textId="77777777" w:rsidR="005C7B9C" w:rsidRPr="00226AB7" w:rsidRDefault="005C7B9C">
            <w:pPr>
              <w:contextualSpacing/>
              <w:rPr>
                <w:sz w:val="20"/>
                <w:szCs w:val="20"/>
              </w:rPr>
            </w:pPr>
          </w:p>
        </w:tc>
        <w:tc>
          <w:tcPr>
            <w:tcW w:w="0" w:type="auto"/>
            <w:tcBorders>
              <w:top w:val="single" w:sz="4" w:space="0" w:color="auto"/>
              <w:bottom w:val="nil"/>
            </w:tcBorders>
          </w:tcPr>
          <w:p w14:paraId="648FBB58" w14:textId="77777777" w:rsidR="005C7B9C" w:rsidRPr="00226AB7" w:rsidRDefault="005C7B9C">
            <w:pPr>
              <w:contextualSpacing/>
              <w:rPr>
                <w:sz w:val="20"/>
                <w:szCs w:val="20"/>
              </w:rPr>
            </w:pPr>
          </w:p>
        </w:tc>
        <w:tc>
          <w:tcPr>
            <w:tcW w:w="0" w:type="auto"/>
            <w:tcBorders>
              <w:top w:val="single" w:sz="4" w:space="0" w:color="auto"/>
              <w:bottom w:val="nil"/>
            </w:tcBorders>
          </w:tcPr>
          <w:p w14:paraId="791309D0" w14:textId="77777777" w:rsidR="005C7B9C" w:rsidRPr="00226AB7" w:rsidRDefault="005C7B9C">
            <w:pPr>
              <w:contextualSpacing/>
              <w:rPr>
                <w:sz w:val="20"/>
                <w:szCs w:val="20"/>
              </w:rPr>
            </w:pPr>
          </w:p>
        </w:tc>
        <w:tc>
          <w:tcPr>
            <w:tcW w:w="0" w:type="auto"/>
            <w:tcBorders>
              <w:top w:val="single" w:sz="4" w:space="0" w:color="auto"/>
              <w:bottom w:val="nil"/>
            </w:tcBorders>
          </w:tcPr>
          <w:p w14:paraId="6A6C7183" w14:textId="77777777" w:rsidR="005C7B9C" w:rsidRPr="00226AB7" w:rsidRDefault="005C7B9C">
            <w:pPr>
              <w:contextualSpacing/>
              <w:rPr>
                <w:sz w:val="20"/>
                <w:szCs w:val="20"/>
              </w:rPr>
            </w:pPr>
          </w:p>
        </w:tc>
        <w:tc>
          <w:tcPr>
            <w:tcW w:w="0" w:type="auto"/>
            <w:tcBorders>
              <w:top w:val="single" w:sz="4" w:space="0" w:color="auto"/>
              <w:bottom w:val="nil"/>
            </w:tcBorders>
          </w:tcPr>
          <w:p w14:paraId="5D4B9FA8" w14:textId="77777777" w:rsidR="005C7B9C" w:rsidRPr="00226AB7" w:rsidRDefault="005C7B9C">
            <w:pPr>
              <w:contextualSpacing/>
              <w:rPr>
                <w:sz w:val="20"/>
                <w:szCs w:val="20"/>
              </w:rPr>
            </w:pPr>
          </w:p>
        </w:tc>
      </w:tr>
      <w:tr w:rsidR="005C7B9C" w:rsidRPr="00226AB7" w14:paraId="09130FD7" w14:textId="77777777" w:rsidTr="004C757C">
        <w:trPr>
          <w:gridAfter w:val="9"/>
        </w:trPr>
        <w:tc>
          <w:tcPr>
            <w:tcW w:w="0" w:type="auto"/>
            <w:tcBorders>
              <w:top w:val="nil"/>
            </w:tcBorders>
          </w:tcPr>
          <w:p w14:paraId="53321B59" w14:textId="77777777" w:rsidR="005C7B9C" w:rsidRPr="00226AB7" w:rsidRDefault="005C7B9C">
            <w:pPr>
              <w:contextualSpacing/>
              <w:rPr>
                <w:sz w:val="20"/>
                <w:szCs w:val="20"/>
              </w:rPr>
            </w:pPr>
          </w:p>
        </w:tc>
        <w:tc>
          <w:tcPr>
            <w:tcW w:w="0" w:type="auto"/>
            <w:gridSpan w:val="2"/>
            <w:tcBorders>
              <w:top w:val="nil"/>
            </w:tcBorders>
          </w:tcPr>
          <w:p w14:paraId="444FF49B" w14:textId="77777777" w:rsidR="005C7B9C" w:rsidRDefault="005C7B9C">
            <w:pPr>
              <w:contextualSpacing/>
              <w:jc w:val="center"/>
              <w:rPr>
                <w:sz w:val="20"/>
                <w:szCs w:val="20"/>
              </w:rPr>
            </w:pPr>
          </w:p>
        </w:tc>
      </w:tr>
      <w:tr w:rsidR="005C7B9C" w:rsidRPr="00226AB7" w14:paraId="1F2CAE64" w14:textId="77777777" w:rsidTr="004C757C">
        <w:tc>
          <w:tcPr>
            <w:tcW w:w="0" w:type="auto"/>
          </w:tcPr>
          <w:p w14:paraId="3B536ADF" w14:textId="77777777" w:rsidR="005C7B9C" w:rsidRPr="00226AB7" w:rsidRDefault="005C7B9C">
            <w:pPr>
              <w:contextualSpacing/>
              <w:rPr>
                <w:sz w:val="20"/>
                <w:szCs w:val="20"/>
              </w:rPr>
            </w:pPr>
          </w:p>
        </w:tc>
        <w:tc>
          <w:tcPr>
            <w:tcW w:w="0" w:type="auto"/>
            <w:tcBorders>
              <w:top w:val="single" w:sz="4" w:space="0" w:color="auto"/>
              <w:bottom w:val="nil"/>
            </w:tcBorders>
          </w:tcPr>
          <w:p w14:paraId="0A37B698" w14:textId="3D02826B" w:rsidR="005C7B9C" w:rsidRPr="00226AB7" w:rsidRDefault="005C7B9C">
            <w:pPr>
              <w:contextualSpacing/>
              <w:jc w:val="center"/>
              <w:rPr>
                <w:sz w:val="20"/>
                <w:szCs w:val="20"/>
              </w:rPr>
            </w:pPr>
            <w:r>
              <w:rPr>
                <w:sz w:val="20"/>
                <w:szCs w:val="20"/>
              </w:rPr>
              <w:t>Table</w:t>
            </w:r>
            <w:r w:rsidR="009F7EF0">
              <w:rPr>
                <w:sz w:val="20"/>
                <w:szCs w:val="20"/>
              </w:rPr>
              <w:t>9</w:t>
            </w:r>
            <w:r>
              <w:rPr>
                <w:sz w:val="20"/>
                <w:szCs w:val="20"/>
              </w:rPr>
              <w:t>, model 6</w:t>
            </w:r>
          </w:p>
        </w:tc>
        <w:tc>
          <w:tcPr>
            <w:tcW w:w="0" w:type="auto"/>
            <w:gridSpan w:val="2"/>
            <w:tcBorders>
              <w:top w:val="single" w:sz="4" w:space="0" w:color="auto"/>
              <w:bottom w:val="nil"/>
            </w:tcBorders>
          </w:tcPr>
          <w:p w14:paraId="1664A6EF" w14:textId="77777777" w:rsidR="005C7B9C" w:rsidRPr="00226AB7" w:rsidRDefault="005C7B9C">
            <w:pPr>
              <w:contextualSpacing/>
              <w:jc w:val="center"/>
              <w:rPr>
                <w:sz w:val="20"/>
                <w:szCs w:val="20"/>
              </w:rPr>
            </w:pPr>
            <w:r w:rsidRPr="00226AB7">
              <w:rPr>
                <w:sz w:val="20"/>
                <w:szCs w:val="20"/>
              </w:rPr>
              <w:t>2004 policy treatment</w:t>
            </w:r>
          </w:p>
        </w:tc>
        <w:tc>
          <w:tcPr>
            <w:tcW w:w="0" w:type="auto"/>
            <w:tcBorders>
              <w:top w:val="single" w:sz="4" w:space="0" w:color="auto"/>
              <w:bottom w:val="nil"/>
            </w:tcBorders>
          </w:tcPr>
          <w:p w14:paraId="2E64DDC4" w14:textId="77777777" w:rsidR="005C7B9C" w:rsidRPr="00226AB7" w:rsidRDefault="005C7B9C">
            <w:pPr>
              <w:contextualSpacing/>
              <w:jc w:val="center"/>
              <w:rPr>
                <w:sz w:val="20"/>
                <w:szCs w:val="20"/>
              </w:rPr>
            </w:pPr>
            <w:r w:rsidRPr="00226AB7">
              <w:rPr>
                <w:sz w:val="20"/>
                <w:szCs w:val="20"/>
              </w:rPr>
              <w:t>2007 policy treatment</w:t>
            </w:r>
          </w:p>
        </w:tc>
        <w:tc>
          <w:tcPr>
            <w:tcW w:w="0" w:type="auto"/>
            <w:tcBorders>
              <w:top w:val="single" w:sz="4" w:space="0" w:color="auto"/>
              <w:bottom w:val="nil"/>
            </w:tcBorders>
          </w:tcPr>
          <w:p w14:paraId="6E9C71DB" w14:textId="77777777" w:rsidR="005C7B9C" w:rsidRPr="00226AB7" w:rsidRDefault="005C7B9C">
            <w:pPr>
              <w:contextualSpacing/>
              <w:jc w:val="center"/>
              <w:rPr>
                <w:sz w:val="20"/>
                <w:szCs w:val="20"/>
              </w:rPr>
            </w:pPr>
            <w:r w:rsidRPr="00226AB7">
              <w:rPr>
                <w:sz w:val="20"/>
                <w:szCs w:val="20"/>
              </w:rPr>
              <w:t>2010 policy treatment</w:t>
            </w:r>
          </w:p>
        </w:tc>
        <w:tc>
          <w:tcPr>
            <w:tcW w:w="0" w:type="auto"/>
            <w:tcBorders>
              <w:top w:val="single" w:sz="4" w:space="0" w:color="auto"/>
              <w:bottom w:val="nil"/>
            </w:tcBorders>
          </w:tcPr>
          <w:p w14:paraId="6C846E46" w14:textId="77777777" w:rsidR="005C7B9C" w:rsidRPr="00226AB7" w:rsidRDefault="005C7B9C">
            <w:pPr>
              <w:contextualSpacing/>
              <w:jc w:val="center"/>
              <w:rPr>
                <w:sz w:val="20"/>
                <w:szCs w:val="20"/>
              </w:rPr>
            </w:pPr>
            <w:r w:rsidRPr="00226AB7">
              <w:rPr>
                <w:sz w:val="20"/>
                <w:szCs w:val="20"/>
              </w:rPr>
              <w:t>2011 policy treatment</w:t>
            </w:r>
          </w:p>
        </w:tc>
        <w:tc>
          <w:tcPr>
            <w:tcW w:w="0" w:type="auto"/>
            <w:tcBorders>
              <w:top w:val="single" w:sz="4" w:space="0" w:color="auto"/>
              <w:bottom w:val="nil"/>
            </w:tcBorders>
          </w:tcPr>
          <w:p w14:paraId="2F8771C3" w14:textId="77777777" w:rsidR="005C7B9C" w:rsidRPr="00226AB7" w:rsidRDefault="005C7B9C">
            <w:pPr>
              <w:contextualSpacing/>
              <w:jc w:val="center"/>
              <w:rPr>
                <w:sz w:val="20"/>
                <w:szCs w:val="20"/>
              </w:rPr>
            </w:pPr>
            <w:r>
              <w:rPr>
                <w:sz w:val="20"/>
                <w:szCs w:val="20"/>
              </w:rPr>
              <w:t>2000-02 omitted</w:t>
            </w:r>
          </w:p>
        </w:tc>
        <w:tc>
          <w:tcPr>
            <w:tcW w:w="0" w:type="auto"/>
            <w:tcBorders>
              <w:top w:val="single" w:sz="4" w:space="0" w:color="auto"/>
              <w:bottom w:val="nil"/>
            </w:tcBorders>
          </w:tcPr>
          <w:p w14:paraId="7A2419D5" w14:textId="77777777" w:rsidR="005C7B9C" w:rsidRPr="00226AB7" w:rsidRDefault="005C7B9C">
            <w:pPr>
              <w:contextualSpacing/>
              <w:jc w:val="center"/>
              <w:rPr>
                <w:sz w:val="20"/>
                <w:szCs w:val="20"/>
              </w:rPr>
            </w:pPr>
            <w:r>
              <w:rPr>
                <w:sz w:val="20"/>
                <w:szCs w:val="20"/>
              </w:rPr>
              <w:t>Propensity score</w:t>
            </w:r>
          </w:p>
        </w:tc>
        <w:tc>
          <w:tcPr>
            <w:tcW w:w="0" w:type="auto"/>
            <w:tcBorders>
              <w:top w:val="single" w:sz="4" w:space="0" w:color="auto"/>
              <w:bottom w:val="nil"/>
            </w:tcBorders>
          </w:tcPr>
          <w:p w14:paraId="55FFF1F8" w14:textId="77777777" w:rsidR="005C7B9C" w:rsidRDefault="005C7B9C">
            <w:pPr>
              <w:contextualSpacing/>
              <w:jc w:val="center"/>
              <w:rPr>
                <w:sz w:val="20"/>
                <w:szCs w:val="20"/>
              </w:rPr>
            </w:pPr>
          </w:p>
          <w:p w14:paraId="56F29F05" w14:textId="77777777" w:rsidR="005C7B9C" w:rsidRPr="00226AB7" w:rsidRDefault="005C7B9C">
            <w:pPr>
              <w:contextualSpacing/>
              <w:jc w:val="center"/>
              <w:rPr>
                <w:sz w:val="20"/>
                <w:szCs w:val="20"/>
              </w:rPr>
            </w:pPr>
            <w:r>
              <w:rPr>
                <w:sz w:val="20"/>
                <w:szCs w:val="20"/>
              </w:rPr>
              <w:t>Random</w:t>
            </w:r>
          </w:p>
        </w:tc>
        <w:tc>
          <w:tcPr>
            <w:tcW w:w="0" w:type="auto"/>
            <w:tcBorders>
              <w:top w:val="single" w:sz="4" w:space="0" w:color="auto"/>
              <w:bottom w:val="nil"/>
            </w:tcBorders>
          </w:tcPr>
          <w:p w14:paraId="34CB5A2F" w14:textId="77777777" w:rsidR="005C7B9C" w:rsidRPr="00226AB7" w:rsidRDefault="005C7B9C">
            <w:pPr>
              <w:contextualSpacing/>
              <w:jc w:val="center"/>
              <w:rPr>
                <w:sz w:val="20"/>
                <w:szCs w:val="20"/>
              </w:rPr>
            </w:pPr>
            <w:r>
              <w:rPr>
                <w:sz w:val="20"/>
                <w:szCs w:val="20"/>
              </w:rPr>
              <w:t>Transfers omitted</w:t>
            </w:r>
          </w:p>
        </w:tc>
        <w:tc>
          <w:tcPr>
            <w:tcW w:w="0" w:type="auto"/>
            <w:tcBorders>
              <w:top w:val="single" w:sz="4" w:space="0" w:color="auto"/>
              <w:bottom w:val="nil"/>
            </w:tcBorders>
          </w:tcPr>
          <w:p w14:paraId="784F8EF8" w14:textId="77777777" w:rsidR="005C7B9C" w:rsidRPr="00226AB7" w:rsidRDefault="005C7B9C">
            <w:pPr>
              <w:contextualSpacing/>
              <w:jc w:val="center"/>
              <w:rPr>
                <w:sz w:val="20"/>
                <w:szCs w:val="20"/>
              </w:rPr>
            </w:pPr>
            <w:r>
              <w:rPr>
                <w:sz w:val="20"/>
                <w:szCs w:val="20"/>
              </w:rPr>
              <w:t>GSE-owned</w:t>
            </w:r>
          </w:p>
        </w:tc>
      </w:tr>
      <w:tr w:rsidR="005C7B9C" w:rsidRPr="00226AB7" w14:paraId="7D109B36" w14:textId="77777777" w:rsidTr="004C757C">
        <w:tc>
          <w:tcPr>
            <w:tcW w:w="0" w:type="auto"/>
          </w:tcPr>
          <w:p w14:paraId="102AF431" w14:textId="77777777" w:rsidR="005C7B9C" w:rsidRPr="00226AB7" w:rsidRDefault="005C7B9C">
            <w:pPr>
              <w:contextualSpacing/>
              <w:rPr>
                <w:sz w:val="20"/>
                <w:szCs w:val="20"/>
              </w:rPr>
            </w:pPr>
          </w:p>
        </w:tc>
        <w:tc>
          <w:tcPr>
            <w:tcW w:w="0" w:type="auto"/>
            <w:tcBorders>
              <w:top w:val="nil"/>
              <w:bottom w:val="single" w:sz="4" w:space="0" w:color="auto"/>
            </w:tcBorders>
            <w:vAlign w:val="bottom"/>
          </w:tcPr>
          <w:p w14:paraId="5AE6C8AD"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(1)</w:t>
            </w:r>
          </w:p>
        </w:tc>
        <w:tc>
          <w:tcPr>
            <w:tcW w:w="0" w:type="auto"/>
            <w:gridSpan w:val="2"/>
            <w:tcBorders>
              <w:top w:val="nil"/>
              <w:bottom w:val="single" w:sz="4" w:space="0" w:color="auto"/>
            </w:tcBorders>
            <w:vAlign w:val="bottom"/>
          </w:tcPr>
          <w:p w14:paraId="62AD7C9F"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(2)</w:t>
            </w:r>
          </w:p>
        </w:tc>
        <w:tc>
          <w:tcPr>
            <w:tcW w:w="0" w:type="auto"/>
            <w:tcBorders>
              <w:top w:val="nil"/>
              <w:bottom w:val="single" w:sz="4" w:space="0" w:color="auto"/>
            </w:tcBorders>
            <w:vAlign w:val="bottom"/>
          </w:tcPr>
          <w:p w14:paraId="3492CF8E"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(3)</w:t>
            </w:r>
          </w:p>
        </w:tc>
        <w:tc>
          <w:tcPr>
            <w:tcW w:w="0" w:type="auto"/>
            <w:tcBorders>
              <w:top w:val="nil"/>
              <w:bottom w:val="single" w:sz="4" w:space="0" w:color="auto"/>
            </w:tcBorders>
            <w:vAlign w:val="bottom"/>
          </w:tcPr>
          <w:p w14:paraId="7F3154B9"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(4)</w:t>
            </w:r>
          </w:p>
        </w:tc>
        <w:tc>
          <w:tcPr>
            <w:tcW w:w="0" w:type="auto"/>
            <w:tcBorders>
              <w:top w:val="nil"/>
              <w:bottom w:val="single" w:sz="4" w:space="0" w:color="auto"/>
            </w:tcBorders>
          </w:tcPr>
          <w:p w14:paraId="7650F72A" w14:textId="77777777" w:rsidR="005C7B9C" w:rsidRPr="00226AB7" w:rsidRDefault="005C7B9C" w:rsidP="009D6779">
            <w:pPr>
              <w:contextualSpacing/>
              <w:jc w:val="center"/>
              <w:rPr>
                <w:rFonts w:eastAsia="Times New Roman" w:cs="Calibri"/>
                <w:sz w:val="20"/>
                <w:szCs w:val="20"/>
              </w:rPr>
            </w:pPr>
            <w:r w:rsidRPr="00226AB7">
              <w:rPr>
                <w:rFonts w:eastAsia="Times New Roman" w:cs="Calibri"/>
                <w:sz w:val="20"/>
                <w:szCs w:val="20"/>
              </w:rPr>
              <w:t>(5)</w:t>
            </w:r>
          </w:p>
        </w:tc>
        <w:tc>
          <w:tcPr>
            <w:tcW w:w="0" w:type="auto"/>
            <w:tcBorders>
              <w:top w:val="nil"/>
              <w:bottom w:val="single" w:sz="4" w:space="0" w:color="auto"/>
            </w:tcBorders>
          </w:tcPr>
          <w:p w14:paraId="1B270A49"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(6)</w:t>
            </w:r>
          </w:p>
        </w:tc>
        <w:tc>
          <w:tcPr>
            <w:tcW w:w="0" w:type="auto"/>
            <w:tcBorders>
              <w:top w:val="nil"/>
              <w:bottom w:val="single" w:sz="4" w:space="0" w:color="auto"/>
            </w:tcBorders>
          </w:tcPr>
          <w:p w14:paraId="43C24818"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(7)</w:t>
            </w:r>
          </w:p>
        </w:tc>
        <w:tc>
          <w:tcPr>
            <w:tcW w:w="0" w:type="auto"/>
            <w:tcBorders>
              <w:top w:val="nil"/>
              <w:bottom w:val="single" w:sz="4" w:space="0" w:color="auto"/>
            </w:tcBorders>
          </w:tcPr>
          <w:p w14:paraId="0F5495B1"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(8)</w:t>
            </w:r>
          </w:p>
        </w:tc>
        <w:tc>
          <w:tcPr>
            <w:tcW w:w="0" w:type="auto"/>
            <w:tcBorders>
              <w:top w:val="nil"/>
              <w:bottom w:val="single" w:sz="4" w:space="0" w:color="auto"/>
            </w:tcBorders>
          </w:tcPr>
          <w:p w14:paraId="3AFF5A07"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(9)</w:t>
            </w:r>
          </w:p>
        </w:tc>
        <w:tc>
          <w:tcPr>
            <w:tcW w:w="0" w:type="auto"/>
            <w:tcBorders>
              <w:top w:val="nil"/>
              <w:bottom w:val="single" w:sz="4" w:space="0" w:color="auto"/>
            </w:tcBorders>
          </w:tcPr>
          <w:p w14:paraId="712D9741" w14:textId="77777777" w:rsidR="005C7B9C" w:rsidRPr="00226AB7" w:rsidRDefault="005C7B9C" w:rsidP="009D6779">
            <w:pPr>
              <w:contextualSpacing/>
              <w:jc w:val="center"/>
              <w:rPr>
                <w:rFonts w:eastAsia="Times New Roman" w:cs="Calibri"/>
                <w:sz w:val="20"/>
                <w:szCs w:val="20"/>
              </w:rPr>
            </w:pPr>
            <w:r>
              <w:rPr>
                <w:rFonts w:eastAsia="Times New Roman" w:cs="Calibri"/>
                <w:sz w:val="20"/>
                <w:szCs w:val="20"/>
              </w:rPr>
              <w:t>(10)</w:t>
            </w:r>
          </w:p>
        </w:tc>
      </w:tr>
      <w:tr w:rsidR="005C7B9C" w:rsidRPr="00226AB7" w14:paraId="2E9284A0" w14:textId="77777777" w:rsidTr="004C757C">
        <w:tc>
          <w:tcPr>
            <w:tcW w:w="0" w:type="auto"/>
            <w:vAlign w:val="bottom"/>
          </w:tcPr>
          <w:p w14:paraId="011F578A"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Subsidiary</w:t>
            </w:r>
          </w:p>
        </w:tc>
        <w:tc>
          <w:tcPr>
            <w:tcW w:w="0" w:type="auto"/>
            <w:tcBorders>
              <w:top w:val="single" w:sz="4" w:space="0" w:color="auto"/>
            </w:tcBorders>
            <w:vAlign w:val="bottom"/>
          </w:tcPr>
          <w:p w14:paraId="2A6DF26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-1.228***</w:t>
            </w:r>
          </w:p>
        </w:tc>
        <w:tc>
          <w:tcPr>
            <w:tcW w:w="0" w:type="auto"/>
            <w:gridSpan w:val="2"/>
            <w:tcBorders>
              <w:top w:val="single" w:sz="4" w:space="0" w:color="auto"/>
            </w:tcBorders>
            <w:vAlign w:val="bottom"/>
          </w:tcPr>
          <w:p w14:paraId="56F9CFE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-1.469***</w:t>
            </w:r>
          </w:p>
        </w:tc>
        <w:tc>
          <w:tcPr>
            <w:tcW w:w="0" w:type="auto"/>
            <w:tcBorders>
              <w:top w:val="single" w:sz="4" w:space="0" w:color="auto"/>
            </w:tcBorders>
            <w:vAlign w:val="bottom"/>
          </w:tcPr>
          <w:p w14:paraId="48AAD9B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-1.143***</w:t>
            </w:r>
          </w:p>
        </w:tc>
        <w:tc>
          <w:tcPr>
            <w:tcW w:w="0" w:type="auto"/>
            <w:tcBorders>
              <w:top w:val="single" w:sz="4" w:space="0" w:color="auto"/>
            </w:tcBorders>
            <w:vAlign w:val="bottom"/>
          </w:tcPr>
          <w:p w14:paraId="5D6FAB41"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-1.257***</w:t>
            </w:r>
          </w:p>
        </w:tc>
        <w:tc>
          <w:tcPr>
            <w:tcW w:w="0" w:type="auto"/>
            <w:tcBorders>
              <w:top w:val="single" w:sz="4" w:space="0" w:color="auto"/>
            </w:tcBorders>
            <w:vAlign w:val="bottom"/>
          </w:tcPr>
          <w:p w14:paraId="33CB223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-1.439***</w:t>
            </w:r>
          </w:p>
        </w:tc>
        <w:tc>
          <w:tcPr>
            <w:tcW w:w="0" w:type="auto"/>
            <w:tcBorders>
              <w:top w:val="single" w:sz="4" w:space="0" w:color="auto"/>
            </w:tcBorders>
            <w:vAlign w:val="bottom"/>
          </w:tcPr>
          <w:p w14:paraId="12ECA9B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-1.254***</w:t>
            </w:r>
          </w:p>
        </w:tc>
        <w:tc>
          <w:tcPr>
            <w:tcW w:w="0" w:type="auto"/>
            <w:tcBorders>
              <w:top w:val="single" w:sz="4" w:space="0" w:color="auto"/>
            </w:tcBorders>
            <w:vAlign w:val="bottom"/>
          </w:tcPr>
          <w:p w14:paraId="1C37B67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-1.142***</w:t>
            </w:r>
          </w:p>
        </w:tc>
        <w:tc>
          <w:tcPr>
            <w:tcW w:w="0" w:type="auto"/>
            <w:tcBorders>
              <w:top w:val="single" w:sz="4" w:space="0" w:color="auto"/>
            </w:tcBorders>
            <w:vAlign w:val="bottom"/>
          </w:tcPr>
          <w:p w14:paraId="20608732"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-1.178***</w:t>
            </w:r>
          </w:p>
        </w:tc>
        <w:tc>
          <w:tcPr>
            <w:tcW w:w="0" w:type="auto"/>
            <w:tcBorders>
              <w:top w:val="single" w:sz="4" w:space="0" w:color="auto"/>
            </w:tcBorders>
            <w:vAlign w:val="bottom"/>
          </w:tcPr>
          <w:p w14:paraId="322F3BF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-1.293***</w:t>
            </w:r>
          </w:p>
        </w:tc>
        <w:tc>
          <w:tcPr>
            <w:tcW w:w="0" w:type="auto"/>
            <w:tcBorders>
              <w:top w:val="single" w:sz="4" w:space="0" w:color="auto"/>
            </w:tcBorders>
            <w:vAlign w:val="bottom"/>
          </w:tcPr>
          <w:p w14:paraId="591C526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-1.347***</w:t>
            </w:r>
          </w:p>
        </w:tc>
      </w:tr>
      <w:tr w:rsidR="005C7B9C" w:rsidRPr="00226AB7" w14:paraId="607FD78C" w14:textId="77777777" w:rsidTr="004C757C">
        <w:tc>
          <w:tcPr>
            <w:tcW w:w="0" w:type="auto"/>
            <w:vAlign w:val="bottom"/>
          </w:tcPr>
          <w:p w14:paraId="45F6B8FA"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25233A4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(.127)</w:t>
            </w:r>
          </w:p>
        </w:tc>
        <w:tc>
          <w:tcPr>
            <w:tcW w:w="0" w:type="auto"/>
            <w:gridSpan w:val="2"/>
            <w:vAlign w:val="bottom"/>
          </w:tcPr>
          <w:p w14:paraId="537F2EA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(.179)</w:t>
            </w:r>
          </w:p>
        </w:tc>
        <w:tc>
          <w:tcPr>
            <w:tcW w:w="0" w:type="auto"/>
            <w:vAlign w:val="bottom"/>
          </w:tcPr>
          <w:p w14:paraId="512E72D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(.137)</w:t>
            </w:r>
          </w:p>
        </w:tc>
        <w:tc>
          <w:tcPr>
            <w:tcW w:w="0" w:type="auto"/>
            <w:vAlign w:val="bottom"/>
          </w:tcPr>
          <w:p w14:paraId="7DF9AE8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(.124)</w:t>
            </w:r>
          </w:p>
        </w:tc>
        <w:tc>
          <w:tcPr>
            <w:tcW w:w="0" w:type="auto"/>
            <w:vAlign w:val="bottom"/>
          </w:tcPr>
          <w:p w14:paraId="128220A1"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(.118)</w:t>
            </w:r>
          </w:p>
        </w:tc>
        <w:tc>
          <w:tcPr>
            <w:tcW w:w="0" w:type="auto"/>
            <w:vAlign w:val="bottom"/>
          </w:tcPr>
          <w:p w14:paraId="252A74D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(.169)</w:t>
            </w:r>
          </w:p>
        </w:tc>
        <w:tc>
          <w:tcPr>
            <w:tcW w:w="0" w:type="auto"/>
            <w:vAlign w:val="bottom"/>
          </w:tcPr>
          <w:p w14:paraId="68D21AD9"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(.148)</w:t>
            </w:r>
          </w:p>
        </w:tc>
        <w:tc>
          <w:tcPr>
            <w:tcW w:w="0" w:type="auto"/>
            <w:vAlign w:val="bottom"/>
          </w:tcPr>
          <w:p w14:paraId="5F5CEB7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(.134)</w:t>
            </w:r>
          </w:p>
        </w:tc>
        <w:tc>
          <w:tcPr>
            <w:tcW w:w="0" w:type="auto"/>
            <w:vAlign w:val="bottom"/>
          </w:tcPr>
          <w:p w14:paraId="0AC339D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(.131)</w:t>
            </w:r>
          </w:p>
        </w:tc>
        <w:tc>
          <w:tcPr>
            <w:tcW w:w="0" w:type="auto"/>
            <w:vAlign w:val="bottom"/>
          </w:tcPr>
          <w:p w14:paraId="7E8F74C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(.138)</w:t>
            </w:r>
          </w:p>
        </w:tc>
      </w:tr>
      <w:tr w:rsidR="005C7B9C" w:rsidRPr="00226AB7" w14:paraId="1275DAA3" w14:textId="77777777" w:rsidTr="004C757C">
        <w:tc>
          <w:tcPr>
            <w:tcW w:w="0" w:type="auto"/>
            <w:vAlign w:val="bottom"/>
          </w:tcPr>
          <w:p w14:paraId="237D0D5F"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Post</w:t>
            </w:r>
          </w:p>
        </w:tc>
        <w:tc>
          <w:tcPr>
            <w:tcW w:w="0" w:type="auto"/>
            <w:vAlign w:val="bottom"/>
          </w:tcPr>
          <w:p w14:paraId="0F76C47D"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-.508</w:t>
            </w:r>
          </w:p>
        </w:tc>
        <w:tc>
          <w:tcPr>
            <w:tcW w:w="0" w:type="auto"/>
            <w:gridSpan w:val="2"/>
            <w:vAlign w:val="bottom"/>
          </w:tcPr>
          <w:p w14:paraId="5A5CB41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-5.112</w:t>
            </w:r>
          </w:p>
        </w:tc>
        <w:tc>
          <w:tcPr>
            <w:tcW w:w="0" w:type="auto"/>
            <w:vAlign w:val="bottom"/>
          </w:tcPr>
          <w:p w14:paraId="3176D26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3.45***</w:t>
            </w:r>
          </w:p>
        </w:tc>
        <w:tc>
          <w:tcPr>
            <w:tcW w:w="0" w:type="auto"/>
            <w:vAlign w:val="bottom"/>
          </w:tcPr>
          <w:p w14:paraId="36722AF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-.926</w:t>
            </w:r>
          </w:p>
        </w:tc>
        <w:tc>
          <w:tcPr>
            <w:tcW w:w="0" w:type="auto"/>
            <w:vAlign w:val="bottom"/>
          </w:tcPr>
          <w:p w14:paraId="35E01DE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-1.158*</w:t>
            </w:r>
          </w:p>
        </w:tc>
        <w:tc>
          <w:tcPr>
            <w:tcW w:w="0" w:type="auto"/>
            <w:vAlign w:val="bottom"/>
          </w:tcPr>
          <w:p w14:paraId="71E791A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-.204</w:t>
            </w:r>
          </w:p>
        </w:tc>
        <w:tc>
          <w:tcPr>
            <w:tcW w:w="0" w:type="auto"/>
            <w:vAlign w:val="bottom"/>
          </w:tcPr>
          <w:p w14:paraId="5BCB03F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-.534</w:t>
            </w:r>
          </w:p>
        </w:tc>
        <w:tc>
          <w:tcPr>
            <w:tcW w:w="0" w:type="auto"/>
            <w:vAlign w:val="bottom"/>
          </w:tcPr>
          <w:p w14:paraId="1662F36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.474</w:t>
            </w:r>
          </w:p>
        </w:tc>
        <w:tc>
          <w:tcPr>
            <w:tcW w:w="0" w:type="auto"/>
            <w:vAlign w:val="bottom"/>
          </w:tcPr>
          <w:p w14:paraId="6D21128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-.561</w:t>
            </w:r>
          </w:p>
        </w:tc>
        <w:tc>
          <w:tcPr>
            <w:tcW w:w="0" w:type="auto"/>
            <w:vAlign w:val="bottom"/>
          </w:tcPr>
          <w:p w14:paraId="28D1C4C1"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-.554</w:t>
            </w:r>
          </w:p>
        </w:tc>
      </w:tr>
      <w:tr w:rsidR="005C7B9C" w:rsidRPr="00226AB7" w14:paraId="73CDE24F" w14:textId="77777777" w:rsidTr="004C757C">
        <w:tc>
          <w:tcPr>
            <w:tcW w:w="0" w:type="auto"/>
            <w:vAlign w:val="bottom"/>
          </w:tcPr>
          <w:p w14:paraId="4E514D5F" w14:textId="77777777" w:rsidR="005C7B9C" w:rsidRPr="00226AB7" w:rsidRDefault="005C7B9C"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20120B2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(.535)</w:t>
            </w:r>
          </w:p>
        </w:tc>
        <w:tc>
          <w:tcPr>
            <w:tcW w:w="0" w:type="auto"/>
            <w:gridSpan w:val="2"/>
            <w:vAlign w:val="bottom"/>
          </w:tcPr>
          <w:p w14:paraId="6F42C89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(3.408)</w:t>
            </w:r>
          </w:p>
        </w:tc>
        <w:tc>
          <w:tcPr>
            <w:tcW w:w="0" w:type="auto"/>
            <w:vAlign w:val="bottom"/>
          </w:tcPr>
          <w:p w14:paraId="7016E2A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(.459)</w:t>
            </w:r>
          </w:p>
        </w:tc>
        <w:tc>
          <w:tcPr>
            <w:tcW w:w="0" w:type="auto"/>
            <w:vAlign w:val="bottom"/>
          </w:tcPr>
          <w:p w14:paraId="39024D1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(.642)</w:t>
            </w:r>
          </w:p>
        </w:tc>
        <w:tc>
          <w:tcPr>
            <w:tcW w:w="0" w:type="auto"/>
            <w:vAlign w:val="bottom"/>
          </w:tcPr>
          <w:p w14:paraId="3270EA54"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(.600)</w:t>
            </w:r>
          </w:p>
        </w:tc>
        <w:tc>
          <w:tcPr>
            <w:tcW w:w="0" w:type="auto"/>
            <w:vAlign w:val="bottom"/>
          </w:tcPr>
          <w:p w14:paraId="30DA597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(.596)</w:t>
            </w:r>
          </w:p>
        </w:tc>
        <w:tc>
          <w:tcPr>
            <w:tcW w:w="0" w:type="auto"/>
            <w:vAlign w:val="bottom"/>
          </w:tcPr>
          <w:p w14:paraId="43A789A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(.723)</w:t>
            </w:r>
          </w:p>
        </w:tc>
        <w:tc>
          <w:tcPr>
            <w:tcW w:w="0" w:type="auto"/>
            <w:vAlign w:val="bottom"/>
          </w:tcPr>
          <w:p w14:paraId="0D5931A0"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(.716)</w:t>
            </w:r>
          </w:p>
        </w:tc>
        <w:tc>
          <w:tcPr>
            <w:tcW w:w="0" w:type="auto"/>
            <w:vAlign w:val="bottom"/>
          </w:tcPr>
          <w:p w14:paraId="31D18C0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(.538)</w:t>
            </w:r>
          </w:p>
        </w:tc>
        <w:tc>
          <w:tcPr>
            <w:tcW w:w="0" w:type="auto"/>
            <w:vAlign w:val="bottom"/>
          </w:tcPr>
          <w:p w14:paraId="4EF6F97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(.543)</w:t>
            </w:r>
          </w:p>
        </w:tc>
      </w:tr>
      <w:tr w:rsidR="005C7B9C" w:rsidRPr="00226AB7" w14:paraId="01942DA2" w14:textId="77777777" w:rsidTr="004C757C">
        <w:tc>
          <w:tcPr>
            <w:tcW w:w="0" w:type="auto"/>
            <w:vAlign w:val="bottom"/>
          </w:tcPr>
          <w:p w14:paraId="3C6FEFDA" w14:textId="77777777" w:rsidR="005C7B9C" w:rsidRPr="00226AB7" w:rsidRDefault="005C7B9C" w:rsidP="009D6779">
            <w:pPr>
              <w:contextualSpacing/>
              <w:rPr>
                <w:rFonts w:eastAsia="Times New Roman" w:cs="Calibri"/>
                <w:i/>
                <w:sz w:val="20"/>
                <w:szCs w:val="20"/>
              </w:rPr>
            </w:pPr>
            <w:r>
              <w:rPr>
                <w:rFonts w:eastAsia="Times New Roman" w:cs="Calibri"/>
                <w:i/>
                <w:sz w:val="20"/>
                <w:szCs w:val="20"/>
              </w:rPr>
              <w:t>Subsidiary</w:t>
            </w:r>
          </w:p>
        </w:tc>
        <w:tc>
          <w:tcPr>
            <w:tcW w:w="0" w:type="auto"/>
            <w:vAlign w:val="bottom"/>
          </w:tcPr>
          <w:p w14:paraId="2D51617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-.494**</w:t>
            </w:r>
          </w:p>
        </w:tc>
        <w:tc>
          <w:tcPr>
            <w:tcW w:w="0" w:type="auto"/>
            <w:gridSpan w:val="2"/>
            <w:vAlign w:val="bottom"/>
          </w:tcPr>
          <w:p w14:paraId="261552A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.158</w:t>
            </w:r>
          </w:p>
        </w:tc>
        <w:tc>
          <w:tcPr>
            <w:tcW w:w="0" w:type="auto"/>
            <w:vAlign w:val="bottom"/>
          </w:tcPr>
          <w:p w14:paraId="1B106F2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-.517**</w:t>
            </w:r>
          </w:p>
        </w:tc>
        <w:tc>
          <w:tcPr>
            <w:tcW w:w="0" w:type="auto"/>
            <w:vAlign w:val="bottom"/>
          </w:tcPr>
          <w:p w14:paraId="60857553"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-.435*</w:t>
            </w:r>
          </w:p>
        </w:tc>
        <w:tc>
          <w:tcPr>
            <w:tcW w:w="0" w:type="auto"/>
            <w:vAlign w:val="bottom"/>
          </w:tcPr>
          <w:p w14:paraId="4FC3FF8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.376</w:t>
            </w:r>
          </w:p>
        </w:tc>
        <w:tc>
          <w:tcPr>
            <w:tcW w:w="0" w:type="auto"/>
            <w:vAlign w:val="bottom"/>
          </w:tcPr>
          <w:p w14:paraId="2D2F849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-.705**</w:t>
            </w:r>
          </w:p>
        </w:tc>
        <w:tc>
          <w:tcPr>
            <w:tcW w:w="0" w:type="auto"/>
            <w:vAlign w:val="bottom"/>
          </w:tcPr>
          <w:p w14:paraId="12FE497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-.835***</w:t>
            </w:r>
          </w:p>
        </w:tc>
        <w:tc>
          <w:tcPr>
            <w:tcW w:w="0" w:type="auto"/>
            <w:vAlign w:val="bottom"/>
          </w:tcPr>
          <w:p w14:paraId="4054D49C"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-.720***</w:t>
            </w:r>
          </w:p>
        </w:tc>
        <w:tc>
          <w:tcPr>
            <w:tcW w:w="0" w:type="auto"/>
            <w:vAlign w:val="bottom"/>
          </w:tcPr>
          <w:p w14:paraId="116D4CFA"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-.234</w:t>
            </w:r>
          </w:p>
        </w:tc>
        <w:tc>
          <w:tcPr>
            <w:tcW w:w="0" w:type="auto"/>
            <w:vAlign w:val="bottom"/>
          </w:tcPr>
          <w:p w14:paraId="292EC04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-.757***</w:t>
            </w:r>
          </w:p>
        </w:tc>
      </w:tr>
      <w:tr w:rsidR="005C7B9C" w:rsidRPr="00226AB7" w14:paraId="455C4ACB" w14:textId="77777777" w:rsidTr="004C757C">
        <w:tc>
          <w:tcPr>
            <w:tcW w:w="0" w:type="auto"/>
          </w:tcPr>
          <w:p w14:paraId="2CA7434B" w14:textId="77777777" w:rsidR="005C7B9C" w:rsidRPr="009911DF" w:rsidRDefault="005C7B9C" w:rsidP="009D6779">
            <w:pPr>
              <w:contextualSpacing/>
              <w:rPr>
                <w:i/>
                <w:sz w:val="20"/>
                <w:szCs w:val="20"/>
              </w:rPr>
            </w:pPr>
            <w:r>
              <w:rPr>
                <w:i/>
                <w:sz w:val="20"/>
                <w:szCs w:val="20"/>
              </w:rPr>
              <w:t xml:space="preserve">   </w:t>
            </w:r>
            <w:r w:rsidRPr="009911DF">
              <w:rPr>
                <w:i/>
                <w:sz w:val="20"/>
                <w:szCs w:val="20"/>
              </w:rPr>
              <w:t>* Post</w:t>
            </w:r>
          </w:p>
        </w:tc>
        <w:tc>
          <w:tcPr>
            <w:tcW w:w="0" w:type="auto"/>
            <w:vAlign w:val="bottom"/>
          </w:tcPr>
          <w:p w14:paraId="27CD6ADE"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(.241)</w:t>
            </w:r>
          </w:p>
        </w:tc>
        <w:tc>
          <w:tcPr>
            <w:tcW w:w="0" w:type="auto"/>
            <w:gridSpan w:val="2"/>
            <w:vAlign w:val="bottom"/>
          </w:tcPr>
          <w:p w14:paraId="0E8984BB"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(.225)</w:t>
            </w:r>
          </w:p>
        </w:tc>
        <w:tc>
          <w:tcPr>
            <w:tcW w:w="0" w:type="auto"/>
            <w:vAlign w:val="bottom"/>
          </w:tcPr>
          <w:p w14:paraId="4CB5ACFF"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(.223)</w:t>
            </w:r>
          </w:p>
        </w:tc>
        <w:tc>
          <w:tcPr>
            <w:tcW w:w="0" w:type="auto"/>
            <w:vAlign w:val="bottom"/>
          </w:tcPr>
          <w:p w14:paraId="70BA978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(.249)</w:t>
            </w:r>
          </w:p>
        </w:tc>
        <w:tc>
          <w:tcPr>
            <w:tcW w:w="0" w:type="auto"/>
            <w:vAlign w:val="bottom"/>
          </w:tcPr>
          <w:p w14:paraId="4C9C5D78"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(.286)</w:t>
            </w:r>
          </w:p>
        </w:tc>
        <w:tc>
          <w:tcPr>
            <w:tcW w:w="0" w:type="auto"/>
            <w:vAlign w:val="bottom"/>
          </w:tcPr>
          <w:p w14:paraId="25BAB4D7"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(.299)</w:t>
            </w:r>
          </w:p>
        </w:tc>
        <w:tc>
          <w:tcPr>
            <w:tcW w:w="0" w:type="auto"/>
            <w:vAlign w:val="bottom"/>
          </w:tcPr>
          <w:p w14:paraId="06B8535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(.274)</w:t>
            </w:r>
          </w:p>
        </w:tc>
        <w:tc>
          <w:tcPr>
            <w:tcW w:w="0" w:type="auto"/>
            <w:vAlign w:val="bottom"/>
          </w:tcPr>
          <w:p w14:paraId="68619255"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(.264)</w:t>
            </w:r>
          </w:p>
        </w:tc>
        <w:tc>
          <w:tcPr>
            <w:tcW w:w="0" w:type="auto"/>
            <w:vAlign w:val="bottom"/>
          </w:tcPr>
          <w:p w14:paraId="0237B86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(.247)</w:t>
            </w:r>
          </w:p>
        </w:tc>
        <w:tc>
          <w:tcPr>
            <w:tcW w:w="0" w:type="auto"/>
            <w:vAlign w:val="bottom"/>
          </w:tcPr>
          <w:p w14:paraId="2EA9DBA6" w14:textId="77777777" w:rsidR="005C7B9C" w:rsidRDefault="005C7B9C" w:rsidP="009D6779">
            <w:pPr>
              <w:contextualSpacing/>
              <w:jc w:val="center"/>
              <w:rPr>
                <w:rFonts w:ascii="Calibri" w:hAnsi="Calibri" w:cs="Calibri"/>
                <w:sz w:val="20"/>
                <w:szCs w:val="20"/>
              </w:rPr>
            </w:pPr>
            <w:r>
              <w:rPr>
                <w:rFonts w:ascii="Calibri" w:hAnsi="Calibri" w:cs="Calibri"/>
                <w:sz w:val="20"/>
                <w:szCs w:val="20"/>
              </w:rPr>
              <w:t>(.251)</w:t>
            </w:r>
          </w:p>
        </w:tc>
      </w:tr>
    </w:tbl>
    <w:p w14:paraId="00AE3646" w14:textId="77777777" w:rsidR="00FF4EC3" w:rsidRDefault="00FF4EC3" w:rsidP="009D6779">
      <w:pPr>
        <w:spacing w:after="0"/>
        <w:contextualSpacing/>
      </w:pPr>
    </w:p>
    <w:p w14:paraId="3664DDD1" w14:textId="77777777" w:rsidR="004C09CB" w:rsidRDefault="004C09CB" w:rsidP="009D504D">
      <w:pPr>
        <w:spacing w:after="0"/>
        <w:contextualSpacing/>
      </w:pPr>
      <w:r>
        <w:br w:type="page"/>
      </w:r>
    </w:p>
    <w:p w14:paraId="569E7238" w14:textId="28DDD094" w:rsidR="004C09CB" w:rsidRPr="00871E25" w:rsidRDefault="004C09CB" w:rsidP="009D6779">
      <w:pPr>
        <w:spacing w:after="0"/>
        <w:contextualSpacing/>
        <w:rPr>
          <w:b/>
        </w:rPr>
      </w:pPr>
      <w:r>
        <w:rPr>
          <w:b/>
        </w:rPr>
        <w:lastRenderedPageBreak/>
        <w:t>Table A</w:t>
      </w:r>
      <w:r w:rsidR="003520CC">
        <w:rPr>
          <w:b/>
        </w:rPr>
        <w:t>1</w:t>
      </w:r>
      <w:r w:rsidR="00DC4756">
        <w:rPr>
          <w:b/>
        </w:rPr>
        <w:t>6</w:t>
      </w:r>
    </w:p>
    <w:p w14:paraId="1790A4BD" w14:textId="2CE5536E" w:rsidR="00312B59" w:rsidRDefault="004C09CB" w:rsidP="009D6779">
      <w:pPr>
        <w:spacing w:after="0"/>
        <w:contextualSpacing/>
      </w:pPr>
      <w:r>
        <w:t xml:space="preserve">Robustness checks of the main results for our full sample from Tables </w:t>
      </w:r>
      <w:r w:rsidR="009F7EF0">
        <w:t>7</w:t>
      </w:r>
      <w:r>
        <w:t xml:space="preserve"> and 1</w:t>
      </w:r>
      <w:r w:rsidR="009F7EF0">
        <w:t>0</w:t>
      </w:r>
      <w:r>
        <w:t>.  Panels A and B present results for key variables from multinomial logit regressions similar to those in Table</w:t>
      </w:r>
      <w:r w:rsidR="00CD4B2F">
        <w:t xml:space="preserve"> </w:t>
      </w:r>
      <w:r w:rsidR="009F7EF0">
        <w:t>7</w:t>
      </w:r>
      <w:r>
        <w:t>, based on monthly observations of first-lien, conventional, amortizing (non-balloon, non-interest only), fixed-rate mortgages for purchases of single-family residences or condominiums in Maryland and Virginia originated by nonbank originators between 2000 and 2015.  Panels C and D present results for key variables from two-stage least squares regressions similar to those in Table 1</w:t>
      </w:r>
      <w:r w:rsidR="009F7EF0">
        <w:t>0</w:t>
      </w:r>
      <w:r>
        <w:t xml:space="preserve">, based on loan-level observations of first-lien, conventional, amortizing (non-balloon, non-interest only), fixed-rate mortgages for purchases of single-family residences or condominiums in Maryland and Virginia originated by nonbank originators between 2000 and 2015. The samples represented in all panels are restricted to only subprime mortgages (defined as those originated to borrowers with a FICO score of 660 or less). </w:t>
      </w:r>
      <w:r w:rsidRPr="00EB01F8">
        <w:rPr>
          <w:i/>
        </w:rPr>
        <w:t>Subsidiary</w:t>
      </w:r>
      <w:r>
        <w:t xml:space="preserve"> equals 1 if the originator is a subsidiary nonbank, 0 if the originator is an independent nonbank. In column 1, </w:t>
      </w:r>
      <w:r w:rsidRPr="00EB01F8">
        <w:rPr>
          <w:i/>
        </w:rPr>
        <w:t>Post</w:t>
      </w:r>
      <w:r>
        <w:t xml:space="preserve"> equals 1 if the mortgage was originated after the September 14, 2009 Federal Reserve policy change, 0 otherwise.  All regression specifications include the same explanatory variables as in Tables </w:t>
      </w:r>
      <w:r w:rsidR="009F7EF0">
        <w:t>7</w:t>
      </w:r>
      <w:r w:rsidR="005C7B9C">
        <w:t xml:space="preserve"> </w:t>
      </w:r>
      <w:r>
        <w:t>(for Panels A and B) and 1</w:t>
      </w:r>
      <w:r w:rsidR="009F7EF0">
        <w:t>0</w:t>
      </w:r>
      <w:r>
        <w:t xml:space="preserve"> (for Panels C and D), omitted here for brevity.  (Full results are available from the authors upon request.)  Vintage year indicators and a constant term are included in each specification.  Standard errors (clustered by loan in Panels A and B) appear</w:t>
      </w:r>
      <w:r w:rsidRPr="00957138">
        <w:t xml:space="preserve"> in </w:t>
      </w:r>
      <w:r>
        <w:t>parentheses</w:t>
      </w:r>
      <w:r w:rsidRPr="00957138">
        <w:t xml:space="preserve">.  </w:t>
      </w:r>
      <w:r>
        <w:t xml:space="preserve">Levels of significance are indicated by *, **, and *** for 10%, 5%, and 1%, respectively.  Model 1 in Panels A and B and in Panels C and D show results from Tables </w:t>
      </w:r>
      <w:r w:rsidR="009F7EF0">
        <w:t>7</w:t>
      </w:r>
      <w:r>
        <w:t xml:space="preserve"> and 1</w:t>
      </w:r>
      <w:r w:rsidR="009F7EF0">
        <w:t>0</w:t>
      </w:r>
      <w:r>
        <w:t xml:space="preserve">, respectively.  Models 2 through 5 redefine </w:t>
      </w:r>
      <w:r w:rsidRPr="004961A2">
        <w:rPr>
          <w:i/>
        </w:rPr>
        <w:t>Post</w:t>
      </w:r>
      <w:r>
        <w:t xml:space="preserve"> to represent alternative policy treatment dates.  Model 6 restricts the sample to loans originated after 2002.  Models 7 and 8 use balanced subsamples created using a propensity score and through omitting randomly selected observations in each vintage year, respectively.  Model 9 omits loans that exit the sample due to a servicer transfer. Model 10 restricts the sample to loans owned by a government-sponsored enterprise at any point during the sample period.</w:t>
      </w:r>
    </w:p>
    <w:p w14:paraId="230CAAB2" w14:textId="77777777" w:rsidR="009D6779" w:rsidRDefault="009D6779" w:rsidP="009D6779">
      <w:pPr>
        <w:spacing w:after="0"/>
        <w:contextualSpacing/>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1150"/>
        <w:gridCol w:w="1298"/>
        <w:gridCol w:w="1298"/>
        <w:gridCol w:w="1298"/>
        <w:gridCol w:w="1298"/>
        <w:gridCol w:w="1128"/>
        <w:gridCol w:w="1096"/>
        <w:gridCol w:w="1131"/>
        <w:gridCol w:w="1119"/>
        <w:gridCol w:w="1098"/>
      </w:tblGrid>
      <w:tr w:rsidR="004C09CB" w:rsidRPr="00226AB7" w14:paraId="3DBFCB77" w14:textId="77777777" w:rsidTr="00B34F93">
        <w:tc>
          <w:tcPr>
            <w:tcW w:w="0" w:type="auto"/>
          </w:tcPr>
          <w:p w14:paraId="37FD45CE" w14:textId="77777777" w:rsidR="004C09CB" w:rsidRPr="00226AB7" w:rsidRDefault="004C09CB">
            <w:pPr>
              <w:contextualSpacing/>
              <w:rPr>
                <w:b/>
                <w:sz w:val="20"/>
                <w:szCs w:val="20"/>
              </w:rPr>
            </w:pPr>
            <w:r w:rsidRPr="00226AB7">
              <w:rPr>
                <w:b/>
                <w:sz w:val="20"/>
                <w:szCs w:val="20"/>
              </w:rPr>
              <w:t>Panel A</w:t>
            </w:r>
          </w:p>
        </w:tc>
        <w:tc>
          <w:tcPr>
            <w:tcW w:w="0" w:type="auto"/>
          </w:tcPr>
          <w:p w14:paraId="0A6BD332" w14:textId="77777777" w:rsidR="004C09CB" w:rsidRPr="00226AB7" w:rsidRDefault="004C09CB">
            <w:pPr>
              <w:contextualSpacing/>
              <w:rPr>
                <w:sz w:val="20"/>
                <w:szCs w:val="20"/>
              </w:rPr>
            </w:pPr>
          </w:p>
        </w:tc>
        <w:tc>
          <w:tcPr>
            <w:tcW w:w="0" w:type="auto"/>
          </w:tcPr>
          <w:p w14:paraId="6591D318" w14:textId="77777777" w:rsidR="004C09CB" w:rsidRPr="00226AB7" w:rsidRDefault="004C09CB">
            <w:pPr>
              <w:contextualSpacing/>
              <w:rPr>
                <w:sz w:val="20"/>
                <w:szCs w:val="20"/>
              </w:rPr>
            </w:pPr>
          </w:p>
        </w:tc>
        <w:tc>
          <w:tcPr>
            <w:tcW w:w="0" w:type="auto"/>
          </w:tcPr>
          <w:p w14:paraId="265C26D2" w14:textId="77777777" w:rsidR="004C09CB" w:rsidRPr="00226AB7" w:rsidRDefault="004C09CB">
            <w:pPr>
              <w:contextualSpacing/>
              <w:rPr>
                <w:sz w:val="20"/>
                <w:szCs w:val="20"/>
              </w:rPr>
            </w:pPr>
          </w:p>
        </w:tc>
        <w:tc>
          <w:tcPr>
            <w:tcW w:w="0" w:type="auto"/>
          </w:tcPr>
          <w:p w14:paraId="384A1DBB" w14:textId="77777777" w:rsidR="004C09CB" w:rsidRPr="00226AB7" w:rsidRDefault="004C09CB">
            <w:pPr>
              <w:contextualSpacing/>
              <w:rPr>
                <w:sz w:val="20"/>
                <w:szCs w:val="20"/>
              </w:rPr>
            </w:pPr>
          </w:p>
        </w:tc>
        <w:tc>
          <w:tcPr>
            <w:tcW w:w="0" w:type="auto"/>
          </w:tcPr>
          <w:p w14:paraId="0E6367CD" w14:textId="77777777" w:rsidR="004C09CB" w:rsidRPr="00226AB7" w:rsidRDefault="004C09CB">
            <w:pPr>
              <w:contextualSpacing/>
              <w:rPr>
                <w:sz w:val="20"/>
                <w:szCs w:val="20"/>
              </w:rPr>
            </w:pPr>
          </w:p>
        </w:tc>
        <w:tc>
          <w:tcPr>
            <w:tcW w:w="0" w:type="auto"/>
          </w:tcPr>
          <w:p w14:paraId="1691E749" w14:textId="77777777" w:rsidR="004C09CB" w:rsidRPr="00226AB7" w:rsidRDefault="004C09CB">
            <w:pPr>
              <w:contextualSpacing/>
              <w:rPr>
                <w:sz w:val="20"/>
                <w:szCs w:val="20"/>
              </w:rPr>
            </w:pPr>
          </w:p>
        </w:tc>
        <w:tc>
          <w:tcPr>
            <w:tcW w:w="1096" w:type="dxa"/>
          </w:tcPr>
          <w:p w14:paraId="76629DC1" w14:textId="77777777" w:rsidR="004C09CB" w:rsidRPr="00226AB7" w:rsidRDefault="004C09CB">
            <w:pPr>
              <w:contextualSpacing/>
              <w:rPr>
                <w:sz w:val="20"/>
                <w:szCs w:val="20"/>
              </w:rPr>
            </w:pPr>
          </w:p>
        </w:tc>
        <w:tc>
          <w:tcPr>
            <w:tcW w:w="1131" w:type="dxa"/>
          </w:tcPr>
          <w:p w14:paraId="404AE4D5" w14:textId="77777777" w:rsidR="004C09CB" w:rsidRPr="00226AB7" w:rsidRDefault="004C09CB">
            <w:pPr>
              <w:contextualSpacing/>
              <w:rPr>
                <w:sz w:val="20"/>
                <w:szCs w:val="20"/>
              </w:rPr>
            </w:pPr>
          </w:p>
        </w:tc>
        <w:tc>
          <w:tcPr>
            <w:tcW w:w="1119" w:type="dxa"/>
          </w:tcPr>
          <w:p w14:paraId="143992A1" w14:textId="77777777" w:rsidR="004C09CB" w:rsidRPr="00226AB7" w:rsidRDefault="004C09CB">
            <w:pPr>
              <w:contextualSpacing/>
              <w:rPr>
                <w:sz w:val="20"/>
                <w:szCs w:val="20"/>
              </w:rPr>
            </w:pPr>
          </w:p>
        </w:tc>
        <w:tc>
          <w:tcPr>
            <w:tcW w:w="1098" w:type="dxa"/>
          </w:tcPr>
          <w:p w14:paraId="7FBAD665" w14:textId="77777777" w:rsidR="004C09CB" w:rsidRPr="00226AB7" w:rsidRDefault="004C09CB">
            <w:pPr>
              <w:contextualSpacing/>
              <w:rPr>
                <w:sz w:val="20"/>
                <w:szCs w:val="20"/>
              </w:rPr>
            </w:pPr>
          </w:p>
        </w:tc>
      </w:tr>
      <w:tr w:rsidR="004C09CB" w:rsidRPr="00226AB7" w14:paraId="4A6357F9" w14:textId="77777777" w:rsidTr="00B34F93">
        <w:tc>
          <w:tcPr>
            <w:tcW w:w="0" w:type="auto"/>
          </w:tcPr>
          <w:p w14:paraId="01ED67EE" w14:textId="77777777" w:rsidR="004C09CB" w:rsidRPr="00226AB7" w:rsidRDefault="004C09CB">
            <w:pPr>
              <w:contextualSpacing/>
              <w:rPr>
                <w:sz w:val="20"/>
                <w:szCs w:val="20"/>
              </w:rPr>
            </w:pPr>
          </w:p>
        </w:tc>
        <w:tc>
          <w:tcPr>
            <w:tcW w:w="0" w:type="auto"/>
            <w:gridSpan w:val="10"/>
            <w:tcBorders>
              <w:bottom w:val="single" w:sz="4" w:space="0" w:color="auto"/>
            </w:tcBorders>
          </w:tcPr>
          <w:p w14:paraId="0BB8C4D2" w14:textId="77777777" w:rsidR="004C09CB" w:rsidRPr="00226AB7" w:rsidRDefault="004C09CB">
            <w:pPr>
              <w:contextualSpacing/>
              <w:jc w:val="center"/>
              <w:rPr>
                <w:sz w:val="20"/>
                <w:szCs w:val="20"/>
              </w:rPr>
            </w:pPr>
            <w:r>
              <w:rPr>
                <w:sz w:val="20"/>
                <w:szCs w:val="20"/>
              </w:rPr>
              <w:t>Probability of default</w:t>
            </w:r>
          </w:p>
        </w:tc>
      </w:tr>
      <w:tr w:rsidR="004C09CB" w:rsidRPr="00226AB7" w14:paraId="4E4A4486" w14:textId="77777777" w:rsidTr="00B34F93">
        <w:tc>
          <w:tcPr>
            <w:tcW w:w="0" w:type="auto"/>
          </w:tcPr>
          <w:p w14:paraId="6032D851" w14:textId="77777777" w:rsidR="004C09CB" w:rsidRPr="00226AB7" w:rsidRDefault="004C09CB">
            <w:pPr>
              <w:contextualSpacing/>
              <w:rPr>
                <w:sz w:val="20"/>
                <w:szCs w:val="20"/>
              </w:rPr>
            </w:pPr>
          </w:p>
        </w:tc>
        <w:tc>
          <w:tcPr>
            <w:tcW w:w="0" w:type="auto"/>
            <w:tcBorders>
              <w:top w:val="single" w:sz="4" w:space="0" w:color="auto"/>
              <w:bottom w:val="nil"/>
            </w:tcBorders>
          </w:tcPr>
          <w:p w14:paraId="19A1896C" w14:textId="15C80444" w:rsidR="004C09CB" w:rsidRPr="00226AB7" w:rsidRDefault="004C09CB">
            <w:pPr>
              <w:contextualSpacing/>
              <w:jc w:val="center"/>
              <w:rPr>
                <w:sz w:val="20"/>
                <w:szCs w:val="20"/>
              </w:rPr>
            </w:pPr>
            <w:r>
              <w:rPr>
                <w:sz w:val="20"/>
                <w:szCs w:val="20"/>
              </w:rPr>
              <w:t>Table</w:t>
            </w:r>
            <w:r w:rsidR="009F7EF0">
              <w:rPr>
                <w:sz w:val="20"/>
                <w:szCs w:val="20"/>
              </w:rPr>
              <w:t>7</w:t>
            </w:r>
            <w:r>
              <w:rPr>
                <w:sz w:val="20"/>
                <w:szCs w:val="20"/>
              </w:rPr>
              <w:t>, model 3</w:t>
            </w:r>
          </w:p>
        </w:tc>
        <w:tc>
          <w:tcPr>
            <w:tcW w:w="0" w:type="auto"/>
            <w:tcBorders>
              <w:top w:val="single" w:sz="4" w:space="0" w:color="auto"/>
              <w:bottom w:val="nil"/>
            </w:tcBorders>
          </w:tcPr>
          <w:p w14:paraId="6521C096" w14:textId="77777777" w:rsidR="004C09CB" w:rsidRPr="00226AB7" w:rsidRDefault="004C09CB">
            <w:pPr>
              <w:contextualSpacing/>
              <w:jc w:val="center"/>
              <w:rPr>
                <w:sz w:val="20"/>
                <w:szCs w:val="20"/>
              </w:rPr>
            </w:pPr>
            <w:r w:rsidRPr="00226AB7">
              <w:rPr>
                <w:sz w:val="20"/>
                <w:szCs w:val="20"/>
              </w:rPr>
              <w:t>2004 policy treatment</w:t>
            </w:r>
          </w:p>
        </w:tc>
        <w:tc>
          <w:tcPr>
            <w:tcW w:w="0" w:type="auto"/>
            <w:tcBorders>
              <w:top w:val="single" w:sz="4" w:space="0" w:color="auto"/>
              <w:bottom w:val="nil"/>
            </w:tcBorders>
          </w:tcPr>
          <w:p w14:paraId="5AE617DA" w14:textId="77777777" w:rsidR="004C09CB" w:rsidRPr="00226AB7" w:rsidRDefault="004C09CB">
            <w:pPr>
              <w:contextualSpacing/>
              <w:jc w:val="center"/>
              <w:rPr>
                <w:sz w:val="20"/>
                <w:szCs w:val="20"/>
              </w:rPr>
            </w:pPr>
            <w:r w:rsidRPr="00226AB7">
              <w:rPr>
                <w:sz w:val="20"/>
                <w:szCs w:val="20"/>
              </w:rPr>
              <w:t>2007 policy treatment</w:t>
            </w:r>
          </w:p>
        </w:tc>
        <w:tc>
          <w:tcPr>
            <w:tcW w:w="0" w:type="auto"/>
            <w:tcBorders>
              <w:top w:val="single" w:sz="4" w:space="0" w:color="auto"/>
              <w:bottom w:val="nil"/>
            </w:tcBorders>
          </w:tcPr>
          <w:p w14:paraId="482DEC79" w14:textId="77777777" w:rsidR="004C09CB" w:rsidRPr="00226AB7" w:rsidRDefault="004C09CB">
            <w:pPr>
              <w:contextualSpacing/>
              <w:jc w:val="center"/>
              <w:rPr>
                <w:sz w:val="20"/>
                <w:szCs w:val="20"/>
              </w:rPr>
            </w:pPr>
            <w:r w:rsidRPr="00226AB7">
              <w:rPr>
                <w:sz w:val="20"/>
                <w:szCs w:val="20"/>
              </w:rPr>
              <w:t>2010 policy treatment</w:t>
            </w:r>
          </w:p>
        </w:tc>
        <w:tc>
          <w:tcPr>
            <w:tcW w:w="0" w:type="auto"/>
            <w:tcBorders>
              <w:top w:val="single" w:sz="4" w:space="0" w:color="auto"/>
              <w:bottom w:val="nil"/>
            </w:tcBorders>
          </w:tcPr>
          <w:p w14:paraId="24D5B57A" w14:textId="77777777" w:rsidR="004C09CB" w:rsidRPr="00226AB7" w:rsidRDefault="004C09CB">
            <w:pPr>
              <w:contextualSpacing/>
              <w:jc w:val="center"/>
              <w:rPr>
                <w:sz w:val="20"/>
                <w:szCs w:val="20"/>
              </w:rPr>
            </w:pPr>
            <w:r w:rsidRPr="00226AB7">
              <w:rPr>
                <w:sz w:val="20"/>
                <w:szCs w:val="20"/>
              </w:rPr>
              <w:t>2011 policy treatment</w:t>
            </w:r>
          </w:p>
        </w:tc>
        <w:tc>
          <w:tcPr>
            <w:tcW w:w="0" w:type="auto"/>
            <w:tcBorders>
              <w:top w:val="single" w:sz="4" w:space="0" w:color="auto"/>
              <w:bottom w:val="nil"/>
            </w:tcBorders>
          </w:tcPr>
          <w:p w14:paraId="359FC2CB" w14:textId="77777777" w:rsidR="004C09CB" w:rsidRPr="00226AB7" w:rsidRDefault="004C09CB">
            <w:pPr>
              <w:contextualSpacing/>
              <w:jc w:val="center"/>
              <w:rPr>
                <w:sz w:val="20"/>
                <w:szCs w:val="20"/>
              </w:rPr>
            </w:pPr>
            <w:r>
              <w:rPr>
                <w:sz w:val="20"/>
                <w:szCs w:val="20"/>
              </w:rPr>
              <w:t>2000-02 omitted</w:t>
            </w:r>
          </w:p>
        </w:tc>
        <w:tc>
          <w:tcPr>
            <w:tcW w:w="1096" w:type="dxa"/>
            <w:tcBorders>
              <w:top w:val="single" w:sz="4" w:space="0" w:color="auto"/>
              <w:bottom w:val="nil"/>
            </w:tcBorders>
          </w:tcPr>
          <w:p w14:paraId="4D00A56F" w14:textId="77777777" w:rsidR="004C09CB" w:rsidRPr="00226AB7" w:rsidRDefault="004C09CB">
            <w:pPr>
              <w:contextualSpacing/>
              <w:jc w:val="center"/>
              <w:rPr>
                <w:sz w:val="20"/>
                <w:szCs w:val="20"/>
              </w:rPr>
            </w:pPr>
            <w:r>
              <w:rPr>
                <w:sz w:val="20"/>
                <w:szCs w:val="20"/>
              </w:rPr>
              <w:t>Propensity score</w:t>
            </w:r>
          </w:p>
        </w:tc>
        <w:tc>
          <w:tcPr>
            <w:tcW w:w="1131" w:type="dxa"/>
            <w:tcBorders>
              <w:top w:val="single" w:sz="4" w:space="0" w:color="auto"/>
              <w:bottom w:val="nil"/>
            </w:tcBorders>
          </w:tcPr>
          <w:p w14:paraId="2CD77C4D" w14:textId="77777777" w:rsidR="004C09CB" w:rsidRDefault="004C09CB">
            <w:pPr>
              <w:contextualSpacing/>
              <w:jc w:val="center"/>
              <w:rPr>
                <w:sz w:val="20"/>
                <w:szCs w:val="20"/>
              </w:rPr>
            </w:pPr>
          </w:p>
          <w:p w14:paraId="61C85BCE" w14:textId="77777777" w:rsidR="004C09CB" w:rsidRPr="00226AB7" w:rsidRDefault="004C09CB">
            <w:pPr>
              <w:contextualSpacing/>
              <w:jc w:val="center"/>
              <w:rPr>
                <w:sz w:val="20"/>
                <w:szCs w:val="20"/>
              </w:rPr>
            </w:pPr>
            <w:r>
              <w:rPr>
                <w:sz w:val="20"/>
                <w:szCs w:val="20"/>
              </w:rPr>
              <w:t>Random</w:t>
            </w:r>
          </w:p>
        </w:tc>
        <w:tc>
          <w:tcPr>
            <w:tcW w:w="1119" w:type="dxa"/>
            <w:tcBorders>
              <w:top w:val="single" w:sz="4" w:space="0" w:color="auto"/>
              <w:bottom w:val="nil"/>
            </w:tcBorders>
          </w:tcPr>
          <w:p w14:paraId="5E76D2C3" w14:textId="77777777" w:rsidR="004C09CB" w:rsidRPr="00226AB7" w:rsidRDefault="004C09CB">
            <w:pPr>
              <w:contextualSpacing/>
              <w:jc w:val="center"/>
              <w:rPr>
                <w:sz w:val="20"/>
                <w:szCs w:val="20"/>
              </w:rPr>
            </w:pPr>
            <w:r>
              <w:rPr>
                <w:sz w:val="20"/>
                <w:szCs w:val="20"/>
              </w:rPr>
              <w:t>Transfers omitted</w:t>
            </w:r>
          </w:p>
        </w:tc>
        <w:tc>
          <w:tcPr>
            <w:tcW w:w="1098" w:type="dxa"/>
            <w:tcBorders>
              <w:top w:val="single" w:sz="4" w:space="0" w:color="auto"/>
              <w:bottom w:val="nil"/>
            </w:tcBorders>
          </w:tcPr>
          <w:p w14:paraId="0F807662" w14:textId="77777777" w:rsidR="004C09CB" w:rsidRPr="00226AB7" w:rsidRDefault="004C09CB">
            <w:pPr>
              <w:contextualSpacing/>
              <w:jc w:val="center"/>
              <w:rPr>
                <w:sz w:val="20"/>
                <w:szCs w:val="20"/>
              </w:rPr>
            </w:pPr>
            <w:r>
              <w:rPr>
                <w:sz w:val="20"/>
                <w:szCs w:val="20"/>
              </w:rPr>
              <w:t>GSE-owned</w:t>
            </w:r>
          </w:p>
        </w:tc>
      </w:tr>
      <w:tr w:rsidR="004C09CB" w:rsidRPr="00226AB7" w14:paraId="2A0B3DCD" w14:textId="77777777" w:rsidTr="00B34F93">
        <w:tc>
          <w:tcPr>
            <w:tcW w:w="0" w:type="auto"/>
          </w:tcPr>
          <w:p w14:paraId="1233A7FE" w14:textId="77777777" w:rsidR="004C09CB" w:rsidRPr="00226AB7" w:rsidRDefault="004C09CB">
            <w:pPr>
              <w:contextualSpacing/>
              <w:rPr>
                <w:sz w:val="20"/>
                <w:szCs w:val="20"/>
              </w:rPr>
            </w:pPr>
          </w:p>
        </w:tc>
        <w:tc>
          <w:tcPr>
            <w:tcW w:w="0" w:type="auto"/>
            <w:tcBorders>
              <w:top w:val="nil"/>
              <w:bottom w:val="single" w:sz="4" w:space="0" w:color="auto"/>
            </w:tcBorders>
            <w:vAlign w:val="bottom"/>
          </w:tcPr>
          <w:p w14:paraId="62C0708C"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(1)</w:t>
            </w:r>
          </w:p>
        </w:tc>
        <w:tc>
          <w:tcPr>
            <w:tcW w:w="0" w:type="auto"/>
            <w:tcBorders>
              <w:top w:val="nil"/>
              <w:bottom w:val="single" w:sz="4" w:space="0" w:color="auto"/>
            </w:tcBorders>
            <w:vAlign w:val="bottom"/>
          </w:tcPr>
          <w:p w14:paraId="0BAA8A52"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(2)</w:t>
            </w:r>
          </w:p>
        </w:tc>
        <w:tc>
          <w:tcPr>
            <w:tcW w:w="0" w:type="auto"/>
            <w:tcBorders>
              <w:top w:val="nil"/>
              <w:bottom w:val="single" w:sz="4" w:space="0" w:color="auto"/>
            </w:tcBorders>
            <w:vAlign w:val="bottom"/>
          </w:tcPr>
          <w:p w14:paraId="28892F00"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(3)</w:t>
            </w:r>
          </w:p>
        </w:tc>
        <w:tc>
          <w:tcPr>
            <w:tcW w:w="0" w:type="auto"/>
            <w:tcBorders>
              <w:top w:val="nil"/>
              <w:bottom w:val="single" w:sz="4" w:space="0" w:color="auto"/>
            </w:tcBorders>
            <w:vAlign w:val="bottom"/>
          </w:tcPr>
          <w:p w14:paraId="31DCEA38"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(4)</w:t>
            </w:r>
          </w:p>
        </w:tc>
        <w:tc>
          <w:tcPr>
            <w:tcW w:w="0" w:type="auto"/>
            <w:tcBorders>
              <w:top w:val="nil"/>
              <w:bottom w:val="single" w:sz="4" w:space="0" w:color="auto"/>
            </w:tcBorders>
          </w:tcPr>
          <w:p w14:paraId="03122A4F"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(5)</w:t>
            </w:r>
          </w:p>
        </w:tc>
        <w:tc>
          <w:tcPr>
            <w:tcW w:w="0" w:type="auto"/>
            <w:tcBorders>
              <w:top w:val="nil"/>
              <w:bottom w:val="single" w:sz="4" w:space="0" w:color="auto"/>
            </w:tcBorders>
          </w:tcPr>
          <w:p w14:paraId="6AEDC282"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(6)</w:t>
            </w:r>
          </w:p>
        </w:tc>
        <w:tc>
          <w:tcPr>
            <w:tcW w:w="1096" w:type="dxa"/>
            <w:tcBorders>
              <w:top w:val="nil"/>
              <w:bottom w:val="single" w:sz="4" w:space="0" w:color="auto"/>
            </w:tcBorders>
          </w:tcPr>
          <w:p w14:paraId="3E4BDCB5"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(7)</w:t>
            </w:r>
          </w:p>
        </w:tc>
        <w:tc>
          <w:tcPr>
            <w:tcW w:w="1131" w:type="dxa"/>
            <w:tcBorders>
              <w:top w:val="nil"/>
              <w:bottom w:val="single" w:sz="4" w:space="0" w:color="auto"/>
            </w:tcBorders>
          </w:tcPr>
          <w:p w14:paraId="7F5ED04F"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(8)</w:t>
            </w:r>
          </w:p>
        </w:tc>
        <w:tc>
          <w:tcPr>
            <w:tcW w:w="1119" w:type="dxa"/>
            <w:tcBorders>
              <w:top w:val="nil"/>
              <w:bottom w:val="single" w:sz="4" w:space="0" w:color="auto"/>
            </w:tcBorders>
          </w:tcPr>
          <w:p w14:paraId="736A6E9E"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(9)</w:t>
            </w:r>
          </w:p>
        </w:tc>
        <w:tc>
          <w:tcPr>
            <w:tcW w:w="1098" w:type="dxa"/>
            <w:tcBorders>
              <w:top w:val="nil"/>
              <w:bottom w:val="single" w:sz="4" w:space="0" w:color="auto"/>
            </w:tcBorders>
          </w:tcPr>
          <w:p w14:paraId="5522906B"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(10)</w:t>
            </w:r>
          </w:p>
        </w:tc>
      </w:tr>
      <w:tr w:rsidR="004C09CB" w:rsidRPr="00226AB7" w14:paraId="0268E74D" w14:textId="77777777" w:rsidTr="00B34F93">
        <w:tc>
          <w:tcPr>
            <w:tcW w:w="0" w:type="auto"/>
            <w:vAlign w:val="bottom"/>
          </w:tcPr>
          <w:p w14:paraId="0C4EAEA7"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Subsidiary</w:t>
            </w:r>
          </w:p>
        </w:tc>
        <w:tc>
          <w:tcPr>
            <w:tcW w:w="0" w:type="auto"/>
            <w:tcBorders>
              <w:top w:val="single" w:sz="4" w:space="0" w:color="auto"/>
            </w:tcBorders>
            <w:vAlign w:val="bottom"/>
          </w:tcPr>
          <w:p w14:paraId="418EF39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-.0494</w:t>
            </w:r>
          </w:p>
        </w:tc>
        <w:tc>
          <w:tcPr>
            <w:tcW w:w="0" w:type="auto"/>
            <w:tcBorders>
              <w:top w:val="single" w:sz="4" w:space="0" w:color="auto"/>
            </w:tcBorders>
            <w:vAlign w:val="bottom"/>
          </w:tcPr>
          <w:p w14:paraId="2423C72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-.0217</w:t>
            </w:r>
          </w:p>
        </w:tc>
        <w:tc>
          <w:tcPr>
            <w:tcW w:w="0" w:type="auto"/>
            <w:tcBorders>
              <w:top w:val="single" w:sz="4" w:space="0" w:color="auto"/>
            </w:tcBorders>
            <w:vAlign w:val="bottom"/>
          </w:tcPr>
          <w:p w14:paraId="0B9C71E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-.0317</w:t>
            </w:r>
          </w:p>
        </w:tc>
        <w:tc>
          <w:tcPr>
            <w:tcW w:w="0" w:type="auto"/>
            <w:tcBorders>
              <w:top w:val="single" w:sz="4" w:space="0" w:color="auto"/>
            </w:tcBorders>
            <w:vAlign w:val="bottom"/>
          </w:tcPr>
          <w:p w14:paraId="0BCA3DA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-.0497</w:t>
            </w:r>
          </w:p>
        </w:tc>
        <w:tc>
          <w:tcPr>
            <w:tcW w:w="0" w:type="auto"/>
            <w:tcBorders>
              <w:top w:val="single" w:sz="4" w:space="0" w:color="auto"/>
            </w:tcBorders>
            <w:vAlign w:val="bottom"/>
          </w:tcPr>
          <w:p w14:paraId="68ABF2E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-.0352</w:t>
            </w:r>
          </w:p>
        </w:tc>
        <w:tc>
          <w:tcPr>
            <w:tcW w:w="0" w:type="auto"/>
            <w:tcBorders>
              <w:top w:val="single" w:sz="4" w:space="0" w:color="auto"/>
            </w:tcBorders>
            <w:vAlign w:val="bottom"/>
          </w:tcPr>
          <w:p w14:paraId="279178F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-.0339</w:t>
            </w:r>
          </w:p>
        </w:tc>
        <w:tc>
          <w:tcPr>
            <w:tcW w:w="1096" w:type="dxa"/>
            <w:tcBorders>
              <w:top w:val="single" w:sz="4" w:space="0" w:color="auto"/>
            </w:tcBorders>
            <w:vAlign w:val="bottom"/>
          </w:tcPr>
          <w:p w14:paraId="12DA12F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-.108**</w:t>
            </w:r>
          </w:p>
        </w:tc>
        <w:tc>
          <w:tcPr>
            <w:tcW w:w="1131" w:type="dxa"/>
            <w:tcBorders>
              <w:top w:val="single" w:sz="4" w:space="0" w:color="auto"/>
            </w:tcBorders>
            <w:vAlign w:val="bottom"/>
          </w:tcPr>
          <w:p w14:paraId="53165DE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-.0259</w:t>
            </w:r>
          </w:p>
        </w:tc>
        <w:tc>
          <w:tcPr>
            <w:tcW w:w="1119" w:type="dxa"/>
            <w:tcBorders>
              <w:top w:val="single" w:sz="4" w:space="0" w:color="auto"/>
            </w:tcBorders>
            <w:vAlign w:val="bottom"/>
          </w:tcPr>
          <w:p w14:paraId="1C1D4E6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-.0439</w:t>
            </w:r>
          </w:p>
        </w:tc>
        <w:tc>
          <w:tcPr>
            <w:tcW w:w="1098" w:type="dxa"/>
            <w:tcBorders>
              <w:top w:val="single" w:sz="4" w:space="0" w:color="auto"/>
            </w:tcBorders>
            <w:vAlign w:val="bottom"/>
          </w:tcPr>
          <w:p w14:paraId="2B554C9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.0113</w:t>
            </w:r>
          </w:p>
        </w:tc>
      </w:tr>
      <w:tr w:rsidR="004C09CB" w:rsidRPr="00226AB7" w14:paraId="45FF48BB" w14:textId="77777777" w:rsidTr="00B34F93">
        <w:tc>
          <w:tcPr>
            <w:tcW w:w="0" w:type="auto"/>
            <w:vAlign w:val="bottom"/>
          </w:tcPr>
          <w:p w14:paraId="0D7E144C"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38DD583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(.0446)</w:t>
            </w:r>
          </w:p>
        </w:tc>
        <w:tc>
          <w:tcPr>
            <w:tcW w:w="0" w:type="auto"/>
            <w:vAlign w:val="bottom"/>
          </w:tcPr>
          <w:p w14:paraId="1E8F089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(.106)</w:t>
            </w:r>
          </w:p>
        </w:tc>
        <w:tc>
          <w:tcPr>
            <w:tcW w:w="0" w:type="auto"/>
            <w:vAlign w:val="bottom"/>
          </w:tcPr>
          <w:p w14:paraId="70490F9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(.0495)</w:t>
            </w:r>
          </w:p>
        </w:tc>
        <w:tc>
          <w:tcPr>
            <w:tcW w:w="0" w:type="auto"/>
            <w:vAlign w:val="bottom"/>
          </w:tcPr>
          <w:p w14:paraId="3DE847C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(.0443)</w:t>
            </w:r>
          </w:p>
        </w:tc>
        <w:tc>
          <w:tcPr>
            <w:tcW w:w="0" w:type="auto"/>
            <w:vAlign w:val="bottom"/>
          </w:tcPr>
          <w:p w14:paraId="1315BBF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(.0434)</w:t>
            </w:r>
          </w:p>
        </w:tc>
        <w:tc>
          <w:tcPr>
            <w:tcW w:w="0" w:type="auto"/>
            <w:vAlign w:val="bottom"/>
          </w:tcPr>
          <w:p w14:paraId="43D8A81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(.0466)</w:t>
            </w:r>
          </w:p>
        </w:tc>
        <w:tc>
          <w:tcPr>
            <w:tcW w:w="1096" w:type="dxa"/>
            <w:vAlign w:val="bottom"/>
          </w:tcPr>
          <w:p w14:paraId="69B4EDB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(.0527)</w:t>
            </w:r>
          </w:p>
        </w:tc>
        <w:tc>
          <w:tcPr>
            <w:tcW w:w="1131" w:type="dxa"/>
            <w:vAlign w:val="bottom"/>
          </w:tcPr>
          <w:p w14:paraId="5D0F84C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(.0483)</w:t>
            </w:r>
          </w:p>
        </w:tc>
        <w:tc>
          <w:tcPr>
            <w:tcW w:w="1119" w:type="dxa"/>
            <w:vAlign w:val="bottom"/>
          </w:tcPr>
          <w:p w14:paraId="3764B7B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(.0452)</w:t>
            </w:r>
          </w:p>
        </w:tc>
        <w:tc>
          <w:tcPr>
            <w:tcW w:w="1098" w:type="dxa"/>
            <w:vAlign w:val="bottom"/>
          </w:tcPr>
          <w:p w14:paraId="2DE85B3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(.0477)</w:t>
            </w:r>
          </w:p>
        </w:tc>
      </w:tr>
      <w:tr w:rsidR="004C09CB" w:rsidRPr="00226AB7" w14:paraId="1EF1921F" w14:textId="77777777" w:rsidTr="00B34F93">
        <w:tc>
          <w:tcPr>
            <w:tcW w:w="0" w:type="auto"/>
            <w:vAlign w:val="bottom"/>
          </w:tcPr>
          <w:p w14:paraId="6D961748"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Post</w:t>
            </w:r>
          </w:p>
        </w:tc>
        <w:tc>
          <w:tcPr>
            <w:tcW w:w="0" w:type="auto"/>
            <w:vAlign w:val="bottom"/>
          </w:tcPr>
          <w:p w14:paraId="32080DD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-.438</w:t>
            </w:r>
          </w:p>
        </w:tc>
        <w:tc>
          <w:tcPr>
            <w:tcW w:w="0" w:type="auto"/>
            <w:vAlign w:val="bottom"/>
          </w:tcPr>
          <w:p w14:paraId="7A0774C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1.289***</w:t>
            </w:r>
          </w:p>
        </w:tc>
        <w:tc>
          <w:tcPr>
            <w:tcW w:w="0" w:type="auto"/>
            <w:vAlign w:val="bottom"/>
          </w:tcPr>
          <w:p w14:paraId="0B17CC5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.0969</w:t>
            </w:r>
          </w:p>
        </w:tc>
        <w:tc>
          <w:tcPr>
            <w:tcW w:w="0" w:type="auto"/>
            <w:vAlign w:val="bottom"/>
          </w:tcPr>
          <w:p w14:paraId="2B05E09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.110</w:t>
            </w:r>
          </w:p>
        </w:tc>
        <w:tc>
          <w:tcPr>
            <w:tcW w:w="0" w:type="auto"/>
            <w:vAlign w:val="bottom"/>
          </w:tcPr>
          <w:p w14:paraId="1B86F92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.298</w:t>
            </w:r>
          </w:p>
        </w:tc>
        <w:tc>
          <w:tcPr>
            <w:tcW w:w="0" w:type="auto"/>
            <w:vAlign w:val="bottom"/>
          </w:tcPr>
          <w:p w14:paraId="2410E1E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-.429</w:t>
            </w:r>
          </w:p>
        </w:tc>
        <w:tc>
          <w:tcPr>
            <w:tcW w:w="1096" w:type="dxa"/>
            <w:vAlign w:val="bottom"/>
          </w:tcPr>
          <w:p w14:paraId="36B800A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-.741</w:t>
            </w:r>
          </w:p>
        </w:tc>
        <w:tc>
          <w:tcPr>
            <w:tcW w:w="1131" w:type="dxa"/>
            <w:vAlign w:val="bottom"/>
          </w:tcPr>
          <w:p w14:paraId="4BFD484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-.279</w:t>
            </w:r>
          </w:p>
        </w:tc>
        <w:tc>
          <w:tcPr>
            <w:tcW w:w="1119" w:type="dxa"/>
            <w:vAlign w:val="bottom"/>
          </w:tcPr>
          <w:p w14:paraId="4EC9B3B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-.685**</w:t>
            </w:r>
          </w:p>
        </w:tc>
        <w:tc>
          <w:tcPr>
            <w:tcW w:w="1098" w:type="dxa"/>
            <w:vAlign w:val="bottom"/>
          </w:tcPr>
          <w:p w14:paraId="2AFF4B1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-.428</w:t>
            </w:r>
          </w:p>
        </w:tc>
      </w:tr>
      <w:tr w:rsidR="004C09CB" w:rsidRPr="00226AB7" w14:paraId="0229FE52" w14:textId="77777777" w:rsidTr="00B34F93">
        <w:tc>
          <w:tcPr>
            <w:tcW w:w="0" w:type="auto"/>
            <w:vAlign w:val="bottom"/>
          </w:tcPr>
          <w:p w14:paraId="347F6908"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16ED337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(.292)</w:t>
            </w:r>
          </w:p>
        </w:tc>
        <w:tc>
          <w:tcPr>
            <w:tcW w:w="0" w:type="auto"/>
            <w:vAlign w:val="bottom"/>
          </w:tcPr>
          <w:p w14:paraId="24DC5B1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(.360)</w:t>
            </w:r>
          </w:p>
        </w:tc>
        <w:tc>
          <w:tcPr>
            <w:tcW w:w="0" w:type="auto"/>
            <w:vAlign w:val="bottom"/>
          </w:tcPr>
          <w:p w14:paraId="349F225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(.0912)</w:t>
            </w:r>
          </w:p>
        </w:tc>
        <w:tc>
          <w:tcPr>
            <w:tcW w:w="0" w:type="auto"/>
            <w:vAlign w:val="bottom"/>
          </w:tcPr>
          <w:p w14:paraId="57F4A0F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(.277)</w:t>
            </w:r>
          </w:p>
        </w:tc>
        <w:tc>
          <w:tcPr>
            <w:tcW w:w="0" w:type="auto"/>
            <w:vAlign w:val="bottom"/>
          </w:tcPr>
          <w:p w14:paraId="5ED11E1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(.184)</w:t>
            </w:r>
          </w:p>
        </w:tc>
        <w:tc>
          <w:tcPr>
            <w:tcW w:w="0" w:type="auto"/>
            <w:vAlign w:val="bottom"/>
          </w:tcPr>
          <w:p w14:paraId="177D49A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(.291)</w:t>
            </w:r>
          </w:p>
        </w:tc>
        <w:tc>
          <w:tcPr>
            <w:tcW w:w="1096" w:type="dxa"/>
            <w:vAlign w:val="bottom"/>
          </w:tcPr>
          <w:p w14:paraId="3C80577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(.497)</w:t>
            </w:r>
          </w:p>
        </w:tc>
        <w:tc>
          <w:tcPr>
            <w:tcW w:w="1131" w:type="dxa"/>
            <w:vAlign w:val="bottom"/>
          </w:tcPr>
          <w:p w14:paraId="22A7BC4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(.366)</w:t>
            </w:r>
          </w:p>
        </w:tc>
        <w:tc>
          <w:tcPr>
            <w:tcW w:w="1119" w:type="dxa"/>
            <w:vAlign w:val="bottom"/>
          </w:tcPr>
          <w:p w14:paraId="17EFDAE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(.290)</w:t>
            </w:r>
          </w:p>
        </w:tc>
        <w:tc>
          <w:tcPr>
            <w:tcW w:w="1098" w:type="dxa"/>
            <w:vAlign w:val="bottom"/>
          </w:tcPr>
          <w:p w14:paraId="67AD65D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(.293)</w:t>
            </w:r>
          </w:p>
        </w:tc>
      </w:tr>
      <w:tr w:rsidR="004C09CB" w:rsidRPr="00226AB7" w14:paraId="7FBD0DE3" w14:textId="77777777" w:rsidTr="00B34F93">
        <w:tc>
          <w:tcPr>
            <w:tcW w:w="0" w:type="auto"/>
            <w:vAlign w:val="bottom"/>
          </w:tcPr>
          <w:p w14:paraId="200E4F41" w14:textId="77777777" w:rsidR="004C09CB" w:rsidRPr="00226AB7" w:rsidRDefault="004C09CB" w:rsidP="009D6779">
            <w:pPr>
              <w:contextualSpacing/>
              <w:rPr>
                <w:rFonts w:eastAsia="Times New Roman" w:cs="Calibri"/>
                <w:i/>
                <w:sz w:val="20"/>
                <w:szCs w:val="20"/>
              </w:rPr>
            </w:pPr>
            <w:r>
              <w:rPr>
                <w:rFonts w:eastAsia="Times New Roman" w:cs="Calibri"/>
                <w:i/>
                <w:sz w:val="20"/>
                <w:szCs w:val="20"/>
              </w:rPr>
              <w:t>Subsidiary</w:t>
            </w:r>
          </w:p>
        </w:tc>
        <w:tc>
          <w:tcPr>
            <w:tcW w:w="0" w:type="auto"/>
            <w:vAlign w:val="bottom"/>
          </w:tcPr>
          <w:p w14:paraId="600344A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-.177</w:t>
            </w:r>
          </w:p>
        </w:tc>
        <w:tc>
          <w:tcPr>
            <w:tcW w:w="0" w:type="auto"/>
            <w:vAlign w:val="bottom"/>
          </w:tcPr>
          <w:p w14:paraId="786ED6C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-.0561</w:t>
            </w:r>
          </w:p>
        </w:tc>
        <w:tc>
          <w:tcPr>
            <w:tcW w:w="0" w:type="auto"/>
            <w:vAlign w:val="bottom"/>
          </w:tcPr>
          <w:p w14:paraId="4F3244A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-.126</w:t>
            </w:r>
          </w:p>
        </w:tc>
        <w:tc>
          <w:tcPr>
            <w:tcW w:w="0" w:type="auto"/>
            <w:vAlign w:val="bottom"/>
          </w:tcPr>
          <w:p w14:paraId="56812CC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-.185</w:t>
            </w:r>
          </w:p>
        </w:tc>
        <w:tc>
          <w:tcPr>
            <w:tcW w:w="0" w:type="auto"/>
            <w:vAlign w:val="bottom"/>
          </w:tcPr>
          <w:p w14:paraId="349F0A1C"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-.520***</w:t>
            </w:r>
          </w:p>
        </w:tc>
        <w:tc>
          <w:tcPr>
            <w:tcW w:w="0" w:type="auto"/>
            <w:vAlign w:val="bottom"/>
          </w:tcPr>
          <w:p w14:paraId="5453A2C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-.186</w:t>
            </w:r>
          </w:p>
        </w:tc>
        <w:tc>
          <w:tcPr>
            <w:tcW w:w="1096" w:type="dxa"/>
            <w:vAlign w:val="bottom"/>
          </w:tcPr>
          <w:p w14:paraId="27984E2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-.0925</w:t>
            </w:r>
          </w:p>
        </w:tc>
        <w:tc>
          <w:tcPr>
            <w:tcW w:w="1131" w:type="dxa"/>
            <w:vAlign w:val="bottom"/>
          </w:tcPr>
          <w:p w14:paraId="18FB58A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-.205</w:t>
            </w:r>
          </w:p>
        </w:tc>
        <w:tc>
          <w:tcPr>
            <w:tcW w:w="1119" w:type="dxa"/>
            <w:vAlign w:val="bottom"/>
          </w:tcPr>
          <w:p w14:paraId="7D83FB3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-.439***</w:t>
            </w:r>
          </w:p>
        </w:tc>
        <w:tc>
          <w:tcPr>
            <w:tcW w:w="1098" w:type="dxa"/>
            <w:vAlign w:val="bottom"/>
          </w:tcPr>
          <w:p w14:paraId="4B4A62CC"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-.239*</w:t>
            </w:r>
          </w:p>
        </w:tc>
      </w:tr>
      <w:tr w:rsidR="004C09CB" w:rsidRPr="00226AB7" w14:paraId="4558B857" w14:textId="77777777" w:rsidTr="00B34F93">
        <w:tc>
          <w:tcPr>
            <w:tcW w:w="0" w:type="auto"/>
            <w:tcBorders>
              <w:bottom w:val="single" w:sz="4" w:space="0" w:color="auto"/>
            </w:tcBorders>
          </w:tcPr>
          <w:p w14:paraId="12CABF3E" w14:textId="77777777" w:rsidR="004C09CB" w:rsidRPr="009911DF" w:rsidRDefault="004C09CB" w:rsidP="009D6779">
            <w:pPr>
              <w:contextualSpacing/>
              <w:rPr>
                <w:i/>
                <w:sz w:val="20"/>
                <w:szCs w:val="20"/>
              </w:rPr>
            </w:pPr>
            <w:r>
              <w:rPr>
                <w:i/>
                <w:sz w:val="20"/>
                <w:szCs w:val="20"/>
              </w:rPr>
              <w:t xml:space="preserve">   </w:t>
            </w:r>
            <w:r w:rsidRPr="009911DF">
              <w:rPr>
                <w:i/>
                <w:sz w:val="20"/>
                <w:szCs w:val="20"/>
              </w:rPr>
              <w:t>* Post</w:t>
            </w:r>
          </w:p>
        </w:tc>
        <w:tc>
          <w:tcPr>
            <w:tcW w:w="0" w:type="auto"/>
            <w:tcBorders>
              <w:bottom w:val="single" w:sz="4" w:space="0" w:color="auto"/>
            </w:tcBorders>
            <w:vAlign w:val="bottom"/>
          </w:tcPr>
          <w:p w14:paraId="0717781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(.125)</w:t>
            </w:r>
          </w:p>
        </w:tc>
        <w:tc>
          <w:tcPr>
            <w:tcW w:w="0" w:type="auto"/>
            <w:tcBorders>
              <w:bottom w:val="single" w:sz="4" w:space="0" w:color="auto"/>
            </w:tcBorders>
            <w:vAlign w:val="bottom"/>
          </w:tcPr>
          <w:p w14:paraId="2A6666D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(.116)</w:t>
            </w:r>
          </w:p>
        </w:tc>
        <w:tc>
          <w:tcPr>
            <w:tcW w:w="0" w:type="auto"/>
            <w:tcBorders>
              <w:bottom w:val="single" w:sz="4" w:space="0" w:color="auto"/>
            </w:tcBorders>
            <w:vAlign w:val="bottom"/>
          </w:tcPr>
          <w:p w14:paraId="35841C3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(.0916)</w:t>
            </w:r>
          </w:p>
        </w:tc>
        <w:tc>
          <w:tcPr>
            <w:tcW w:w="0" w:type="auto"/>
            <w:tcBorders>
              <w:bottom w:val="single" w:sz="4" w:space="0" w:color="auto"/>
            </w:tcBorders>
            <w:vAlign w:val="bottom"/>
          </w:tcPr>
          <w:p w14:paraId="283A9F0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(.132)</w:t>
            </w:r>
          </w:p>
        </w:tc>
        <w:tc>
          <w:tcPr>
            <w:tcW w:w="0" w:type="auto"/>
            <w:tcBorders>
              <w:bottom w:val="single" w:sz="4" w:space="0" w:color="auto"/>
            </w:tcBorders>
            <w:vAlign w:val="bottom"/>
          </w:tcPr>
          <w:p w14:paraId="6BF49D5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(.169)</w:t>
            </w:r>
          </w:p>
        </w:tc>
        <w:tc>
          <w:tcPr>
            <w:tcW w:w="0" w:type="auto"/>
            <w:tcBorders>
              <w:bottom w:val="single" w:sz="4" w:space="0" w:color="auto"/>
            </w:tcBorders>
            <w:vAlign w:val="bottom"/>
          </w:tcPr>
          <w:p w14:paraId="2245413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(.125)</w:t>
            </w:r>
          </w:p>
        </w:tc>
        <w:tc>
          <w:tcPr>
            <w:tcW w:w="1096" w:type="dxa"/>
            <w:tcBorders>
              <w:bottom w:val="single" w:sz="4" w:space="0" w:color="auto"/>
            </w:tcBorders>
            <w:vAlign w:val="bottom"/>
          </w:tcPr>
          <w:p w14:paraId="55E2B0F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(.145)</w:t>
            </w:r>
          </w:p>
        </w:tc>
        <w:tc>
          <w:tcPr>
            <w:tcW w:w="1131" w:type="dxa"/>
            <w:tcBorders>
              <w:bottom w:val="single" w:sz="4" w:space="0" w:color="auto"/>
            </w:tcBorders>
            <w:vAlign w:val="bottom"/>
          </w:tcPr>
          <w:p w14:paraId="74ABEE7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(.132)</w:t>
            </w:r>
          </w:p>
        </w:tc>
        <w:tc>
          <w:tcPr>
            <w:tcW w:w="1119" w:type="dxa"/>
            <w:tcBorders>
              <w:bottom w:val="single" w:sz="4" w:space="0" w:color="auto"/>
            </w:tcBorders>
            <w:vAlign w:val="bottom"/>
          </w:tcPr>
          <w:p w14:paraId="02E812F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(.124)</w:t>
            </w:r>
          </w:p>
        </w:tc>
        <w:tc>
          <w:tcPr>
            <w:tcW w:w="1098" w:type="dxa"/>
            <w:tcBorders>
              <w:bottom w:val="single" w:sz="4" w:space="0" w:color="auto"/>
            </w:tcBorders>
            <w:vAlign w:val="bottom"/>
          </w:tcPr>
          <w:p w14:paraId="1C2B549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(.129)</w:t>
            </w:r>
          </w:p>
        </w:tc>
      </w:tr>
      <w:tr w:rsidR="004C09CB" w:rsidRPr="00226AB7" w14:paraId="54948811" w14:textId="77777777" w:rsidTr="00B34F93">
        <w:tc>
          <w:tcPr>
            <w:tcW w:w="0" w:type="auto"/>
            <w:tcBorders>
              <w:top w:val="single" w:sz="4" w:space="0" w:color="auto"/>
              <w:bottom w:val="nil"/>
            </w:tcBorders>
          </w:tcPr>
          <w:p w14:paraId="77A4B4C6" w14:textId="77777777" w:rsidR="004C09CB" w:rsidRPr="00226AB7" w:rsidRDefault="004C09CB">
            <w:pPr>
              <w:contextualSpacing/>
              <w:rPr>
                <w:b/>
                <w:sz w:val="20"/>
                <w:szCs w:val="20"/>
              </w:rPr>
            </w:pPr>
            <w:r w:rsidRPr="00226AB7">
              <w:rPr>
                <w:b/>
                <w:sz w:val="20"/>
                <w:szCs w:val="20"/>
              </w:rPr>
              <w:t>Panel B</w:t>
            </w:r>
          </w:p>
        </w:tc>
        <w:tc>
          <w:tcPr>
            <w:tcW w:w="0" w:type="auto"/>
            <w:tcBorders>
              <w:top w:val="single" w:sz="4" w:space="0" w:color="auto"/>
              <w:bottom w:val="nil"/>
            </w:tcBorders>
          </w:tcPr>
          <w:p w14:paraId="04B8019A" w14:textId="77777777" w:rsidR="004C09CB" w:rsidRPr="00226AB7" w:rsidRDefault="004C09CB">
            <w:pPr>
              <w:contextualSpacing/>
              <w:rPr>
                <w:sz w:val="20"/>
                <w:szCs w:val="20"/>
              </w:rPr>
            </w:pPr>
          </w:p>
        </w:tc>
        <w:tc>
          <w:tcPr>
            <w:tcW w:w="0" w:type="auto"/>
            <w:tcBorders>
              <w:top w:val="single" w:sz="4" w:space="0" w:color="auto"/>
              <w:bottom w:val="nil"/>
            </w:tcBorders>
          </w:tcPr>
          <w:p w14:paraId="22221331" w14:textId="77777777" w:rsidR="004C09CB" w:rsidRPr="00226AB7" w:rsidRDefault="004C09CB">
            <w:pPr>
              <w:contextualSpacing/>
              <w:rPr>
                <w:sz w:val="20"/>
                <w:szCs w:val="20"/>
              </w:rPr>
            </w:pPr>
          </w:p>
        </w:tc>
        <w:tc>
          <w:tcPr>
            <w:tcW w:w="0" w:type="auto"/>
            <w:tcBorders>
              <w:top w:val="single" w:sz="4" w:space="0" w:color="auto"/>
              <w:bottom w:val="nil"/>
            </w:tcBorders>
          </w:tcPr>
          <w:p w14:paraId="1046F2A8" w14:textId="77777777" w:rsidR="004C09CB" w:rsidRPr="00226AB7" w:rsidRDefault="004C09CB">
            <w:pPr>
              <w:contextualSpacing/>
              <w:rPr>
                <w:sz w:val="20"/>
                <w:szCs w:val="20"/>
              </w:rPr>
            </w:pPr>
          </w:p>
        </w:tc>
        <w:tc>
          <w:tcPr>
            <w:tcW w:w="0" w:type="auto"/>
            <w:tcBorders>
              <w:top w:val="single" w:sz="4" w:space="0" w:color="auto"/>
              <w:bottom w:val="nil"/>
            </w:tcBorders>
          </w:tcPr>
          <w:p w14:paraId="0CD7BED2" w14:textId="77777777" w:rsidR="004C09CB" w:rsidRPr="00226AB7" w:rsidRDefault="004C09CB">
            <w:pPr>
              <w:contextualSpacing/>
              <w:rPr>
                <w:sz w:val="20"/>
                <w:szCs w:val="20"/>
              </w:rPr>
            </w:pPr>
          </w:p>
        </w:tc>
        <w:tc>
          <w:tcPr>
            <w:tcW w:w="0" w:type="auto"/>
            <w:tcBorders>
              <w:top w:val="single" w:sz="4" w:space="0" w:color="auto"/>
              <w:bottom w:val="nil"/>
            </w:tcBorders>
          </w:tcPr>
          <w:p w14:paraId="4BC04313" w14:textId="77777777" w:rsidR="004C09CB" w:rsidRPr="00226AB7" w:rsidRDefault="004C09CB">
            <w:pPr>
              <w:contextualSpacing/>
              <w:rPr>
                <w:sz w:val="20"/>
                <w:szCs w:val="20"/>
              </w:rPr>
            </w:pPr>
          </w:p>
        </w:tc>
        <w:tc>
          <w:tcPr>
            <w:tcW w:w="0" w:type="auto"/>
            <w:tcBorders>
              <w:top w:val="single" w:sz="4" w:space="0" w:color="auto"/>
              <w:bottom w:val="nil"/>
            </w:tcBorders>
          </w:tcPr>
          <w:p w14:paraId="29DA0001" w14:textId="77777777" w:rsidR="004C09CB" w:rsidRPr="00226AB7" w:rsidRDefault="004C09CB">
            <w:pPr>
              <w:contextualSpacing/>
              <w:rPr>
                <w:sz w:val="20"/>
                <w:szCs w:val="20"/>
              </w:rPr>
            </w:pPr>
          </w:p>
        </w:tc>
        <w:tc>
          <w:tcPr>
            <w:tcW w:w="1096" w:type="dxa"/>
            <w:tcBorders>
              <w:top w:val="single" w:sz="4" w:space="0" w:color="auto"/>
              <w:bottom w:val="nil"/>
            </w:tcBorders>
          </w:tcPr>
          <w:p w14:paraId="2B3EE082" w14:textId="77777777" w:rsidR="004C09CB" w:rsidRPr="00226AB7" w:rsidRDefault="004C09CB">
            <w:pPr>
              <w:contextualSpacing/>
              <w:rPr>
                <w:sz w:val="20"/>
                <w:szCs w:val="20"/>
              </w:rPr>
            </w:pPr>
          </w:p>
        </w:tc>
        <w:tc>
          <w:tcPr>
            <w:tcW w:w="1131" w:type="dxa"/>
            <w:tcBorders>
              <w:top w:val="single" w:sz="4" w:space="0" w:color="auto"/>
              <w:bottom w:val="nil"/>
            </w:tcBorders>
          </w:tcPr>
          <w:p w14:paraId="2637B345" w14:textId="77777777" w:rsidR="004C09CB" w:rsidRPr="00226AB7" w:rsidRDefault="004C09CB">
            <w:pPr>
              <w:contextualSpacing/>
              <w:rPr>
                <w:sz w:val="20"/>
                <w:szCs w:val="20"/>
              </w:rPr>
            </w:pPr>
          </w:p>
        </w:tc>
        <w:tc>
          <w:tcPr>
            <w:tcW w:w="1119" w:type="dxa"/>
            <w:tcBorders>
              <w:top w:val="single" w:sz="4" w:space="0" w:color="auto"/>
              <w:bottom w:val="nil"/>
            </w:tcBorders>
          </w:tcPr>
          <w:p w14:paraId="41E521F4" w14:textId="77777777" w:rsidR="004C09CB" w:rsidRPr="00226AB7" w:rsidRDefault="004C09CB">
            <w:pPr>
              <w:contextualSpacing/>
              <w:rPr>
                <w:sz w:val="20"/>
                <w:szCs w:val="20"/>
              </w:rPr>
            </w:pPr>
          </w:p>
        </w:tc>
        <w:tc>
          <w:tcPr>
            <w:tcW w:w="1098" w:type="dxa"/>
            <w:tcBorders>
              <w:top w:val="single" w:sz="4" w:space="0" w:color="auto"/>
              <w:bottom w:val="nil"/>
            </w:tcBorders>
          </w:tcPr>
          <w:p w14:paraId="0E5456D9" w14:textId="77777777" w:rsidR="004C09CB" w:rsidRPr="00226AB7" w:rsidRDefault="004C09CB">
            <w:pPr>
              <w:contextualSpacing/>
              <w:rPr>
                <w:sz w:val="20"/>
                <w:szCs w:val="20"/>
              </w:rPr>
            </w:pPr>
          </w:p>
        </w:tc>
      </w:tr>
      <w:tr w:rsidR="004C09CB" w:rsidRPr="00226AB7" w14:paraId="3E448333" w14:textId="77777777" w:rsidTr="00B34F93">
        <w:tc>
          <w:tcPr>
            <w:tcW w:w="0" w:type="auto"/>
            <w:tcBorders>
              <w:top w:val="nil"/>
            </w:tcBorders>
          </w:tcPr>
          <w:p w14:paraId="6134C7B8" w14:textId="77777777" w:rsidR="004C09CB" w:rsidRPr="00226AB7" w:rsidRDefault="004C09CB">
            <w:pPr>
              <w:contextualSpacing/>
              <w:rPr>
                <w:sz w:val="20"/>
                <w:szCs w:val="20"/>
              </w:rPr>
            </w:pPr>
          </w:p>
        </w:tc>
        <w:tc>
          <w:tcPr>
            <w:tcW w:w="0" w:type="auto"/>
            <w:gridSpan w:val="10"/>
            <w:tcBorders>
              <w:top w:val="nil"/>
              <w:bottom w:val="single" w:sz="4" w:space="0" w:color="auto"/>
            </w:tcBorders>
          </w:tcPr>
          <w:p w14:paraId="40DECBFD" w14:textId="77777777" w:rsidR="004C09CB" w:rsidRPr="00226AB7" w:rsidRDefault="004C09CB">
            <w:pPr>
              <w:contextualSpacing/>
              <w:jc w:val="center"/>
              <w:rPr>
                <w:sz w:val="20"/>
                <w:szCs w:val="20"/>
              </w:rPr>
            </w:pPr>
            <w:r>
              <w:rPr>
                <w:sz w:val="20"/>
                <w:szCs w:val="20"/>
              </w:rPr>
              <w:t>Probability of prepayment</w:t>
            </w:r>
          </w:p>
        </w:tc>
      </w:tr>
      <w:tr w:rsidR="004C09CB" w:rsidRPr="00226AB7" w14:paraId="405664E5" w14:textId="77777777" w:rsidTr="00B34F93">
        <w:tc>
          <w:tcPr>
            <w:tcW w:w="0" w:type="auto"/>
          </w:tcPr>
          <w:p w14:paraId="656A10A5" w14:textId="77777777" w:rsidR="004C09CB" w:rsidRPr="00226AB7" w:rsidRDefault="004C09CB">
            <w:pPr>
              <w:contextualSpacing/>
              <w:rPr>
                <w:sz w:val="20"/>
                <w:szCs w:val="20"/>
              </w:rPr>
            </w:pPr>
          </w:p>
        </w:tc>
        <w:tc>
          <w:tcPr>
            <w:tcW w:w="0" w:type="auto"/>
            <w:tcBorders>
              <w:top w:val="single" w:sz="4" w:space="0" w:color="auto"/>
              <w:bottom w:val="nil"/>
            </w:tcBorders>
          </w:tcPr>
          <w:p w14:paraId="310D70F8" w14:textId="23EB67C9" w:rsidR="004C09CB" w:rsidRPr="00226AB7" w:rsidRDefault="004C09CB">
            <w:pPr>
              <w:contextualSpacing/>
              <w:jc w:val="center"/>
              <w:rPr>
                <w:sz w:val="20"/>
                <w:szCs w:val="20"/>
              </w:rPr>
            </w:pPr>
            <w:r>
              <w:rPr>
                <w:sz w:val="20"/>
                <w:szCs w:val="20"/>
              </w:rPr>
              <w:t xml:space="preserve">Table </w:t>
            </w:r>
            <w:r w:rsidR="00CD4B2F">
              <w:rPr>
                <w:sz w:val="20"/>
                <w:szCs w:val="20"/>
              </w:rPr>
              <w:t>7</w:t>
            </w:r>
            <w:r>
              <w:rPr>
                <w:sz w:val="20"/>
                <w:szCs w:val="20"/>
              </w:rPr>
              <w:t>, model 6</w:t>
            </w:r>
          </w:p>
        </w:tc>
        <w:tc>
          <w:tcPr>
            <w:tcW w:w="0" w:type="auto"/>
            <w:tcBorders>
              <w:top w:val="single" w:sz="4" w:space="0" w:color="auto"/>
              <w:bottom w:val="nil"/>
            </w:tcBorders>
          </w:tcPr>
          <w:p w14:paraId="6BB3AA90" w14:textId="77777777" w:rsidR="004C09CB" w:rsidRPr="00226AB7" w:rsidRDefault="004C09CB">
            <w:pPr>
              <w:contextualSpacing/>
              <w:jc w:val="center"/>
              <w:rPr>
                <w:sz w:val="20"/>
                <w:szCs w:val="20"/>
              </w:rPr>
            </w:pPr>
            <w:r w:rsidRPr="00226AB7">
              <w:rPr>
                <w:sz w:val="20"/>
                <w:szCs w:val="20"/>
              </w:rPr>
              <w:t>2004 policy treatment</w:t>
            </w:r>
          </w:p>
        </w:tc>
        <w:tc>
          <w:tcPr>
            <w:tcW w:w="0" w:type="auto"/>
            <w:tcBorders>
              <w:top w:val="single" w:sz="4" w:space="0" w:color="auto"/>
              <w:bottom w:val="nil"/>
            </w:tcBorders>
          </w:tcPr>
          <w:p w14:paraId="66A359A9" w14:textId="77777777" w:rsidR="004C09CB" w:rsidRPr="00226AB7" w:rsidRDefault="004C09CB">
            <w:pPr>
              <w:contextualSpacing/>
              <w:jc w:val="center"/>
              <w:rPr>
                <w:sz w:val="20"/>
                <w:szCs w:val="20"/>
              </w:rPr>
            </w:pPr>
            <w:r w:rsidRPr="00226AB7">
              <w:rPr>
                <w:sz w:val="20"/>
                <w:szCs w:val="20"/>
              </w:rPr>
              <w:t>2007 policy treatment</w:t>
            </w:r>
          </w:p>
        </w:tc>
        <w:tc>
          <w:tcPr>
            <w:tcW w:w="0" w:type="auto"/>
            <w:tcBorders>
              <w:top w:val="single" w:sz="4" w:space="0" w:color="auto"/>
              <w:bottom w:val="nil"/>
            </w:tcBorders>
          </w:tcPr>
          <w:p w14:paraId="23B39245" w14:textId="77777777" w:rsidR="004C09CB" w:rsidRPr="00226AB7" w:rsidRDefault="004C09CB">
            <w:pPr>
              <w:contextualSpacing/>
              <w:jc w:val="center"/>
              <w:rPr>
                <w:sz w:val="20"/>
                <w:szCs w:val="20"/>
              </w:rPr>
            </w:pPr>
            <w:r w:rsidRPr="00226AB7">
              <w:rPr>
                <w:sz w:val="20"/>
                <w:szCs w:val="20"/>
              </w:rPr>
              <w:t>2010 policy treatment</w:t>
            </w:r>
          </w:p>
        </w:tc>
        <w:tc>
          <w:tcPr>
            <w:tcW w:w="0" w:type="auto"/>
            <w:tcBorders>
              <w:top w:val="single" w:sz="4" w:space="0" w:color="auto"/>
              <w:bottom w:val="nil"/>
            </w:tcBorders>
          </w:tcPr>
          <w:p w14:paraId="3AFF2DCB" w14:textId="77777777" w:rsidR="004C09CB" w:rsidRPr="00226AB7" w:rsidRDefault="004C09CB">
            <w:pPr>
              <w:contextualSpacing/>
              <w:jc w:val="center"/>
              <w:rPr>
                <w:sz w:val="20"/>
                <w:szCs w:val="20"/>
              </w:rPr>
            </w:pPr>
            <w:r w:rsidRPr="00226AB7">
              <w:rPr>
                <w:sz w:val="20"/>
                <w:szCs w:val="20"/>
              </w:rPr>
              <w:t>2011 policy treatment</w:t>
            </w:r>
          </w:p>
        </w:tc>
        <w:tc>
          <w:tcPr>
            <w:tcW w:w="0" w:type="auto"/>
            <w:tcBorders>
              <w:top w:val="single" w:sz="4" w:space="0" w:color="auto"/>
              <w:bottom w:val="nil"/>
            </w:tcBorders>
          </w:tcPr>
          <w:p w14:paraId="6A8C9E95" w14:textId="77777777" w:rsidR="004C09CB" w:rsidRPr="00226AB7" w:rsidRDefault="004C09CB">
            <w:pPr>
              <w:contextualSpacing/>
              <w:jc w:val="center"/>
              <w:rPr>
                <w:sz w:val="20"/>
                <w:szCs w:val="20"/>
              </w:rPr>
            </w:pPr>
            <w:r>
              <w:rPr>
                <w:sz w:val="20"/>
                <w:szCs w:val="20"/>
              </w:rPr>
              <w:t>2000-02 omitted</w:t>
            </w:r>
          </w:p>
        </w:tc>
        <w:tc>
          <w:tcPr>
            <w:tcW w:w="1096" w:type="dxa"/>
            <w:tcBorders>
              <w:top w:val="single" w:sz="4" w:space="0" w:color="auto"/>
              <w:bottom w:val="nil"/>
            </w:tcBorders>
          </w:tcPr>
          <w:p w14:paraId="2FACB22A" w14:textId="77777777" w:rsidR="004C09CB" w:rsidRPr="00226AB7" w:rsidRDefault="004C09CB">
            <w:pPr>
              <w:contextualSpacing/>
              <w:jc w:val="center"/>
              <w:rPr>
                <w:sz w:val="20"/>
                <w:szCs w:val="20"/>
              </w:rPr>
            </w:pPr>
            <w:r>
              <w:rPr>
                <w:sz w:val="20"/>
                <w:szCs w:val="20"/>
              </w:rPr>
              <w:t>Propensity score</w:t>
            </w:r>
          </w:p>
        </w:tc>
        <w:tc>
          <w:tcPr>
            <w:tcW w:w="1131" w:type="dxa"/>
            <w:tcBorders>
              <w:top w:val="single" w:sz="4" w:space="0" w:color="auto"/>
              <w:bottom w:val="nil"/>
            </w:tcBorders>
          </w:tcPr>
          <w:p w14:paraId="0F3BCEA7" w14:textId="77777777" w:rsidR="004C09CB" w:rsidRDefault="004C09CB">
            <w:pPr>
              <w:contextualSpacing/>
              <w:jc w:val="center"/>
              <w:rPr>
                <w:sz w:val="20"/>
                <w:szCs w:val="20"/>
              </w:rPr>
            </w:pPr>
          </w:p>
          <w:p w14:paraId="04738489" w14:textId="77777777" w:rsidR="004C09CB" w:rsidRPr="00226AB7" w:rsidRDefault="004C09CB">
            <w:pPr>
              <w:contextualSpacing/>
              <w:jc w:val="center"/>
              <w:rPr>
                <w:sz w:val="20"/>
                <w:szCs w:val="20"/>
              </w:rPr>
            </w:pPr>
            <w:r>
              <w:rPr>
                <w:sz w:val="20"/>
                <w:szCs w:val="20"/>
              </w:rPr>
              <w:t>Random</w:t>
            </w:r>
          </w:p>
        </w:tc>
        <w:tc>
          <w:tcPr>
            <w:tcW w:w="1119" w:type="dxa"/>
            <w:tcBorders>
              <w:top w:val="single" w:sz="4" w:space="0" w:color="auto"/>
              <w:bottom w:val="nil"/>
            </w:tcBorders>
          </w:tcPr>
          <w:p w14:paraId="5EB02128" w14:textId="77777777" w:rsidR="004C09CB" w:rsidRPr="00226AB7" w:rsidRDefault="004C09CB">
            <w:pPr>
              <w:contextualSpacing/>
              <w:jc w:val="center"/>
              <w:rPr>
                <w:sz w:val="20"/>
                <w:szCs w:val="20"/>
              </w:rPr>
            </w:pPr>
            <w:r>
              <w:rPr>
                <w:sz w:val="20"/>
                <w:szCs w:val="20"/>
              </w:rPr>
              <w:t>Transfers omitted</w:t>
            </w:r>
          </w:p>
        </w:tc>
        <w:tc>
          <w:tcPr>
            <w:tcW w:w="1098" w:type="dxa"/>
            <w:tcBorders>
              <w:top w:val="single" w:sz="4" w:space="0" w:color="auto"/>
              <w:bottom w:val="nil"/>
            </w:tcBorders>
          </w:tcPr>
          <w:p w14:paraId="25F4EDE0" w14:textId="77777777" w:rsidR="004C09CB" w:rsidRPr="00226AB7" w:rsidRDefault="004C09CB">
            <w:pPr>
              <w:contextualSpacing/>
              <w:jc w:val="center"/>
              <w:rPr>
                <w:sz w:val="20"/>
                <w:szCs w:val="20"/>
              </w:rPr>
            </w:pPr>
            <w:r>
              <w:rPr>
                <w:sz w:val="20"/>
                <w:szCs w:val="20"/>
              </w:rPr>
              <w:t>GSE-owned</w:t>
            </w:r>
          </w:p>
        </w:tc>
      </w:tr>
      <w:tr w:rsidR="004C09CB" w:rsidRPr="00226AB7" w14:paraId="2E54057C" w14:textId="77777777" w:rsidTr="00B34F93">
        <w:tc>
          <w:tcPr>
            <w:tcW w:w="0" w:type="auto"/>
          </w:tcPr>
          <w:p w14:paraId="4D6979B6" w14:textId="77777777" w:rsidR="004C09CB" w:rsidRPr="00226AB7" w:rsidRDefault="004C09CB">
            <w:pPr>
              <w:contextualSpacing/>
              <w:rPr>
                <w:sz w:val="20"/>
                <w:szCs w:val="20"/>
              </w:rPr>
            </w:pPr>
          </w:p>
        </w:tc>
        <w:tc>
          <w:tcPr>
            <w:tcW w:w="0" w:type="auto"/>
            <w:tcBorders>
              <w:top w:val="nil"/>
              <w:bottom w:val="single" w:sz="4" w:space="0" w:color="auto"/>
            </w:tcBorders>
            <w:vAlign w:val="bottom"/>
          </w:tcPr>
          <w:p w14:paraId="626F10C2"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(1)</w:t>
            </w:r>
          </w:p>
        </w:tc>
        <w:tc>
          <w:tcPr>
            <w:tcW w:w="0" w:type="auto"/>
            <w:tcBorders>
              <w:top w:val="nil"/>
              <w:bottom w:val="single" w:sz="4" w:space="0" w:color="auto"/>
            </w:tcBorders>
            <w:vAlign w:val="bottom"/>
          </w:tcPr>
          <w:p w14:paraId="59E2D3EB"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(2)</w:t>
            </w:r>
          </w:p>
        </w:tc>
        <w:tc>
          <w:tcPr>
            <w:tcW w:w="0" w:type="auto"/>
            <w:tcBorders>
              <w:top w:val="nil"/>
              <w:bottom w:val="single" w:sz="4" w:space="0" w:color="auto"/>
            </w:tcBorders>
            <w:vAlign w:val="bottom"/>
          </w:tcPr>
          <w:p w14:paraId="6DE8B85C"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(3)</w:t>
            </w:r>
          </w:p>
        </w:tc>
        <w:tc>
          <w:tcPr>
            <w:tcW w:w="0" w:type="auto"/>
            <w:tcBorders>
              <w:top w:val="nil"/>
              <w:bottom w:val="single" w:sz="4" w:space="0" w:color="auto"/>
            </w:tcBorders>
            <w:vAlign w:val="bottom"/>
          </w:tcPr>
          <w:p w14:paraId="13F58109"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(4)</w:t>
            </w:r>
          </w:p>
        </w:tc>
        <w:tc>
          <w:tcPr>
            <w:tcW w:w="0" w:type="auto"/>
            <w:tcBorders>
              <w:top w:val="nil"/>
              <w:bottom w:val="single" w:sz="4" w:space="0" w:color="auto"/>
            </w:tcBorders>
          </w:tcPr>
          <w:p w14:paraId="4C63E10E"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(5)</w:t>
            </w:r>
          </w:p>
        </w:tc>
        <w:tc>
          <w:tcPr>
            <w:tcW w:w="0" w:type="auto"/>
            <w:tcBorders>
              <w:top w:val="nil"/>
              <w:bottom w:val="single" w:sz="4" w:space="0" w:color="auto"/>
            </w:tcBorders>
          </w:tcPr>
          <w:p w14:paraId="2EBDA510"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(6)</w:t>
            </w:r>
          </w:p>
        </w:tc>
        <w:tc>
          <w:tcPr>
            <w:tcW w:w="1096" w:type="dxa"/>
            <w:tcBorders>
              <w:top w:val="nil"/>
              <w:bottom w:val="single" w:sz="4" w:space="0" w:color="auto"/>
            </w:tcBorders>
          </w:tcPr>
          <w:p w14:paraId="3C721B86"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(7)</w:t>
            </w:r>
          </w:p>
        </w:tc>
        <w:tc>
          <w:tcPr>
            <w:tcW w:w="1131" w:type="dxa"/>
            <w:tcBorders>
              <w:top w:val="nil"/>
              <w:bottom w:val="single" w:sz="4" w:space="0" w:color="auto"/>
            </w:tcBorders>
          </w:tcPr>
          <w:p w14:paraId="0096ACD0"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(8)</w:t>
            </w:r>
          </w:p>
        </w:tc>
        <w:tc>
          <w:tcPr>
            <w:tcW w:w="1119" w:type="dxa"/>
            <w:tcBorders>
              <w:top w:val="nil"/>
              <w:bottom w:val="single" w:sz="4" w:space="0" w:color="auto"/>
            </w:tcBorders>
          </w:tcPr>
          <w:p w14:paraId="2F7065D4"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(9)</w:t>
            </w:r>
          </w:p>
        </w:tc>
        <w:tc>
          <w:tcPr>
            <w:tcW w:w="1098" w:type="dxa"/>
            <w:tcBorders>
              <w:top w:val="nil"/>
              <w:bottom w:val="single" w:sz="4" w:space="0" w:color="auto"/>
            </w:tcBorders>
          </w:tcPr>
          <w:p w14:paraId="05FF4DB0"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(10)</w:t>
            </w:r>
          </w:p>
        </w:tc>
      </w:tr>
      <w:tr w:rsidR="004C09CB" w:rsidRPr="00226AB7" w14:paraId="19478B4D" w14:textId="77777777" w:rsidTr="00B34F93">
        <w:tc>
          <w:tcPr>
            <w:tcW w:w="0" w:type="auto"/>
            <w:vAlign w:val="bottom"/>
          </w:tcPr>
          <w:p w14:paraId="68632C24"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Subsidiary</w:t>
            </w:r>
          </w:p>
        </w:tc>
        <w:tc>
          <w:tcPr>
            <w:tcW w:w="0" w:type="auto"/>
            <w:tcBorders>
              <w:top w:val="single" w:sz="4" w:space="0" w:color="auto"/>
            </w:tcBorders>
            <w:vAlign w:val="bottom"/>
          </w:tcPr>
          <w:p w14:paraId="3FA14B3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.0309</w:t>
            </w:r>
          </w:p>
        </w:tc>
        <w:tc>
          <w:tcPr>
            <w:tcW w:w="0" w:type="auto"/>
            <w:tcBorders>
              <w:top w:val="single" w:sz="4" w:space="0" w:color="auto"/>
            </w:tcBorders>
            <w:vAlign w:val="bottom"/>
          </w:tcPr>
          <w:p w14:paraId="29CF4EF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.0270</w:t>
            </w:r>
          </w:p>
        </w:tc>
        <w:tc>
          <w:tcPr>
            <w:tcW w:w="0" w:type="auto"/>
            <w:tcBorders>
              <w:top w:val="single" w:sz="4" w:space="0" w:color="auto"/>
            </w:tcBorders>
            <w:vAlign w:val="bottom"/>
          </w:tcPr>
          <w:p w14:paraId="1114B58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.0345</w:t>
            </w:r>
          </w:p>
        </w:tc>
        <w:tc>
          <w:tcPr>
            <w:tcW w:w="0" w:type="auto"/>
            <w:tcBorders>
              <w:top w:val="single" w:sz="4" w:space="0" w:color="auto"/>
            </w:tcBorders>
            <w:vAlign w:val="bottom"/>
          </w:tcPr>
          <w:p w14:paraId="6285533C"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.0306</w:t>
            </w:r>
          </w:p>
        </w:tc>
        <w:tc>
          <w:tcPr>
            <w:tcW w:w="0" w:type="auto"/>
            <w:tcBorders>
              <w:top w:val="single" w:sz="4" w:space="0" w:color="auto"/>
            </w:tcBorders>
            <w:vAlign w:val="bottom"/>
          </w:tcPr>
          <w:p w14:paraId="2FD7186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.0349</w:t>
            </w:r>
          </w:p>
        </w:tc>
        <w:tc>
          <w:tcPr>
            <w:tcW w:w="0" w:type="auto"/>
            <w:tcBorders>
              <w:top w:val="single" w:sz="4" w:space="0" w:color="auto"/>
            </w:tcBorders>
            <w:vAlign w:val="bottom"/>
          </w:tcPr>
          <w:p w14:paraId="69D0586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.0295</w:t>
            </w:r>
          </w:p>
        </w:tc>
        <w:tc>
          <w:tcPr>
            <w:tcW w:w="1096" w:type="dxa"/>
            <w:tcBorders>
              <w:top w:val="single" w:sz="4" w:space="0" w:color="auto"/>
            </w:tcBorders>
            <w:vAlign w:val="bottom"/>
          </w:tcPr>
          <w:p w14:paraId="78DC1C3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.142***</w:t>
            </w:r>
          </w:p>
        </w:tc>
        <w:tc>
          <w:tcPr>
            <w:tcW w:w="1131" w:type="dxa"/>
            <w:tcBorders>
              <w:top w:val="single" w:sz="4" w:space="0" w:color="auto"/>
            </w:tcBorders>
            <w:vAlign w:val="bottom"/>
          </w:tcPr>
          <w:p w14:paraId="2F34528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.0358</w:t>
            </w:r>
          </w:p>
        </w:tc>
        <w:tc>
          <w:tcPr>
            <w:tcW w:w="1119" w:type="dxa"/>
            <w:tcBorders>
              <w:top w:val="single" w:sz="4" w:space="0" w:color="auto"/>
            </w:tcBorders>
            <w:vAlign w:val="bottom"/>
          </w:tcPr>
          <w:p w14:paraId="054F2DB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.0277</w:t>
            </w:r>
          </w:p>
        </w:tc>
        <w:tc>
          <w:tcPr>
            <w:tcW w:w="1098" w:type="dxa"/>
            <w:tcBorders>
              <w:top w:val="single" w:sz="4" w:space="0" w:color="auto"/>
            </w:tcBorders>
            <w:vAlign w:val="bottom"/>
          </w:tcPr>
          <w:p w14:paraId="49994DB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.0777***</w:t>
            </w:r>
          </w:p>
        </w:tc>
      </w:tr>
      <w:tr w:rsidR="004C09CB" w:rsidRPr="00226AB7" w14:paraId="591F10FD" w14:textId="77777777" w:rsidTr="00B34F93">
        <w:tc>
          <w:tcPr>
            <w:tcW w:w="0" w:type="auto"/>
            <w:vAlign w:val="bottom"/>
          </w:tcPr>
          <w:p w14:paraId="68B7BB53"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6B9A3B6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(.0257)</w:t>
            </w:r>
          </w:p>
        </w:tc>
        <w:tc>
          <w:tcPr>
            <w:tcW w:w="0" w:type="auto"/>
            <w:vAlign w:val="bottom"/>
          </w:tcPr>
          <w:p w14:paraId="16E535C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(.0375)</w:t>
            </w:r>
          </w:p>
        </w:tc>
        <w:tc>
          <w:tcPr>
            <w:tcW w:w="0" w:type="auto"/>
            <w:vAlign w:val="bottom"/>
          </w:tcPr>
          <w:p w14:paraId="724E0EF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(.0268)</w:t>
            </w:r>
          </w:p>
        </w:tc>
        <w:tc>
          <w:tcPr>
            <w:tcW w:w="0" w:type="auto"/>
            <w:vAlign w:val="bottom"/>
          </w:tcPr>
          <w:p w14:paraId="37A08EC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(.0255)</w:t>
            </w:r>
          </w:p>
        </w:tc>
        <w:tc>
          <w:tcPr>
            <w:tcW w:w="0" w:type="auto"/>
            <w:vAlign w:val="bottom"/>
          </w:tcPr>
          <w:p w14:paraId="2592C7C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(.0253)</w:t>
            </w:r>
          </w:p>
        </w:tc>
        <w:tc>
          <w:tcPr>
            <w:tcW w:w="0" w:type="auto"/>
            <w:vAlign w:val="bottom"/>
          </w:tcPr>
          <w:p w14:paraId="0B07FD4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(.0317)</w:t>
            </w:r>
          </w:p>
        </w:tc>
        <w:tc>
          <w:tcPr>
            <w:tcW w:w="1096" w:type="dxa"/>
            <w:vAlign w:val="bottom"/>
          </w:tcPr>
          <w:p w14:paraId="4C8D808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(.0276)</w:t>
            </w:r>
          </w:p>
        </w:tc>
        <w:tc>
          <w:tcPr>
            <w:tcW w:w="1131" w:type="dxa"/>
            <w:vAlign w:val="bottom"/>
          </w:tcPr>
          <w:p w14:paraId="6B87FFF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(.0260)</w:t>
            </w:r>
          </w:p>
        </w:tc>
        <w:tc>
          <w:tcPr>
            <w:tcW w:w="1119" w:type="dxa"/>
            <w:vAlign w:val="bottom"/>
          </w:tcPr>
          <w:p w14:paraId="5B74D4B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(.0257)</w:t>
            </w:r>
          </w:p>
        </w:tc>
        <w:tc>
          <w:tcPr>
            <w:tcW w:w="1098" w:type="dxa"/>
            <w:vAlign w:val="bottom"/>
          </w:tcPr>
          <w:p w14:paraId="2C1267A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(.0274)</w:t>
            </w:r>
          </w:p>
        </w:tc>
      </w:tr>
      <w:tr w:rsidR="004C09CB" w:rsidRPr="00226AB7" w14:paraId="778EDC0B" w14:textId="77777777" w:rsidTr="00B34F93">
        <w:tc>
          <w:tcPr>
            <w:tcW w:w="0" w:type="auto"/>
            <w:vAlign w:val="bottom"/>
          </w:tcPr>
          <w:p w14:paraId="17DB90E8"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Post</w:t>
            </w:r>
          </w:p>
        </w:tc>
        <w:tc>
          <w:tcPr>
            <w:tcW w:w="0" w:type="auto"/>
            <w:vAlign w:val="bottom"/>
          </w:tcPr>
          <w:p w14:paraId="5D52C35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.192</w:t>
            </w:r>
          </w:p>
        </w:tc>
        <w:tc>
          <w:tcPr>
            <w:tcW w:w="0" w:type="auto"/>
            <w:vAlign w:val="bottom"/>
          </w:tcPr>
          <w:p w14:paraId="4B1C96C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.276*</w:t>
            </w:r>
          </w:p>
        </w:tc>
        <w:tc>
          <w:tcPr>
            <w:tcW w:w="0" w:type="auto"/>
            <w:vAlign w:val="bottom"/>
          </w:tcPr>
          <w:p w14:paraId="22D136A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.116</w:t>
            </w:r>
          </w:p>
        </w:tc>
        <w:tc>
          <w:tcPr>
            <w:tcW w:w="0" w:type="auto"/>
            <w:vAlign w:val="bottom"/>
          </w:tcPr>
          <w:p w14:paraId="4F2A366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-.445***</w:t>
            </w:r>
          </w:p>
        </w:tc>
        <w:tc>
          <w:tcPr>
            <w:tcW w:w="0" w:type="auto"/>
            <w:vAlign w:val="bottom"/>
          </w:tcPr>
          <w:p w14:paraId="2176CF5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.00616</w:t>
            </w:r>
          </w:p>
        </w:tc>
        <w:tc>
          <w:tcPr>
            <w:tcW w:w="0" w:type="auto"/>
            <w:vAlign w:val="bottom"/>
          </w:tcPr>
          <w:p w14:paraId="65FBF02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.224</w:t>
            </w:r>
          </w:p>
        </w:tc>
        <w:tc>
          <w:tcPr>
            <w:tcW w:w="1096" w:type="dxa"/>
            <w:vAlign w:val="bottom"/>
          </w:tcPr>
          <w:p w14:paraId="0D37E11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.310*</w:t>
            </w:r>
          </w:p>
        </w:tc>
        <w:tc>
          <w:tcPr>
            <w:tcW w:w="1131" w:type="dxa"/>
            <w:vAlign w:val="bottom"/>
          </w:tcPr>
          <w:p w14:paraId="33C293DC"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-.0442</w:t>
            </w:r>
          </w:p>
        </w:tc>
        <w:tc>
          <w:tcPr>
            <w:tcW w:w="1119" w:type="dxa"/>
            <w:vAlign w:val="bottom"/>
          </w:tcPr>
          <w:p w14:paraId="4AAF1F5C"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.0123</w:t>
            </w:r>
          </w:p>
        </w:tc>
        <w:tc>
          <w:tcPr>
            <w:tcW w:w="1098" w:type="dxa"/>
            <w:vAlign w:val="bottom"/>
          </w:tcPr>
          <w:p w14:paraId="3B52EE5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.182</w:t>
            </w:r>
          </w:p>
        </w:tc>
      </w:tr>
      <w:tr w:rsidR="004C09CB" w:rsidRPr="00226AB7" w14:paraId="77447CE2" w14:textId="77777777" w:rsidTr="00B34F93">
        <w:tc>
          <w:tcPr>
            <w:tcW w:w="0" w:type="auto"/>
            <w:vAlign w:val="bottom"/>
          </w:tcPr>
          <w:p w14:paraId="3E9C7AAC"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141AE8E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(.149)</w:t>
            </w:r>
          </w:p>
        </w:tc>
        <w:tc>
          <w:tcPr>
            <w:tcW w:w="0" w:type="auto"/>
            <w:vAlign w:val="bottom"/>
          </w:tcPr>
          <w:p w14:paraId="6764FC1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(.152)</w:t>
            </w:r>
          </w:p>
        </w:tc>
        <w:tc>
          <w:tcPr>
            <w:tcW w:w="0" w:type="auto"/>
            <w:vAlign w:val="bottom"/>
          </w:tcPr>
          <w:p w14:paraId="2828F8D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(.0831)</w:t>
            </w:r>
          </w:p>
        </w:tc>
        <w:tc>
          <w:tcPr>
            <w:tcW w:w="0" w:type="auto"/>
            <w:vAlign w:val="bottom"/>
          </w:tcPr>
          <w:p w14:paraId="46DE55AC"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(.164)</w:t>
            </w:r>
          </w:p>
        </w:tc>
        <w:tc>
          <w:tcPr>
            <w:tcW w:w="0" w:type="auto"/>
            <w:vAlign w:val="bottom"/>
          </w:tcPr>
          <w:p w14:paraId="5A8988F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(.133)</w:t>
            </w:r>
          </w:p>
        </w:tc>
        <w:tc>
          <w:tcPr>
            <w:tcW w:w="0" w:type="auto"/>
            <w:vAlign w:val="bottom"/>
          </w:tcPr>
          <w:p w14:paraId="695851A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(.146)</w:t>
            </w:r>
          </w:p>
        </w:tc>
        <w:tc>
          <w:tcPr>
            <w:tcW w:w="1096" w:type="dxa"/>
            <w:vAlign w:val="bottom"/>
          </w:tcPr>
          <w:p w14:paraId="7C408EE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(.173)</w:t>
            </w:r>
          </w:p>
        </w:tc>
        <w:tc>
          <w:tcPr>
            <w:tcW w:w="1131" w:type="dxa"/>
            <w:vAlign w:val="bottom"/>
          </w:tcPr>
          <w:p w14:paraId="53B68EE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(.201)</w:t>
            </w:r>
          </w:p>
        </w:tc>
        <w:tc>
          <w:tcPr>
            <w:tcW w:w="1119" w:type="dxa"/>
            <w:vAlign w:val="bottom"/>
          </w:tcPr>
          <w:p w14:paraId="1D95184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(.136)</w:t>
            </w:r>
          </w:p>
        </w:tc>
        <w:tc>
          <w:tcPr>
            <w:tcW w:w="1098" w:type="dxa"/>
            <w:vAlign w:val="bottom"/>
          </w:tcPr>
          <w:p w14:paraId="7BD00B0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(.153)</w:t>
            </w:r>
          </w:p>
        </w:tc>
      </w:tr>
      <w:tr w:rsidR="004C09CB" w:rsidRPr="00226AB7" w14:paraId="106B406C" w14:textId="77777777" w:rsidTr="00B34F93">
        <w:tc>
          <w:tcPr>
            <w:tcW w:w="0" w:type="auto"/>
            <w:vAlign w:val="bottom"/>
          </w:tcPr>
          <w:p w14:paraId="1977ECDB" w14:textId="77777777" w:rsidR="004C09CB" w:rsidRPr="00226AB7" w:rsidRDefault="004C09CB" w:rsidP="009D6779">
            <w:pPr>
              <w:contextualSpacing/>
              <w:rPr>
                <w:rFonts w:eastAsia="Times New Roman" w:cs="Calibri"/>
                <w:i/>
                <w:sz w:val="20"/>
                <w:szCs w:val="20"/>
              </w:rPr>
            </w:pPr>
            <w:r>
              <w:rPr>
                <w:rFonts w:eastAsia="Times New Roman" w:cs="Calibri"/>
                <w:i/>
                <w:sz w:val="20"/>
                <w:szCs w:val="20"/>
              </w:rPr>
              <w:t>Subsidiary</w:t>
            </w:r>
          </w:p>
        </w:tc>
        <w:tc>
          <w:tcPr>
            <w:tcW w:w="0" w:type="auto"/>
            <w:vAlign w:val="bottom"/>
          </w:tcPr>
          <w:p w14:paraId="28C63FB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.249***</w:t>
            </w:r>
          </w:p>
        </w:tc>
        <w:tc>
          <w:tcPr>
            <w:tcW w:w="0" w:type="auto"/>
            <w:vAlign w:val="bottom"/>
          </w:tcPr>
          <w:p w14:paraId="58860A4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.0412</w:t>
            </w:r>
          </w:p>
        </w:tc>
        <w:tc>
          <w:tcPr>
            <w:tcW w:w="0" w:type="auto"/>
            <w:vAlign w:val="bottom"/>
          </w:tcPr>
          <w:p w14:paraId="2944CFE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.114**</w:t>
            </w:r>
          </w:p>
        </w:tc>
        <w:tc>
          <w:tcPr>
            <w:tcW w:w="0" w:type="auto"/>
            <w:vAlign w:val="bottom"/>
          </w:tcPr>
          <w:p w14:paraId="4FE8E52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.264***</w:t>
            </w:r>
          </w:p>
        </w:tc>
        <w:tc>
          <w:tcPr>
            <w:tcW w:w="0" w:type="auto"/>
            <w:vAlign w:val="bottom"/>
          </w:tcPr>
          <w:p w14:paraId="34AAE16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.271***</w:t>
            </w:r>
          </w:p>
        </w:tc>
        <w:tc>
          <w:tcPr>
            <w:tcW w:w="0" w:type="auto"/>
            <w:vAlign w:val="bottom"/>
          </w:tcPr>
          <w:p w14:paraId="1A96120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.258***</w:t>
            </w:r>
          </w:p>
        </w:tc>
        <w:tc>
          <w:tcPr>
            <w:tcW w:w="1096" w:type="dxa"/>
            <w:vAlign w:val="bottom"/>
          </w:tcPr>
          <w:p w14:paraId="0A3E2F5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.202**</w:t>
            </w:r>
          </w:p>
        </w:tc>
        <w:tc>
          <w:tcPr>
            <w:tcW w:w="1131" w:type="dxa"/>
            <w:vAlign w:val="bottom"/>
          </w:tcPr>
          <w:p w14:paraId="0EAB218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.270***</w:t>
            </w:r>
          </w:p>
        </w:tc>
        <w:tc>
          <w:tcPr>
            <w:tcW w:w="1119" w:type="dxa"/>
            <w:vAlign w:val="bottom"/>
          </w:tcPr>
          <w:p w14:paraId="56321AB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.0751</w:t>
            </w:r>
          </w:p>
        </w:tc>
        <w:tc>
          <w:tcPr>
            <w:tcW w:w="1098" w:type="dxa"/>
            <w:vAlign w:val="bottom"/>
          </w:tcPr>
          <w:p w14:paraId="5B380D8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.184***</w:t>
            </w:r>
          </w:p>
        </w:tc>
      </w:tr>
      <w:tr w:rsidR="004C09CB" w:rsidRPr="00226AB7" w14:paraId="3AEA10B4" w14:textId="77777777" w:rsidTr="00B34F93">
        <w:tc>
          <w:tcPr>
            <w:tcW w:w="0" w:type="auto"/>
            <w:tcBorders>
              <w:bottom w:val="single" w:sz="4" w:space="0" w:color="auto"/>
            </w:tcBorders>
          </w:tcPr>
          <w:p w14:paraId="7D931CF0" w14:textId="77777777" w:rsidR="004C09CB" w:rsidRPr="009911DF" w:rsidRDefault="004C09CB" w:rsidP="009D6779">
            <w:pPr>
              <w:contextualSpacing/>
              <w:rPr>
                <w:i/>
                <w:sz w:val="20"/>
                <w:szCs w:val="20"/>
              </w:rPr>
            </w:pPr>
            <w:r>
              <w:rPr>
                <w:i/>
                <w:sz w:val="20"/>
                <w:szCs w:val="20"/>
              </w:rPr>
              <w:t xml:space="preserve">   </w:t>
            </w:r>
            <w:r w:rsidRPr="009911DF">
              <w:rPr>
                <w:i/>
                <w:sz w:val="20"/>
                <w:szCs w:val="20"/>
              </w:rPr>
              <w:t>* Post</w:t>
            </w:r>
          </w:p>
        </w:tc>
        <w:tc>
          <w:tcPr>
            <w:tcW w:w="0" w:type="auto"/>
            <w:tcBorders>
              <w:bottom w:val="single" w:sz="4" w:space="0" w:color="auto"/>
            </w:tcBorders>
            <w:vAlign w:val="bottom"/>
          </w:tcPr>
          <w:p w14:paraId="0FCA1BC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(.0639)</w:t>
            </w:r>
          </w:p>
        </w:tc>
        <w:tc>
          <w:tcPr>
            <w:tcW w:w="0" w:type="auto"/>
            <w:tcBorders>
              <w:bottom w:val="single" w:sz="4" w:space="0" w:color="auto"/>
            </w:tcBorders>
            <w:vAlign w:val="bottom"/>
          </w:tcPr>
          <w:p w14:paraId="5797524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(.0488)</w:t>
            </w:r>
          </w:p>
        </w:tc>
        <w:tc>
          <w:tcPr>
            <w:tcW w:w="0" w:type="auto"/>
            <w:tcBorders>
              <w:bottom w:val="single" w:sz="4" w:space="0" w:color="auto"/>
            </w:tcBorders>
            <w:vAlign w:val="bottom"/>
          </w:tcPr>
          <w:p w14:paraId="633BD96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(.0559)</w:t>
            </w:r>
          </w:p>
        </w:tc>
        <w:tc>
          <w:tcPr>
            <w:tcW w:w="0" w:type="auto"/>
            <w:tcBorders>
              <w:bottom w:val="single" w:sz="4" w:space="0" w:color="auto"/>
            </w:tcBorders>
            <w:vAlign w:val="bottom"/>
          </w:tcPr>
          <w:p w14:paraId="0A1081C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(.0674)</w:t>
            </w:r>
          </w:p>
        </w:tc>
        <w:tc>
          <w:tcPr>
            <w:tcW w:w="0" w:type="auto"/>
            <w:tcBorders>
              <w:bottom w:val="single" w:sz="4" w:space="0" w:color="auto"/>
            </w:tcBorders>
            <w:vAlign w:val="bottom"/>
          </w:tcPr>
          <w:p w14:paraId="364EEFE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(.0725)</w:t>
            </w:r>
          </w:p>
        </w:tc>
        <w:tc>
          <w:tcPr>
            <w:tcW w:w="0" w:type="auto"/>
            <w:tcBorders>
              <w:bottom w:val="single" w:sz="4" w:space="0" w:color="auto"/>
            </w:tcBorders>
            <w:vAlign w:val="bottom"/>
          </w:tcPr>
          <w:p w14:paraId="0D56578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(.0670)</w:t>
            </w:r>
          </w:p>
        </w:tc>
        <w:tc>
          <w:tcPr>
            <w:tcW w:w="1096" w:type="dxa"/>
            <w:tcBorders>
              <w:bottom w:val="single" w:sz="4" w:space="0" w:color="auto"/>
            </w:tcBorders>
            <w:vAlign w:val="bottom"/>
          </w:tcPr>
          <w:p w14:paraId="4467702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(.0801)</w:t>
            </w:r>
          </w:p>
        </w:tc>
        <w:tc>
          <w:tcPr>
            <w:tcW w:w="1131" w:type="dxa"/>
            <w:tcBorders>
              <w:bottom w:val="single" w:sz="4" w:space="0" w:color="auto"/>
            </w:tcBorders>
            <w:vAlign w:val="bottom"/>
          </w:tcPr>
          <w:p w14:paraId="4F46CA9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(.0690)</w:t>
            </w:r>
          </w:p>
        </w:tc>
        <w:tc>
          <w:tcPr>
            <w:tcW w:w="1119" w:type="dxa"/>
            <w:tcBorders>
              <w:bottom w:val="single" w:sz="4" w:space="0" w:color="auto"/>
            </w:tcBorders>
            <w:vAlign w:val="bottom"/>
          </w:tcPr>
          <w:p w14:paraId="69D783D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(.0607)</w:t>
            </w:r>
          </w:p>
        </w:tc>
        <w:tc>
          <w:tcPr>
            <w:tcW w:w="1098" w:type="dxa"/>
            <w:tcBorders>
              <w:bottom w:val="single" w:sz="4" w:space="0" w:color="auto"/>
            </w:tcBorders>
            <w:vAlign w:val="bottom"/>
          </w:tcPr>
          <w:p w14:paraId="0BEA69D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(.0664)</w:t>
            </w:r>
          </w:p>
        </w:tc>
      </w:tr>
      <w:tr w:rsidR="004C09CB" w:rsidRPr="00226AB7" w14:paraId="3FB4FFDC" w14:textId="77777777" w:rsidTr="00B34F93">
        <w:tc>
          <w:tcPr>
            <w:tcW w:w="0" w:type="auto"/>
            <w:tcBorders>
              <w:top w:val="single" w:sz="4" w:space="0" w:color="auto"/>
              <w:bottom w:val="nil"/>
            </w:tcBorders>
          </w:tcPr>
          <w:p w14:paraId="408F8F73" w14:textId="77777777" w:rsidR="004C09CB" w:rsidRPr="00226AB7" w:rsidRDefault="004C09CB">
            <w:pPr>
              <w:contextualSpacing/>
              <w:rPr>
                <w:b/>
                <w:sz w:val="20"/>
                <w:szCs w:val="20"/>
              </w:rPr>
            </w:pPr>
            <w:r w:rsidRPr="00226AB7">
              <w:rPr>
                <w:b/>
                <w:sz w:val="20"/>
                <w:szCs w:val="20"/>
              </w:rPr>
              <w:t>Panel C</w:t>
            </w:r>
          </w:p>
        </w:tc>
        <w:tc>
          <w:tcPr>
            <w:tcW w:w="0" w:type="auto"/>
            <w:tcBorders>
              <w:top w:val="single" w:sz="4" w:space="0" w:color="auto"/>
              <w:bottom w:val="nil"/>
            </w:tcBorders>
          </w:tcPr>
          <w:p w14:paraId="5E7F023F" w14:textId="77777777" w:rsidR="004C09CB" w:rsidRDefault="004C09CB">
            <w:pPr>
              <w:contextualSpacing/>
              <w:rPr>
                <w:sz w:val="20"/>
                <w:szCs w:val="20"/>
              </w:rPr>
            </w:pPr>
          </w:p>
        </w:tc>
        <w:tc>
          <w:tcPr>
            <w:tcW w:w="0" w:type="auto"/>
            <w:tcBorders>
              <w:top w:val="single" w:sz="4" w:space="0" w:color="auto"/>
              <w:bottom w:val="nil"/>
            </w:tcBorders>
          </w:tcPr>
          <w:p w14:paraId="49861210" w14:textId="77777777" w:rsidR="004C09CB" w:rsidRPr="00226AB7" w:rsidRDefault="004C09CB">
            <w:pPr>
              <w:contextualSpacing/>
              <w:rPr>
                <w:sz w:val="20"/>
                <w:szCs w:val="20"/>
              </w:rPr>
            </w:pPr>
          </w:p>
        </w:tc>
        <w:tc>
          <w:tcPr>
            <w:tcW w:w="0" w:type="auto"/>
            <w:tcBorders>
              <w:top w:val="single" w:sz="4" w:space="0" w:color="auto"/>
              <w:bottom w:val="nil"/>
            </w:tcBorders>
          </w:tcPr>
          <w:p w14:paraId="376FCE39" w14:textId="77777777" w:rsidR="004C09CB" w:rsidRPr="00226AB7" w:rsidRDefault="004C09CB">
            <w:pPr>
              <w:contextualSpacing/>
              <w:rPr>
                <w:sz w:val="20"/>
                <w:szCs w:val="20"/>
              </w:rPr>
            </w:pPr>
          </w:p>
        </w:tc>
        <w:tc>
          <w:tcPr>
            <w:tcW w:w="0" w:type="auto"/>
            <w:tcBorders>
              <w:top w:val="single" w:sz="4" w:space="0" w:color="auto"/>
              <w:bottom w:val="nil"/>
            </w:tcBorders>
          </w:tcPr>
          <w:p w14:paraId="57473573" w14:textId="77777777" w:rsidR="004C09CB" w:rsidRPr="00226AB7" w:rsidRDefault="004C09CB">
            <w:pPr>
              <w:contextualSpacing/>
              <w:rPr>
                <w:sz w:val="20"/>
                <w:szCs w:val="20"/>
              </w:rPr>
            </w:pPr>
          </w:p>
        </w:tc>
        <w:tc>
          <w:tcPr>
            <w:tcW w:w="0" w:type="auto"/>
            <w:tcBorders>
              <w:top w:val="single" w:sz="4" w:space="0" w:color="auto"/>
              <w:bottom w:val="nil"/>
            </w:tcBorders>
          </w:tcPr>
          <w:p w14:paraId="61DA6753" w14:textId="77777777" w:rsidR="004C09CB" w:rsidRPr="00226AB7" w:rsidRDefault="004C09CB">
            <w:pPr>
              <w:contextualSpacing/>
              <w:rPr>
                <w:sz w:val="20"/>
                <w:szCs w:val="20"/>
              </w:rPr>
            </w:pPr>
          </w:p>
        </w:tc>
        <w:tc>
          <w:tcPr>
            <w:tcW w:w="0" w:type="auto"/>
            <w:tcBorders>
              <w:top w:val="single" w:sz="4" w:space="0" w:color="auto"/>
              <w:bottom w:val="nil"/>
            </w:tcBorders>
          </w:tcPr>
          <w:p w14:paraId="12BAC03C" w14:textId="77777777" w:rsidR="004C09CB" w:rsidRPr="00226AB7" w:rsidRDefault="004C09CB">
            <w:pPr>
              <w:contextualSpacing/>
              <w:rPr>
                <w:sz w:val="20"/>
                <w:szCs w:val="20"/>
              </w:rPr>
            </w:pPr>
          </w:p>
        </w:tc>
        <w:tc>
          <w:tcPr>
            <w:tcW w:w="1096" w:type="dxa"/>
            <w:tcBorders>
              <w:top w:val="single" w:sz="4" w:space="0" w:color="auto"/>
              <w:bottom w:val="nil"/>
            </w:tcBorders>
          </w:tcPr>
          <w:p w14:paraId="216D728C" w14:textId="77777777" w:rsidR="004C09CB" w:rsidRPr="00226AB7" w:rsidRDefault="004C09CB">
            <w:pPr>
              <w:contextualSpacing/>
              <w:rPr>
                <w:sz w:val="20"/>
                <w:szCs w:val="20"/>
              </w:rPr>
            </w:pPr>
          </w:p>
        </w:tc>
        <w:tc>
          <w:tcPr>
            <w:tcW w:w="1131" w:type="dxa"/>
            <w:tcBorders>
              <w:top w:val="single" w:sz="4" w:space="0" w:color="auto"/>
              <w:bottom w:val="nil"/>
            </w:tcBorders>
          </w:tcPr>
          <w:p w14:paraId="7ED039E6" w14:textId="77777777" w:rsidR="004C09CB" w:rsidRPr="00226AB7" w:rsidRDefault="004C09CB">
            <w:pPr>
              <w:contextualSpacing/>
              <w:rPr>
                <w:sz w:val="20"/>
                <w:szCs w:val="20"/>
              </w:rPr>
            </w:pPr>
          </w:p>
        </w:tc>
        <w:tc>
          <w:tcPr>
            <w:tcW w:w="1119" w:type="dxa"/>
            <w:tcBorders>
              <w:top w:val="single" w:sz="4" w:space="0" w:color="auto"/>
              <w:bottom w:val="nil"/>
            </w:tcBorders>
          </w:tcPr>
          <w:p w14:paraId="154A32FB" w14:textId="77777777" w:rsidR="004C09CB" w:rsidRPr="00226AB7" w:rsidRDefault="004C09CB">
            <w:pPr>
              <w:contextualSpacing/>
              <w:rPr>
                <w:sz w:val="20"/>
                <w:szCs w:val="20"/>
              </w:rPr>
            </w:pPr>
          </w:p>
        </w:tc>
        <w:tc>
          <w:tcPr>
            <w:tcW w:w="1098" w:type="dxa"/>
            <w:tcBorders>
              <w:top w:val="single" w:sz="4" w:space="0" w:color="auto"/>
              <w:bottom w:val="nil"/>
            </w:tcBorders>
          </w:tcPr>
          <w:p w14:paraId="5A927590" w14:textId="77777777" w:rsidR="004C09CB" w:rsidRPr="00226AB7" w:rsidRDefault="004C09CB">
            <w:pPr>
              <w:contextualSpacing/>
              <w:rPr>
                <w:sz w:val="20"/>
                <w:szCs w:val="20"/>
              </w:rPr>
            </w:pPr>
          </w:p>
        </w:tc>
      </w:tr>
      <w:tr w:rsidR="004C09CB" w:rsidRPr="00226AB7" w14:paraId="402B3C94" w14:textId="77777777" w:rsidTr="00B34F93">
        <w:tc>
          <w:tcPr>
            <w:tcW w:w="0" w:type="auto"/>
            <w:tcBorders>
              <w:top w:val="nil"/>
            </w:tcBorders>
          </w:tcPr>
          <w:p w14:paraId="1DC88001" w14:textId="77777777" w:rsidR="004C09CB" w:rsidRPr="00226AB7" w:rsidRDefault="004C09CB">
            <w:pPr>
              <w:contextualSpacing/>
              <w:rPr>
                <w:sz w:val="20"/>
                <w:szCs w:val="20"/>
              </w:rPr>
            </w:pPr>
          </w:p>
        </w:tc>
        <w:tc>
          <w:tcPr>
            <w:tcW w:w="0" w:type="auto"/>
            <w:gridSpan w:val="10"/>
            <w:tcBorders>
              <w:top w:val="nil"/>
              <w:bottom w:val="single" w:sz="4" w:space="0" w:color="auto"/>
            </w:tcBorders>
          </w:tcPr>
          <w:p w14:paraId="2FE35B1D" w14:textId="77777777" w:rsidR="004C09CB" w:rsidRPr="00226AB7" w:rsidRDefault="004C09CB">
            <w:pPr>
              <w:contextualSpacing/>
              <w:jc w:val="center"/>
              <w:rPr>
                <w:sz w:val="20"/>
                <w:szCs w:val="20"/>
              </w:rPr>
            </w:pPr>
            <w:r>
              <w:rPr>
                <w:sz w:val="20"/>
                <w:szCs w:val="20"/>
              </w:rPr>
              <w:t xml:space="preserve">Dependent variable: </w:t>
            </w:r>
            <w:r w:rsidRPr="009911DF">
              <w:rPr>
                <w:i/>
                <w:sz w:val="20"/>
                <w:szCs w:val="20"/>
              </w:rPr>
              <w:t>InitialRate</w:t>
            </w:r>
          </w:p>
        </w:tc>
      </w:tr>
      <w:tr w:rsidR="004C09CB" w:rsidRPr="00226AB7" w14:paraId="11427DEF" w14:textId="77777777" w:rsidTr="00B34F93">
        <w:tc>
          <w:tcPr>
            <w:tcW w:w="0" w:type="auto"/>
          </w:tcPr>
          <w:p w14:paraId="55BFD9D3" w14:textId="77777777" w:rsidR="004C09CB" w:rsidRPr="00226AB7" w:rsidRDefault="004C09CB">
            <w:pPr>
              <w:contextualSpacing/>
              <w:rPr>
                <w:sz w:val="20"/>
                <w:szCs w:val="20"/>
              </w:rPr>
            </w:pPr>
          </w:p>
        </w:tc>
        <w:tc>
          <w:tcPr>
            <w:tcW w:w="0" w:type="auto"/>
            <w:tcBorders>
              <w:top w:val="single" w:sz="4" w:space="0" w:color="auto"/>
              <w:bottom w:val="nil"/>
            </w:tcBorders>
          </w:tcPr>
          <w:p w14:paraId="3C14483F" w14:textId="65EBDA28" w:rsidR="004C09CB" w:rsidRPr="00226AB7" w:rsidRDefault="004C09CB">
            <w:pPr>
              <w:contextualSpacing/>
              <w:jc w:val="center"/>
              <w:rPr>
                <w:sz w:val="20"/>
                <w:szCs w:val="20"/>
              </w:rPr>
            </w:pPr>
            <w:r>
              <w:rPr>
                <w:sz w:val="20"/>
                <w:szCs w:val="20"/>
              </w:rPr>
              <w:t xml:space="preserve">Table </w:t>
            </w:r>
            <w:r w:rsidR="009F7EF0">
              <w:rPr>
                <w:sz w:val="20"/>
                <w:szCs w:val="20"/>
              </w:rPr>
              <w:t>1</w:t>
            </w:r>
            <w:r>
              <w:rPr>
                <w:sz w:val="20"/>
                <w:szCs w:val="20"/>
              </w:rPr>
              <w:t>0, model 3</w:t>
            </w:r>
          </w:p>
        </w:tc>
        <w:tc>
          <w:tcPr>
            <w:tcW w:w="0" w:type="auto"/>
            <w:tcBorders>
              <w:top w:val="single" w:sz="4" w:space="0" w:color="auto"/>
              <w:bottom w:val="nil"/>
            </w:tcBorders>
          </w:tcPr>
          <w:p w14:paraId="7124757F" w14:textId="77777777" w:rsidR="004C09CB" w:rsidRPr="00226AB7" w:rsidRDefault="004C09CB">
            <w:pPr>
              <w:contextualSpacing/>
              <w:jc w:val="center"/>
              <w:rPr>
                <w:sz w:val="20"/>
                <w:szCs w:val="20"/>
              </w:rPr>
            </w:pPr>
            <w:r w:rsidRPr="00226AB7">
              <w:rPr>
                <w:sz w:val="20"/>
                <w:szCs w:val="20"/>
              </w:rPr>
              <w:t>2004 policy treatment</w:t>
            </w:r>
          </w:p>
        </w:tc>
        <w:tc>
          <w:tcPr>
            <w:tcW w:w="0" w:type="auto"/>
            <w:tcBorders>
              <w:top w:val="single" w:sz="4" w:space="0" w:color="auto"/>
              <w:bottom w:val="nil"/>
            </w:tcBorders>
          </w:tcPr>
          <w:p w14:paraId="1EBC7676" w14:textId="77777777" w:rsidR="004C09CB" w:rsidRPr="00226AB7" w:rsidRDefault="004C09CB">
            <w:pPr>
              <w:contextualSpacing/>
              <w:jc w:val="center"/>
              <w:rPr>
                <w:sz w:val="20"/>
                <w:szCs w:val="20"/>
              </w:rPr>
            </w:pPr>
            <w:r w:rsidRPr="00226AB7">
              <w:rPr>
                <w:sz w:val="20"/>
                <w:szCs w:val="20"/>
              </w:rPr>
              <w:t>2007 policy treatment</w:t>
            </w:r>
          </w:p>
        </w:tc>
        <w:tc>
          <w:tcPr>
            <w:tcW w:w="0" w:type="auto"/>
            <w:tcBorders>
              <w:top w:val="single" w:sz="4" w:space="0" w:color="auto"/>
              <w:bottom w:val="nil"/>
            </w:tcBorders>
          </w:tcPr>
          <w:p w14:paraId="3F1940F1" w14:textId="77777777" w:rsidR="004C09CB" w:rsidRPr="00226AB7" w:rsidRDefault="004C09CB">
            <w:pPr>
              <w:contextualSpacing/>
              <w:jc w:val="center"/>
              <w:rPr>
                <w:sz w:val="20"/>
                <w:szCs w:val="20"/>
              </w:rPr>
            </w:pPr>
            <w:r w:rsidRPr="00226AB7">
              <w:rPr>
                <w:sz w:val="20"/>
                <w:szCs w:val="20"/>
              </w:rPr>
              <w:t>2010 policy treatment</w:t>
            </w:r>
          </w:p>
        </w:tc>
        <w:tc>
          <w:tcPr>
            <w:tcW w:w="0" w:type="auto"/>
            <w:tcBorders>
              <w:top w:val="single" w:sz="4" w:space="0" w:color="auto"/>
              <w:bottom w:val="nil"/>
            </w:tcBorders>
          </w:tcPr>
          <w:p w14:paraId="46DD409B" w14:textId="77777777" w:rsidR="004C09CB" w:rsidRPr="00226AB7" w:rsidRDefault="004C09CB">
            <w:pPr>
              <w:contextualSpacing/>
              <w:jc w:val="center"/>
              <w:rPr>
                <w:sz w:val="20"/>
                <w:szCs w:val="20"/>
              </w:rPr>
            </w:pPr>
            <w:r w:rsidRPr="00226AB7">
              <w:rPr>
                <w:sz w:val="20"/>
                <w:szCs w:val="20"/>
              </w:rPr>
              <w:t>2011 policy treatment</w:t>
            </w:r>
          </w:p>
        </w:tc>
        <w:tc>
          <w:tcPr>
            <w:tcW w:w="0" w:type="auto"/>
            <w:tcBorders>
              <w:top w:val="single" w:sz="4" w:space="0" w:color="auto"/>
              <w:bottom w:val="nil"/>
            </w:tcBorders>
          </w:tcPr>
          <w:p w14:paraId="31045918" w14:textId="77777777" w:rsidR="004C09CB" w:rsidRPr="00226AB7" w:rsidRDefault="004C09CB">
            <w:pPr>
              <w:contextualSpacing/>
              <w:jc w:val="center"/>
              <w:rPr>
                <w:sz w:val="20"/>
                <w:szCs w:val="20"/>
              </w:rPr>
            </w:pPr>
            <w:r>
              <w:rPr>
                <w:sz w:val="20"/>
                <w:szCs w:val="20"/>
              </w:rPr>
              <w:t>2000-02 omitted</w:t>
            </w:r>
          </w:p>
        </w:tc>
        <w:tc>
          <w:tcPr>
            <w:tcW w:w="1096" w:type="dxa"/>
            <w:tcBorders>
              <w:top w:val="single" w:sz="4" w:space="0" w:color="auto"/>
              <w:bottom w:val="nil"/>
            </w:tcBorders>
          </w:tcPr>
          <w:p w14:paraId="0EDABEF2" w14:textId="77777777" w:rsidR="004C09CB" w:rsidRPr="00226AB7" w:rsidRDefault="004C09CB">
            <w:pPr>
              <w:contextualSpacing/>
              <w:jc w:val="center"/>
              <w:rPr>
                <w:sz w:val="20"/>
                <w:szCs w:val="20"/>
              </w:rPr>
            </w:pPr>
            <w:r>
              <w:rPr>
                <w:sz w:val="20"/>
                <w:szCs w:val="20"/>
              </w:rPr>
              <w:t>Propensity score</w:t>
            </w:r>
          </w:p>
        </w:tc>
        <w:tc>
          <w:tcPr>
            <w:tcW w:w="1131" w:type="dxa"/>
            <w:tcBorders>
              <w:top w:val="single" w:sz="4" w:space="0" w:color="auto"/>
              <w:bottom w:val="nil"/>
            </w:tcBorders>
          </w:tcPr>
          <w:p w14:paraId="78DBF97E" w14:textId="77777777" w:rsidR="004C09CB" w:rsidRDefault="004C09CB">
            <w:pPr>
              <w:contextualSpacing/>
              <w:jc w:val="center"/>
              <w:rPr>
                <w:sz w:val="20"/>
                <w:szCs w:val="20"/>
              </w:rPr>
            </w:pPr>
          </w:p>
          <w:p w14:paraId="29FF3DBA" w14:textId="77777777" w:rsidR="004C09CB" w:rsidRPr="00226AB7" w:rsidRDefault="004C09CB">
            <w:pPr>
              <w:contextualSpacing/>
              <w:jc w:val="center"/>
              <w:rPr>
                <w:sz w:val="20"/>
                <w:szCs w:val="20"/>
              </w:rPr>
            </w:pPr>
            <w:r>
              <w:rPr>
                <w:sz w:val="20"/>
                <w:szCs w:val="20"/>
              </w:rPr>
              <w:t>Random</w:t>
            </w:r>
          </w:p>
        </w:tc>
        <w:tc>
          <w:tcPr>
            <w:tcW w:w="1119" w:type="dxa"/>
            <w:tcBorders>
              <w:top w:val="single" w:sz="4" w:space="0" w:color="auto"/>
              <w:bottom w:val="nil"/>
            </w:tcBorders>
          </w:tcPr>
          <w:p w14:paraId="3FEFD23A" w14:textId="77777777" w:rsidR="004C09CB" w:rsidRPr="00226AB7" w:rsidRDefault="004C09CB">
            <w:pPr>
              <w:contextualSpacing/>
              <w:jc w:val="center"/>
              <w:rPr>
                <w:sz w:val="20"/>
                <w:szCs w:val="20"/>
              </w:rPr>
            </w:pPr>
            <w:r>
              <w:rPr>
                <w:sz w:val="20"/>
                <w:szCs w:val="20"/>
              </w:rPr>
              <w:t>Transfers omitted</w:t>
            </w:r>
          </w:p>
        </w:tc>
        <w:tc>
          <w:tcPr>
            <w:tcW w:w="1098" w:type="dxa"/>
            <w:tcBorders>
              <w:top w:val="single" w:sz="4" w:space="0" w:color="auto"/>
              <w:bottom w:val="nil"/>
            </w:tcBorders>
          </w:tcPr>
          <w:p w14:paraId="6E60C3C0" w14:textId="77777777" w:rsidR="004C09CB" w:rsidRPr="00226AB7" w:rsidRDefault="004C09CB">
            <w:pPr>
              <w:contextualSpacing/>
              <w:jc w:val="center"/>
              <w:rPr>
                <w:sz w:val="20"/>
                <w:szCs w:val="20"/>
              </w:rPr>
            </w:pPr>
            <w:r>
              <w:rPr>
                <w:sz w:val="20"/>
                <w:szCs w:val="20"/>
              </w:rPr>
              <w:t>GSE-owned</w:t>
            </w:r>
          </w:p>
        </w:tc>
      </w:tr>
      <w:tr w:rsidR="004C09CB" w:rsidRPr="00226AB7" w14:paraId="78487E96" w14:textId="77777777" w:rsidTr="00B34F93">
        <w:tc>
          <w:tcPr>
            <w:tcW w:w="0" w:type="auto"/>
          </w:tcPr>
          <w:p w14:paraId="3EE603EE" w14:textId="77777777" w:rsidR="004C09CB" w:rsidRPr="00226AB7" w:rsidRDefault="004C09CB">
            <w:pPr>
              <w:contextualSpacing/>
              <w:rPr>
                <w:sz w:val="20"/>
                <w:szCs w:val="20"/>
              </w:rPr>
            </w:pPr>
          </w:p>
        </w:tc>
        <w:tc>
          <w:tcPr>
            <w:tcW w:w="0" w:type="auto"/>
            <w:tcBorders>
              <w:top w:val="nil"/>
              <w:bottom w:val="single" w:sz="4" w:space="0" w:color="auto"/>
            </w:tcBorders>
            <w:vAlign w:val="bottom"/>
          </w:tcPr>
          <w:p w14:paraId="19318D97"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(1)</w:t>
            </w:r>
          </w:p>
        </w:tc>
        <w:tc>
          <w:tcPr>
            <w:tcW w:w="0" w:type="auto"/>
            <w:tcBorders>
              <w:top w:val="nil"/>
              <w:bottom w:val="single" w:sz="4" w:space="0" w:color="auto"/>
            </w:tcBorders>
            <w:vAlign w:val="bottom"/>
          </w:tcPr>
          <w:p w14:paraId="1D11A250"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(2)</w:t>
            </w:r>
          </w:p>
        </w:tc>
        <w:tc>
          <w:tcPr>
            <w:tcW w:w="0" w:type="auto"/>
            <w:tcBorders>
              <w:top w:val="nil"/>
              <w:bottom w:val="single" w:sz="4" w:space="0" w:color="auto"/>
            </w:tcBorders>
            <w:vAlign w:val="bottom"/>
          </w:tcPr>
          <w:p w14:paraId="488CA357"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(3)</w:t>
            </w:r>
          </w:p>
        </w:tc>
        <w:tc>
          <w:tcPr>
            <w:tcW w:w="0" w:type="auto"/>
            <w:tcBorders>
              <w:top w:val="nil"/>
              <w:bottom w:val="single" w:sz="4" w:space="0" w:color="auto"/>
            </w:tcBorders>
            <w:vAlign w:val="bottom"/>
          </w:tcPr>
          <w:p w14:paraId="566316FF"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(4)</w:t>
            </w:r>
          </w:p>
        </w:tc>
        <w:tc>
          <w:tcPr>
            <w:tcW w:w="0" w:type="auto"/>
            <w:tcBorders>
              <w:top w:val="nil"/>
              <w:bottom w:val="single" w:sz="4" w:space="0" w:color="auto"/>
            </w:tcBorders>
          </w:tcPr>
          <w:p w14:paraId="32761F09"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(5)</w:t>
            </w:r>
          </w:p>
        </w:tc>
        <w:tc>
          <w:tcPr>
            <w:tcW w:w="0" w:type="auto"/>
            <w:tcBorders>
              <w:top w:val="nil"/>
              <w:bottom w:val="single" w:sz="4" w:space="0" w:color="auto"/>
            </w:tcBorders>
          </w:tcPr>
          <w:p w14:paraId="78917368"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(6)</w:t>
            </w:r>
          </w:p>
        </w:tc>
        <w:tc>
          <w:tcPr>
            <w:tcW w:w="1096" w:type="dxa"/>
            <w:tcBorders>
              <w:top w:val="nil"/>
              <w:bottom w:val="single" w:sz="4" w:space="0" w:color="auto"/>
            </w:tcBorders>
          </w:tcPr>
          <w:p w14:paraId="7F05667F"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(7)</w:t>
            </w:r>
          </w:p>
        </w:tc>
        <w:tc>
          <w:tcPr>
            <w:tcW w:w="1131" w:type="dxa"/>
            <w:tcBorders>
              <w:top w:val="nil"/>
              <w:bottom w:val="single" w:sz="4" w:space="0" w:color="auto"/>
            </w:tcBorders>
          </w:tcPr>
          <w:p w14:paraId="0D3A10F3"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(8)</w:t>
            </w:r>
          </w:p>
        </w:tc>
        <w:tc>
          <w:tcPr>
            <w:tcW w:w="1119" w:type="dxa"/>
            <w:tcBorders>
              <w:top w:val="nil"/>
              <w:bottom w:val="single" w:sz="4" w:space="0" w:color="auto"/>
            </w:tcBorders>
          </w:tcPr>
          <w:p w14:paraId="07A8E2AB"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(9)</w:t>
            </w:r>
          </w:p>
        </w:tc>
        <w:tc>
          <w:tcPr>
            <w:tcW w:w="1098" w:type="dxa"/>
            <w:tcBorders>
              <w:top w:val="nil"/>
              <w:bottom w:val="single" w:sz="4" w:space="0" w:color="auto"/>
            </w:tcBorders>
          </w:tcPr>
          <w:p w14:paraId="750C69EC"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(10)</w:t>
            </w:r>
          </w:p>
        </w:tc>
      </w:tr>
      <w:tr w:rsidR="004C09CB" w:rsidRPr="00226AB7" w14:paraId="15454734" w14:textId="77777777" w:rsidTr="00B34F93">
        <w:tc>
          <w:tcPr>
            <w:tcW w:w="0" w:type="auto"/>
            <w:vAlign w:val="bottom"/>
          </w:tcPr>
          <w:p w14:paraId="102D4A70"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Subsidiary</w:t>
            </w:r>
          </w:p>
        </w:tc>
        <w:tc>
          <w:tcPr>
            <w:tcW w:w="0" w:type="auto"/>
            <w:tcBorders>
              <w:top w:val="single" w:sz="4" w:space="0" w:color="auto"/>
            </w:tcBorders>
            <w:vAlign w:val="bottom"/>
          </w:tcPr>
          <w:p w14:paraId="348D6D9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-.0150</w:t>
            </w:r>
          </w:p>
        </w:tc>
        <w:tc>
          <w:tcPr>
            <w:tcW w:w="0" w:type="auto"/>
            <w:tcBorders>
              <w:top w:val="single" w:sz="4" w:space="0" w:color="auto"/>
            </w:tcBorders>
            <w:vAlign w:val="bottom"/>
          </w:tcPr>
          <w:p w14:paraId="30B2684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.164***</w:t>
            </w:r>
          </w:p>
        </w:tc>
        <w:tc>
          <w:tcPr>
            <w:tcW w:w="0" w:type="auto"/>
            <w:tcBorders>
              <w:top w:val="single" w:sz="4" w:space="0" w:color="auto"/>
            </w:tcBorders>
            <w:vAlign w:val="bottom"/>
          </w:tcPr>
          <w:p w14:paraId="4757B35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-.0145</w:t>
            </w:r>
          </w:p>
        </w:tc>
        <w:tc>
          <w:tcPr>
            <w:tcW w:w="0" w:type="auto"/>
            <w:tcBorders>
              <w:top w:val="single" w:sz="4" w:space="0" w:color="auto"/>
            </w:tcBorders>
            <w:vAlign w:val="bottom"/>
          </w:tcPr>
          <w:p w14:paraId="0A876C3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-.0175</w:t>
            </w:r>
          </w:p>
        </w:tc>
        <w:tc>
          <w:tcPr>
            <w:tcW w:w="0" w:type="auto"/>
            <w:tcBorders>
              <w:top w:val="single" w:sz="4" w:space="0" w:color="auto"/>
            </w:tcBorders>
            <w:vAlign w:val="bottom"/>
          </w:tcPr>
          <w:p w14:paraId="084E630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-.0102</w:t>
            </w:r>
          </w:p>
        </w:tc>
        <w:tc>
          <w:tcPr>
            <w:tcW w:w="0" w:type="auto"/>
            <w:tcBorders>
              <w:top w:val="single" w:sz="4" w:space="0" w:color="auto"/>
            </w:tcBorders>
            <w:vAlign w:val="bottom"/>
          </w:tcPr>
          <w:p w14:paraId="4238D09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-.0584***</w:t>
            </w:r>
          </w:p>
        </w:tc>
        <w:tc>
          <w:tcPr>
            <w:tcW w:w="1096" w:type="dxa"/>
            <w:tcBorders>
              <w:top w:val="single" w:sz="4" w:space="0" w:color="auto"/>
            </w:tcBorders>
            <w:vAlign w:val="bottom"/>
          </w:tcPr>
          <w:p w14:paraId="18A7FA2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.00843</w:t>
            </w:r>
          </w:p>
        </w:tc>
        <w:tc>
          <w:tcPr>
            <w:tcW w:w="1131" w:type="dxa"/>
            <w:tcBorders>
              <w:top w:val="single" w:sz="4" w:space="0" w:color="auto"/>
            </w:tcBorders>
            <w:vAlign w:val="bottom"/>
          </w:tcPr>
          <w:p w14:paraId="7F35030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-.0157</w:t>
            </w:r>
          </w:p>
        </w:tc>
        <w:tc>
          <w:tcPr>
            <w:tcW w:w="1119" w:type="dxa"/>
            <w:tcBorders>
              <w:top w:val="single" w:sz="4" w:space="0" w:color="auto"/>
            </w:tcBorders>
            <w:vAlign w:val="bottom"/>
          </w:tcPr>
          <w:p w14:paraId="2FC1573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-.00608</w:t>
            </w:r>
          </w:p>
        </w:tc>
        <w:tc>
          <w:tcPr>
            <w:tcW w:w="1098" w:type="dxa"/>
            <w:tcBorders>
              <w:top w:val="single" w:sz="4" w:space="0" w:color="auto"/>
            </w:tcBorders>
            <w:vAlign w:val="bottom"/>
          </w:tcPr>
          <w:p w14:paraId="273AC93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-.0286**</w:t>
            </w:r>
          </w:p>
        </w:tc>
      </w:tr>
      <w:tr w:rsidR="004C09CB" w:rsidRPr="00226AB7" w14:paraId="11A7D842" w14:textId="77777777" w:rsidTr="00B34F93">
        <w:tc>
          <w:tcPr>
            <w:tcW w:w="0" w:type="auto"/>
            <w:vAlign w:val="bottom"/>
          </w:tcPr>
          <w:p w14:paraId="1DC946AC"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4DA8F17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(.0127)</w:t>
            </w:r>
          </w:p>
        </w:tc>
        <w:tc>
          <w:tcPr>
            <w:tcW w:w="0" w:type="auto"/>
            <w:vAlign w:val="bottom"/>
          </w:tcPr>
          <w:p w14:paraId="6544A99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(.0187)</w:t>
            </w:r>
          </w:p>
        </w:tc>
        <w:tc>
          <w:tcPr>
            <w:tcW w:w="0" w:type="auto"/>
            <w:vAlign w:val="bottom"/>
          </w:tcPr>
          <w:p w14:paraId="162BD32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(.0132)</w:t>
            </w:r>
          </w:p>
        </w:tc>
        <w:tc>
          <w:tcPr>
            <w:tcW w:w="0" w:type="auto"/>
            <w:vAlign w:val="bottom"/>
          </w:tcPr>
          <w:p w14:paraId="2A4FBD2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(.0126)</w:t>
            </w:r>
          </w:p>
        </w:tc>
        <w:tc>
          <w:tcPr>
            <w:tcW w:w="0" w:type="auto"/>
            <w:vAlign w:val="bottom"/>
          </w:tcPr>
          <w:p w14:paraId="5018806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(.0125)</w:t>
            </w:r>
          </w:p>
        </w:tc>
        <w:tc>
          <w:tcPr>
            <w:tcW w:w="0" w:type="auto"/>
            <w:vAlign w:val="bottom"/>
          </w:tcPr>
          <w:p w14:paraId="57028CD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(.0147)</w:t>
            </w:r>
          </w:p>
        </w:tc>
        <w:tc>
          <w:tcPr>
            <w:tcW w:w="1096" w:type="dxa"/>
            <w:vAlign w:val="bottom"/>
          </w:tcPr>
          <w:p w14:paraId="17E2E2E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(.0141)</w:t>
            </w:r>
          </w:p>
        </w:tc>
        <w:tc>
          <w:tcPr>
            <w:tcW w:w="1131" w:type="dxa"/>
            <w:vAlign w:val="bottom"/>
          </w:tcPr>
          <w:p w14:paraId="7626E7D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(.0130)</w:t>
            </w:r>
          </w:p>
        </w:tc>
        <w:tc>
          <w:tcPr>
            <w:tcW w:w="1119" w:type="dxa"/>
            <w:vAlign w:val="bottom"/>
          </w:tcPr>
          <w:p w14:paraId="4D98367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(.0131)</w:t>
            </w:r>
          </w:p>
        </w:tc>
        <w:tc>
          <w:tcPr>
            <w:tcW w:w="1098" w:type="dxa"/>
            <w:vAlign w:val="bottom"/>
          </w:tcPr>
          <w:p w14:paraId="636E185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(.0119)</w:t>
            </w:r>
          </w:p>
        </w:tc>
      </w:tr>
      <w:tr w:rsidR="004C09CB" w:rsidRPr="00226AB7" w14:paraId="35CCF203" w14:textId="77777777" w:rsidTr="00B34F93">
        <w:tc>
          <w:tcPr>
            <w:tcW w:w="0" w:type="auto"/>
            <w:vAlign w:val="bottom"/>
          </w:tcPr>
          <w:p w14:paraId="6F2026FA"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Post</w:t>
            </w:r>
          </w:p>
        </w:tc>
        <w:tc>
          <w:tcPr>
            <w:tcW w:w="0" w:type="auto"/>
            <w:vAlign w:val="bottom"/>
          </w:tcPr>
          <w:p w14:paraId="3F843E3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.457***</w:t>
            </w:r>
          </w:p>
        </w:tc>
        <w:tc>
          <w:tcPr>
            <w:tcW w:w="0" w:type="auto"/>
            <w:vAlign w:val="bottom"/>
          </w:tcPr>
          <w:p w14:paraId="4F53349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-2.435***</w:t>
            </w:r>
          </w:p>
        </w:tc>
        <w:tc>
          <w:tcPr>
            <w:tcW w:w="0" w:type="auto"/>
            <w:vAlign w:val="bottom"/>
          </w:tcPr>
          <w:p w14:paraId="4616888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.348***</w:t>
            </w:r>
          </w:p>
        </w:tc>
        <w:tc>
          <w:tcPr>
            <w:tcW w:w="0" w:type="auto"/>
            <w:vAlign w:val="bottom"/>
          </w:tcPr>
          <w:p w14:paraId="6980C24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-.971***</w:t>
            </w:r>
          </w:p>
        </w:tc>
        <w:tc>
          <w:tcPr>
            <w:tcW w:w="0" w:type="auto"/>
            <w:vAlign w:val="bottom"/>
          </w:tcPr>
          <w:p w14:paraId="0BA9840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-.679***</w:t>
            </w:r>
          </w:p>
        </w:tc>
        <w:tc>
          <w:tcPr>
            <w:tcW w:w="0" w:type="auto"/>
            <w:vAlign w:val="bottom"/>
          </w:tcPr>
          <w:p w14:paraId="013A7B1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.446***</w:t>
            </w:r>
          </w:p>
        </w:tc>
        <w:tc>
          <w:tcPr>
            <w:tcW w:w="1096" w:type="dxa"/>
            <w:vAlign w:val="bottom"/>
          </w:tcPr>
          <w:p w14:paraId="3B9057C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.195</w:t>
            </w:r>
          </w:p>
        </w:tc>
        <w:tc>
          <w:tcPr>
            <w:tcW w:w="1131" w:type="dxa"/>
            <w:vAlign w:val="bottom"/>
          </w:tcPr>
          <w:p w14:paraId="2B8438E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.285*</w:t>
            </w:r>
          </w:p>
        </w:tc>
        <w:tc>
          <w:tcPr>
            <w:tcW w:w="1119" w:type="dxa"/>
            <w:vAlign w:val="bottom"/>
          </w:tcPr>
          <w:p w14:paraId="0A87991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.405***</w:t>
            </w:r>
          </w:p>
        </w:tc>
        <w:tc>
          <w:tcPr>
            <w:tcW w:w="1098" w:type="dxa"/>
            <w:vAlign w:val="bottom"/>
          </w:tcPr>
          <w:p w14:paraId="0F07B58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.483***</w:t>
            </w:r>
          </w:p>
        </w:tc>
      </w:tr>
      <w:tr w:rsidR="004C09CB" w:rsidRPr="00226AB7" w14:paraId="16DFCBDF" w14:textId="77777777" w:rsidTr="00B34F93">
        <w:tc>
          <w:tcPr>
            <w:tcW w:w="0" w:type="auto"/>
            <w:vAlign w:val="bottom"/>
          </w:tcPr>
          <w:p w14:paraId="126D265F"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0065D6B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(.115)</w:t>
            </w:r>
          </w:p>
        </w:tc>
        <w:tc>
          <w:tcPr>
            <w:tcW w:w="0" w:type="auto"/>
            <w:vAlign w:val="bottom"/>
          </w:tcPr>
          <w:p w14:paraId="5DEAF9E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(.128)</w:t>
            </w:r>
          </w:p>
        </w:tc>
        <w:tc>
          <w:tcPr>
            <w:tcW w:w="0" w:type="auto"/>
            <w:vAlign w:val="bottom"/>
          </w:tcPr>
          <w:p w14:paraId="1A82017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(.0349)</w:t>
            </w:r>
          </w:p>
        </w:tc>
        <w:tc>
          <w:tcPr>
            <w:tcW w:w="0" w:type="auto"/>
            <w:vAlign w:val="bottom"/>
          </w:tcPr>
          <w:p w14:paraId="087E0AD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(.109)</w:t>
            </w:r>
          </w:p>
        </w:tc>
        <w:tc>
          <w:tcPr>
            <w:tcW w:w="0" w:type="auto"/>
            <w:vAlign w:val="bottom"/>
          </w:tcPr>
          <w:p w14:paraId="6672BC2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(.0800)</w:t>
            </w:r>
          </w:p>
        </w:tc>
        <w:tc>
          <w:tcPr>
            <w:tcW w:w="0" w:type="auto"/>
            <w:vAlign w:val="bottom"/>
          </w:tcPr>
          <w:p w14:paraId="5AAA4E5C"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(.115)</w:t>
            </w:r>
          </w:p>
        </w:tc>
        <w:tc>
          <w:tcPr>
            <w:tcW w:w="1096" w:type="dxa"/>
            <w:vAlign w:val="bottom"/>
          </w:tcPr>
          <w:p w14:paraId="528CFFD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(.167)</w:t>
            </w:r>
          </w:p>
        </w:tc>
        <w:tc>
          <w:tcPr>
            <w:tcW w:w="1131" w:type="dxa"/>
            <w:vAlign w:val="bottom"/>
          </w:tcPr>
          <w:p w14:paraId="064045A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(.149)</w:t>
            </w:r>
          </w:p>
        </w:tc>
        <w:tc>
          <w:tcPr>
            <w:tcW w:w="1119" w:type="dxa"/>
            <w:vAlign w:val="bottom"/>
          </w:tcPr>
          <w:p w14:paraId="6ABC1FD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(.115)</w:t>
            </w:r>
          </w:p>
        </w:tc>
        <w:tc>
          <w:tcPr>
            <w:tcW w:w="1098" w:type="dxa"/>
            <w:vAlign w:val="bottom"/>
          </w:tcPr>
          <w:p w14:paraId="4E1F03C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(.101)</w:t>
            </w:r>
          </w:p>
        </w:tc>
      </w:tr>
      <w:tr w:rsidR="004C09CB" w:rsidRPr="00226AB7" w14:paraId="65223979" w14:textId="77777777" w:rsidTr="00B34F93">
        <w:tc>
          <w:tcPr>
            <w:tcW w:w="0" w:type="auto"/>
            <w:vAlign w:val="bottom"/>
          </w:tcPr>
          <w:p w14:paraId="229CEBCD" w14:textId="77777777" w:rsidR="004C09CB" w:rsidRPr="00226AB7" w:rsidRDefault="004C09CB" w:rsidP="009D6779">
            <w:pPr>
              <w:contextualSpacing/>
              <w:rPr>
                <w:rFonts w:eastAsia="Times New Roman" w:cs="Calibri"/>
                <w:i/>
                <w:sz w:val="20"/>
                <w:szCs w:val="20"/>
              </w:rPr>
            </w:pPr>
            <w:r>
              <w:rPr>
                <w:rFonts w:eastAsia="Times New Roman" w:cs="Calibri"/>
                <w:i/>
                <w:sz w:val="20"/>
                <w:szCs w:val="20"/>
              </w:rPr>
              <w:t>Subsidiary</w:t>
            </w:r>
          </w:p>
        </w:tc>
        <w:tc>
          <w:tcPr>
            <w:tcW w:w="0" w:type="auto"/>
            <w:vAlign w:val="bottom"/>
          </w:tcPr>
          <w:p w14:paraId="790EDD6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.266***</w:t>
            </w:r>
          </w:p>
        </w:tc>
        <w:tc>
          <w:tcPr>
            <w:tcW w:w="0" w:type="auto"/>
            <w:vAlign w:val="bottom"/>
          </w:tcPr>
          <w:p w14:paraId="4A4FBE2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-.285***</w:t>
            </w:r>
          </w:p>
        </w:tc>
        <w:tc>
          <w:tcPr>
            <w:tcW w:w="0" w:type="auto"/>
            <w:vAlign w:val="bottom"/>
          </w:tcPr>
          <w:p w14:paraId="703E0DC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.139***</w:t>
            </w:r>
          </w:p>
        </w:tc>
        <w:tc>
          <w:tcPr>
            <w:tcW w:w="0" w:type="auto"/>
            <w:vAlign w:val="bottom"/>
          </w:tcPr>
          <w:p w14:paraId="17A31C3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.277***</w:t>
            </w:r>
          </w:p>
        </w:tc>
        <w:tc>
          <w:tcPr>
            <w:tcW w:w="0" w:type="auto"/>
            <w:vAlign w:val="bottom"/>
          </w:tcPr>
          <w:p w14:paraId="677EB90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.305***</w:t>
            </w:r>
          </w:p>
        </w:tc>
        <w:tc>
          <w:tcPr>
            <w:tcW w:w="0" w:type="auto"/>
            <w:vAlign w:val="bottom"/>
          </w:tcPr>
          <w:p w14:paraId="038C56B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.314***</w:t>
            </w:r>
          </w:p>
        </w:tc>
        <w:tc>
          <w:tcPr>
            <w:tcW w:w="1096" w:type="dxa"/>
            <w:vAlign w:val="bottom"/>
          </w:tcPr>
          <w:p w14:paraId="39E6C3C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.310***</w:t>
            </w:r>
          </w:p>
        </w:tc>
        <w:tc>
          <w:tcPr>
            <w:tcW w:w="1131" w:type="dxa"/>
            <w:vAlign w:val="bottom"/>
          </w:tcPr>
          <w:p w14:paraId="64F09BD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.280***</w:t>
            </w:r>
          </w:p>
        </w:tc>
        <w:tc>
          <w:tcPr>
            <w:tcW w:w="1119" w:type="dxa"/>
            <w:vAlign w:val="bottom"/>
          </w:tcPr>
          <w:p w14:paraId="7D96F04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.240***</w:t>
            </w:r>
          </w:p>
        </w:tc>
        <w:tc>
          <w:tcPr>
            <w:tcW w:w="1098" w:type="dxa"/>
            <w:vAlign w:val="bottom"/>
          </w:tcPr>
          <w:p w14:paraId="228BB81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.298***</w:t>
            </w:r>
          </w:p>
        </w:tc>
      </w:tr>
      <w:tr w:rsidR="004C09CB" w:rsidRPr="00226AB7" w14:paraId="75BCB425" w14:textId="77777777" w:rsidTr="00B34F93">
        <w:tc>
          <w:tcPr>
            <w:tcW w:w="0" w:type="auto"/>
            <w:tcBorders>
              <w:bottom w:val="single" w:sz="4" w:space="0" w:color="auto"/>
            </w:tcBorders>
          </w:tcPr>
          <w:p w14:paraId="6D03BF1B" w14:textId="77777777" w:rsidR="004C09CB" w:rsidRPr="009911DF" w:rsidRDefault="004C09CB" w:rsidP="009D6779">
            <w:pPr>
              <w:contextualSpacing/>
              <w:rPr>
                <w:i/>
                <w:sz w:val="20"/>
                <w:szCs w:val="20"/>
              </w:rPr>
            </w:pPr>
            <w:r>
              <w:rPr>
                <w:i/>
                <w:sz w:val="20"/>
                <w:szCs w:val="20"/>
              </w:rPr>
              <w:t xml:space="preserve">   </w:t>
            </w:r>
            <w:r w:rsidRPr="009911DF">
              <w:rPr>
                <w:i/>
                <w:sz w:val="20"/>
                <w:szCs w:val="20"/>
              </w:rPr>
              <w:t>* Post</w:t>
            </w:r>
          </w:p>
        </w:tc>
        <w:tc>
          <w:tcPr>
            <w:tcW w:w="0" w:type="auto"/>
            <w:tcBorders>
              <w:bottom w:val="single" w:sz="4" w:space="0" w:color="auto"/>
            </w:tcBorders>
            <w:vAlign w:val="bottom"/>
          </w:tcPr>
          <w:p w14:paraId="43C75B1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(.0487)</w:t>
            </w:r>
          </w:p>
        </w:tc>
        <w:tc>
          <w:tcPr>
            <w:tcW w:w="0" w:type="auto"/>
            <w:tcBorders>
              <w:bottom w:val="single" w:sz="4" w:space="0" w:color="auto"/>
            </w:tcBorders>
            <w:vAlign w:val="bottom"/>
          </w:tcPr>
          <w:p w14:paraId="51FDFA3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(.0243)</w:t>
            </w:r>
          </w:p>
        </w:tc>
        <w:tc>
          <w:tcPr>
            <w:tcW w:w="0" w:type="auto"/>
            <w:tcBorders>
              <w:bottom w:val="single" w:sz="4" w:space="0" w:color="auto"/>
            </w:tcBorders>
            <w:vAlign w:val="bottom"/>
          </w:tcPr>
          <w:p w14:paraId="1775C63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(.0339)</w:t>
            </w:r>
          </w:p>
        </w:tc>
        <w:tc>
          <w:tcPr>
            <w:tcW w:w="0" w:type="auto"/>
            <w:tcBorders>
              <w:bottom w:val="single" w:sz="4" w:space="0" w:color="auto"/>
            </w:tcBorders>
            <w:vAlign w:val="bottom"/>
          </w:tcPr>
          <w:p w14:paraId="1C40D29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(.0515)</w:t>
            </w:r>
          </w:p>
        </w:tc>
        <w:tc>
          <w:tcPr>
            <w:tcW w:w="0" w:type="auto"/>
            <w:tcBorders>
              <w:bottom w:val="single" w:sz="4" w:space="0" w:color="auto"/>
            </w:tcBorders>
            <w:vAlign w:val="bottom"/>
          </w:tcPr>
          <w:p w14:paraId="7DDCAD3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(.0626)</w:t>
            </w:r>
          </w:p>
        </w:tc>
        <w:tc>
          <w:tcPr>
            <w:tcW w:w="0" w:type="auto"/>
            <w:tcBorders>
              <w:bottom w:val="single" w:sz="4" w:space="0" w:color="auto"/>
            </w:tcBorders>
            <w:vAlign w:val="bottom"/>
          </w:tcPr>
          <w:p w14:paraId="15ED410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(.0493)</w:t>
            </w:r>
          </w:p>
        </w:tc>
        <w:tc>
          <w:tcPr>
            <w:tcW w:w="1096" w:type="dxa"/>
            <w:tcBorders>
              <w:bottom w:val="single" w:sz="4" w:space="0" w:color="auto"/>
            </w:tcBorders>
            <w:vAlign w:val="bottom"/>
          </w:tcPr>
          <w:p w14:paraId="49E4E96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(.0519)</w:t>
            </w:r>
          </w:p>
        </w:tc>
        <w:tc>
          <w:tcPr>
            <w:tcW w:w="1131" w:type="dxa"/>
            <w:tcBorders>
              <w:bottom w:val="single" w:sz="4" w:space="0" w:color="auto"/>
            </w:tcBorders>
            <w:vAlign w:val="bottom"/>
          </w:tcPr>
          <w:p w14:paraId="6DDC282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(.0507)</w:t>
            </w:r>
          </w:p>
        </w:tc>
        <w:tc>
          <w:tcPr>
            <w:tcW w:w="1119" w:type="dxa"/>
            <w:tcBorders>
              <w:bottom w:val="single" w:sz="4" w:space="0" w:color="auto"/>
            </w:tcBorders>
            <w:vAlign w:val="bottom"/>
          </w:tcPr>
          <w:p w14:paraId="31FC6DE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(.0509)</w:t>
            </w:r>
          </w:p>
        </w:tc>
        <w:tc>
          <w:tcPr>
            <w:tcW w:w="1098" w:type="dxa"/>
            <w:tcBorders>
              <w:bottom w:val="single" w:sz="4" w:space="0" w:color="auto"/>
            </w:tcBorders>
            <w:vAlign w:val="bottom"/>
          </w:tcPr>
          <w:p w14:paraId="3C1110C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(.0433)</w:t>
            </w:r>
          </w:p>
        </w:tc>
      </w:tr>
      <w:tr w:rsidR="004C09CB" w:rsidRPr="00226AB7" w14:paraId="3BBB564D" w14:textId="77777777" w:rsidTr="00B34F93">
        <w:tc>
          <w:tcPr>
            <w:tcW w:w="0" w:type="auto"/>
            <w:tcBorders>
              <w:top w:val="single" w:sz="4" w:space="0" w:color="auto"/>
              <w:bottom w:val="nil"/>
            </w:tcBorders>
          </w:tcPr>
          <w:p w14:paraId="6357EF31" w14:textId="77777777" w:rsidR="004C09CB" w:rsidRPr="00226AB7" w:rsidRDefault="004C09CB">
            <w:pPr>
              <w:contextualSpacing/>
              <w:rPr>
                <w:b/>
                <w:sz w:val="20"/>
                <w:szCs w:val="20"/>
              </w:rPr>
            </w:pPr>
            <w:r w:rsidRPr="00226AB7">
              <w:rPr>
                <w:b/>
                <w:sz w:val="20"/>
                <w:szCs w:val="20"/>
              </w:rPr>
              <w:t>Panel D</w:t>
            </w:r>
          </w:p>
        </w:tc>
        <w:tc>
          <w:tcPr>
            <w:tcW w:w="0" w:type="auto"/>
            <w:tcBorders>
              <w:top w:val="single" w:sz="4" w:space="0" w:color="auto"/>
              <w:bottom w:val="nil"/>
            </w:tcBorders>
          </w:tcPr>
          <w:p w14:paraId="3F801F77" w14:textId="77777777" w:rsidR="004C09CB" w:rsidRDefault="004C09CB">
            <w:pPr>
              <w:contextualSpacing/>
              <w:rPr>
                <w:sz w:val="20"/>
                <w:szCs w:val="20"/>
              </w:rPr>
            </w:pPr>
          </w:p>
        </w:tc>
        <w:tc>
          <w:tcPr>
            <w:tcW w:w="0" w:type="auto"/>
            <w:tcBorders>
              <w:top w:val="single" w:sz="4" w:space="0" w:color="auto"/>
              <w:bottom w:val="nil"/>
            </w:tcBorders>
          </w:tcPr>
          <w:p w14:paraId="3143EAF4" w14:textId="77777777" w:rsidR="004C09CB" w:rsidRPr="00226AB7" w:rsidRDefault="004C09CB">
            <w:pPr>
              <w:contextualSpacing/>
              <w:rPr>
                <w:sz w:val="20"/>
                <w:szCs w:val="20"/>
              </w:rPr>
            </w:pPr>
          </w:p>
        </w:tc>
        <w:tc>
          <w:tcPr>
            <w:tcW w:w="0" w:type="auto"/>
            <w:tcBorders>
              <w:top w:val="single" w:sz="4" w:space="0" w:color="auto"/>
              <w:bottom w:val="nil"/>
            </w:tcBorders>
          </w:tcPr>
          <w:p w14:paraId="15995A80" w14:textId="77777777" w:rsidR="004C09CB" w:rsidRPr="00226AB7" w:rsidRDefault="004C09CB">
            <w:pPr>
              <w:contextualSpacing/>
              <w:rPr>
                <w:sz w:val="20"/>
                <w:szCs w:val="20"/>
              </w:rPr>
            </w:pPr>
          </w:p>
        </w:tc>
        <w:tc>
          <w:tcPr>
            <w:tcW w:w="0" w:type="auto"/>
            <w:tcBorders>
              <w:top w:val="single" w:sz="4" w:space="0" w:color="auto"/>
              <w:bottom w:val="nil"/>
            </w:tcBorders>
          </w:tcPr>
          <w:p w14:paraId="37319B65" w14:textId="77777777" w:rsidR="004C09CB" w:rsidRPr="00226AB7" w:rsidRDefault="004C09CB">
            <w:pPr>
              <w:contextualSpacing/>
              <w:rPr>
                <w:sz w:val="20"/>
                <w:szCs w:val="20"/>
              </w:rPr>
            </w:pPr>
          </w:p>
        </w:tc>
        <w:tc>
          <w:tcPr>
            <w:tcW w:w="0" w:type="auto"/>
            <w:tcBorders>
              <w:top w:val="single" w:sz="4" w:space="0" w:color="auto"/>
              <w:bottom w:val="nil"/>
            </w:tcBorders>
          </w:tcPr>
          <w:p w14:paraId="052342B1" w14:textId="77777777" w:rsidR="004C09CB" w:rsidRPr="00226AB7" w:rsidRDefault="004C09CB">
            <w:pPr>
              <w:contextualSpacing/>
              <w:rPr>
                <w:sz w:val="20"/>
                <w:szCs w:val="20"/>
              </w:rPr>
            </w:pPr>
          </w:p>
        </w:tc>
        <w:tc>
          <w:tcPr>
            <w:tcW w:w="0" w:type="auto"/>
            <w:tcBorders>
              <w:top w:val="single" w:sz="4" w:space="0" w:color="auto"/>
              <w:bottom w:val="nil"/>
            </w:tcBorders>
          </w:tcPr>
          <w:p w14:paraId="34C24157" w14:textId="77777777" w:rsidR="004C09CB" w:rsidRPr="00226AB7" w:rsidRDefault="004C09CB">
            <w:pPr>
              <w:contextualSpacing/>
              <w:rPr>
                <w:sz w:val="20"/>
                <w:szCs w:val="20"/>
              </w:rPr>
            </w:pPr>
          </w:p>
        </w:tc>
        <w:tc>
          <w:tcPr>
            <w:tcW w:w="1096" w:type="dxa"/>
            <w:tcBorders>
              <w:top w:val="single" w:sz="4" w:space="0" w:color="auto"/>
              <w:bottom w:val="nil"/>
            </w:tcBorders>
          </w:tcPr>
          <w:p w14:paraId="1B51738F" w14:textId="77777777" w:rsidR="004C09CB" w:rsidRPr="00226AB7" w:rsidRDefault="004C09CB">
            <w:pPr>
              <w:contextualSpacing/>
              <w:rPr>
                <w:sz w:val="20"/>
                <w:szCs w:val="20"/>
              </w:rPr>
            </w:pPr>
          </w:p>
        </w:tc>
        <w:tc>
          <w:tcPr>
            <w:tcW w:w="1131" w:type="dxa"/>
            <w:tcBorders>
              <w:top w:val="single" w:sz="4" w:space="0" w:color="auto"/>
              <w:bottom w:val="nil"/>
            </w:tcBorders>
          </w:tcPr>
          <w:p w14:paraId="1ECAFD55" w14:textId="77777777" w:rsidR="004C09CB" w:rsidRPr="00226AB7" w:rsidRDefault="004C09CB">
            <w:pPr>
              <w:contextualSpacing/>
              <w:rPr>
                <w:sz w:val="20"/>
                <w:szCs w:val="20"/>
              </w:rPr>
            </w:pPr>
          </w:p>
        </w:tc>
        <w:tc>
          <w:tcPr>
            <w:tcW w:w="1119" w:type="dxa"/>
            <w:tcBorders>
              <w:top w:val="single" w:sz="4" w:space="0" w:color="auto"/>
              <w:bottom w:val="nil"/>
            </w:tcBorders>
          </w:tcPr>
          <w:p w14:paraId="6C656B2F" w14:textId="77777777" w:rsidR="004C09CB" w:rsidRPr="00226AB7" w:rsidRDefault="004C09CB">
            <w:pPr>
              <w:contextualSpacing/>
              <w:rPr>
                <w:sz w:val="20"/>
                <w:szCs w:val="20"/>
              </w:rPr>
            </w:pPr>
          </w:p>
        </w:tc>
        <w:tc>
          <w:tcPr>
            <w:tcW w:w="1098" w:type="dxa"/>
            <w:tcBorders>
              <w:top w:val="single" w:sz="4" w:space="0" w:color="auto"/>
              <w:bottom w:val="nil"/>
            </w:tcBorders>
          </w:tcPr>
          <w:p w14:paraId="09CDEAF4" w14:textId="77777777" w:rsidR="004C09CB" w:rsidRPr="00226AB7" w:rsidRDefault="004C09CB">
            <w:pPr>
              <w:contextualSpacing/>
              <w:rPr>
                <w:sz w:val="20"/>
                <w:szCs w:val="20"/>
              </w:rPr>
            </w:pPr>
          </w:p>
        </w:tc>
      </w:tr>
      <w:tr w:rsidR="004C09CB" w:rsidRPr="00226AB7" w14:paraId="4ABAB5FC" w14:textId="77777777" w:rsidTr="00B34F93">
        <w:tc>
          <w:tcPr>
            <w:tcW w:w="0" w:type="auto"/>
            <w:tcBorders>
              <w:top w:val="nil"/>
            </w:tcBorders>
          </w:tcPr>
          <w:p w14:paraId="1CEAA2A3" w14:textId="77777777" w:rsidR="004C09CB" w:rsidRPr="00226AB7" w:rsidRDefault="004C09CB">
            <w:pPr>
              <w:contextualSpacing/>
              <w:rPr>
                <w:sz w:val="20"/>
                <w:szCs w:val="20"/>
              </w:rPr>
            </w:pPr>
          </w:p>
        </w:tc>
        <w:tc>
          <w:tcPr>
            <w:tcW w:w="0" w:type="auto"/>
            <w:gridSpan w:val="10"/>
            <w:tcBorders>
              <w:top w:val="nil"/>
              <w:bottom w:val="single" w:sz="4" w:space="0" w:color="auto"/>
            </w:tcBorders>
          </w:tcPr>
          <w:p w14:paraId="706E18CF" w14:textId="77777777" w:rsidR="004C09CB" w:rsidRPr="00226AB7" w:rsidRDefault="004C09CB">
            <w:pPr>
              <w:contextualSpacing/>
              <w:jc w:val="center"/>
              <w:rPr>
                <w:sz w:val="20"/>
                <w:szCs w:val="20"/>
              </w:rPr>
            </w:pPr>
            <w:r>
              <w:rPr>
                <w:sz w:val="20"/>
                <w:szCs w:val="20"/>
              </w:rPr>
              <w:t xml:space="preserve">Dependent variable: </w:t>
            </w:r>
            <w:r>
              <w:rPr>
                <w:i/>
                <w:sz w:val="20"/>
                <w:szCs w:val="20"/>
              </w:rPr>
              <w:t>LTV</w:t>
            </w:r>
          </w:p>
        </w:tc>
      </w:tr>
      <w:tr w:rsidR="004C09CB" w:rsidRPr="00226AB7" w14:paraId="3B3B8D91" w14:textId="77777777" w:rsidTr="00B34F93">
        <w:tc>
          <w:tcPr>
            <w:tcW w:w="0" w:type="auto"/>
          </w:tcPr>
          <w:p w14:paraId="77E456E4" w14:textId="77777777" w:rsidR="004C09CB" w:rsidRPr="00226AB7" w:rsidRDefault="004C09CB">
            <w:pPr>
              <w:contextualSpacing/>
              <w:rPr>
                <w:sz w:val="20"/>
                <w:szCs w:val="20"/>
              </w:rPr>
            </w:pPr>
          </w:p>
        </w:tc>
        <w:tc>
          <w:tcPr>
            <w:tcW w:w="0" w:type="auto"/>
            <w:tcBorders>
              <w:top w:val="single" w:sz="4" w:space="0" w:color="auto"/>
              <w:bottom w:val="nil"/>
            </w:tcBorders>
          </w:tcPr>
          <w:p w14:paraId="0DE65A93" w14:textId="0E946966" w:rsidR="004C09CB" w:rsidRPr="00226AB7" w:rsidRDefault="004C09CB">
            <w:pPr>
              <w:contextualSpacing/>
              <w:jc w:val="center"/>
              <w:rPr>
                <w:sz w:val="20"/>
                <w:szCs w:val="20"/>
              </w:rPr>
            </w:pPr>
            <w:r>
              <w:rPr>
                <w:sz w:val="20"/>
                <w:szCs w:val="20"/>
              </w:rPr>
              <w:t xml:space="preserve">Table </w:t>
            </w:r>
            <w:r w:rsidR="009F7EF0">
              <w:rPr>
                <w:sz w:val="20"/>
                <w:szCs w:val="20"/>
              </w:rPr>
              <w:t>1</w:t>
            </w:r>
            <w:r>
              <w:rPr>
                <w:sz w:val="20"/>
                <w:szCs w:val="20"/>
              </w:rPr>
              <w:t>0, model 6</w:t>
            </w:r>
          </w:p>
        </w:tc>
        <w:tc>
          <w:tcPr>
            <w:tcW w:w="0" w:type="auto"/>
            <w:tcBorders>
              <w:top w:val="single" w:sz="4" w:space="0" w:color="auto"/>
              <w:bottom w:val="nil"/>
            </w:tcBorders>
          </w:tcPr>
          <w:p w14:paraId="592D62B0" w14:textId="77777777" w:rsidR="004C09CB" w:rsidRPr="00226AB7" w:rsidRDefault="004C09CB">
            <w:pPr>
              <w:contextualSpacing/>
              <w:jc w:val="center"/>
              <w:rPr>
                <w:sz w:val="20"/>
                <w:szCs w:val="20"/>
              </w:rPr>
            </w:pPr>
            <w:r w:rsidRPr="00226AB7">
              <w:rPr>
                <w:sz w:val="20"/>
                <w:szCs w:val="20"/>
              </w:rPr>
              <w:t>2004 policy treatment</w:t>
            </w:r>
          </w:p>
        </w:tc>
        <w:tc>
          <w:tcPr>
            <w:tcW w:w="0" w:type="auto"/>
            <w:tcBorders>
              <w:top w:val="single" w:sz="4" w:space="0" w:color="auto"/>
              <w:bottom w:val="nil"/>
            </w:tcBorders>
          </w:tcPr>
          <w:p w14:paraId="3D2FD700" w14:textId="77777777" w:rsidR="004C09CB" w:rsidRPr="00226AB7" w:rsidRDefault="004C09CB">
            <w:pPr>
              <w:contextualSpacing/>
              <w:jc w:val="center"/>
              <w:rPr>
                <w:sz w:val="20"/>
                <w:szCs w:val="20"/>
              </w:rPr>
            </w:pPr>
            <w:r w:rsidRPr="00226AB7">
              <w:rPr>
                <w:sz w:val="20"/>
                <w:szCs w:val="20"/>
              </w:rPr>
              <w:t>2007 policy treatment</w:t>
            </w:r>
          </w:p>
        </w:tc>
        <w:tc>
          <w:tcPr>
            <w:tcW w:w="0" w:type="auto"/>
            <w:tcBorders>
              <w:top w:val="single" w:sz="4" w:space="0" w:color="auto"/>
              <w:bottom w:val="nil"/>
            </w:tcBorders>
          </w:tcPr>
          <w:p w14:paraId="6F57E567" w14:textId="77777777" w:rsidR="004C09CB" w:rsidRPr="00226AB7" w:rsidRDefault="004C09CB">
            <w:pPr>
              <w:contextualSpacing/>
              <w:jc w:val="center"/>
              <w:rPr>
                <w:sz w:val="20"/>
                <w:szCs w:val="20"/>
              </w:rPr>
            </w:pPr>
            <w:r w:rsidRPr="00226AB7">
              <w:rPr>
                <w:sz w:val="20"/>
                <w:szCs w:val="20"/>
              </w:rPr>
              <w:t>2010 policy treatment</w:t>
            </w:r>
          </w:p>
        </w:tc>
        <w:tc>
          <w:tcPr>
            <w:tcW w:w="0" w:type="auto"/>
            <w:tcBorders>
              <w:top w:val="single" w:sz="4" w:space="0" w:color="auto"/>
              <w:bottom w:val="nil"/>
            </w:tcBorders>
          </w:tcPr>
          <w:p w14:paraId="1A08886C" w14:textId="77777777" w:rsidR="004C09CB" w:rsidRPr="00226AB7" w:rsidRDefault="004C09CB">
            <w:pPr>
              <w:contextualSpacing/>
              <w:jc w:val="center"/>
              <w:rPr>
                <w:sz w:val="20"/>
                <w:szCs w:val="20"/>
              </w:rPr>
            </w:pPr>
            <w:r w:rsidRPr="00226AB7">
              <w:rPr>
                <w:sz w:val="20"/>
                <w:szCs w:val="20"/>
              </w:rPr>
              <w:t>2011 policy treatment</w:t>
            </w:r>
          </w:p>
        </w:tc>
        <w:tc>
          <w:tcPr>
            <w:tcW w:w="0" w:type="auto"/>
            <w:tcBorders>
              <w:top w:val="single" w:sz="4" w:space="0" w:color="auto"/>
              <w:bottom w:val="nil"/>
            </w:tcBorders>
          </w:tcPr>
          <w:p w14:paraId="54664F34" w14:textId="77777777" w:rsidR="004C09CB" w:rsidRPr="00226AB7" w:rsidRDefault="004C09CB">
            <w:pPr>
              <w:contextualSpacing/>
              <w:jc w:val="center"/>
              <w:rPr>
                <w:sz w:val="20"/>
                <w:szCs w:val="20"/>
              </w:rPr>
            </w:pPr>
            <w:r>
              <w:rPr>
                <w:sz w:val="20"/>
                <w:szCs w:val="20"/>
              </w:rPr>
              <w:t>2000-02 omitted</w:t>
            </w:r>
          </w:p>
        </w:tc>
        <w:tc>
          <w:tcPr>
            <w:tcW w:w="1096" w:type="dxa"/>
            <w:tcBorders>
              <w:top w:val="single" w:sz="4" w:space="0" w:color="auto"/>
              <w:bottom w:val="nil"/>
            </w:tcBorders>
          </w:tcPr>
          <w:p w14:paraId="73F97207" w14:textId="77777777" w:rsidR="004C09CB" w:rsidRPr="00226AB7" w:rsidRDefault="004C09CB">
            <w:pPr>
              <w:contextualSpacing/>
              <w:jc w:val="center"/>
              <w:rPr>
                <w:sz w:val="20"/>
                <w:szCs w:val="20"/>
              </w:rPr>
            </w:pPr>
            <w:r>
              <w:rPr>
                <w:sz w:val="20"/>
                <w:szCs w:val="20"/>
              </w:rPr>
              <w:t>Propensity score</w:t>
            </w:r>
          </w:p>
        </w:tc>
        <w:tc>
          <w:tcPr>
            <w:tcW w:w="1131" w:type="dxa"/>
            <w:tcBorders>
              <w:top w:val="single" w:sz="4" w:space="0" w:color="auto"/>
              <w:bottom w:val="nil"/>
            </w:tcBorders>
          </w:tcPr>
          <w:p w14:paraId="43986536" w14:textId="77777777" w:rsidR="004C09CB" w:rsidRDefault="004C09CB">
            <w:pPr>
              <w:contextualSpacing/>
              <w:jc w:val="center"/>
              <w:rPr>
                <w:sz w:val="20"/>
                <w:szCs w:val="20"/>
              </w:rPr>
            </w:pPr>
          </w:p>
          <w:p w14:paraId="486FAD65" w14:textId="77777777" w:rsidR="004C09CB" w:rsidRPr="00226AB7" w:rsidRDefault="004C09CB">
            <w:pPr>
              <w:contextualSpacing/>
              <w:jc w:val="center"/>
              <w:rPr>
                <w:sz w:val="20"/>
                <w:szCs w:val="20"/>
              </w:rPr>
            </w:pPr>
            <w:r>
              <w:rPr>
                <w:sz w:val="20"/>
                <w:szCs w:val="20"/>
              </w:rPr>
              <w:t>Random</w:t>
            </w:r>
          </w:p>
        </w:tc>
        <w:tc>
          <w:tcPr>
            <w:tcW w:w="1119" w:type="dxa"/>
            <w:tcBorders>
              <w:top w:val="single" w:sz="4" w:space="0" w:color="auto"/>
              <w:bottom w:val="nil"/>
            </w:tcBorders>
          </w:tcPr>
          <w:p w14:paraId="7F5BE14A" w14:textId="77777777" w:rsidR="004C09CB" w:rsidRPr="00226AB7" w:rsidRDefault="004C09CB">
            <w:pPr>
              <w:contextualSpacing/>
              <w:jc w:val="center"/>
              <w:rPr>
                <w:sz w:val="20"/>
                <w:szCs w:val="20"/>
              </w:rPr>
            </w:pPr>
            <w:r>
              <w:rPr>
                <w:sz w:val="20"/>
                <w:szCs w:val="20"/>
              </w:rPr>
              <w:t>Transfers omitted</w:t>
            </w:r>
          </w:p>
        </w:tc>
        <w:tc>
          <w:tcPr>
            <w:tcW w:w="1098" w:type="dxa"/>
            <w:tcBorders>
              <w:top w:val="single" w:sz="4" w:space="0" w:color="auto"/>
              <w:bottom w:val="nil"/>
            </w:tcBorders>
          </w:tcPr>
          <w:p w14:paraId="02DEDFC7" w14:textId="77777777" w:rsidR="004C09CB" w:rsidRPr="00226AB7" w:rsidRDefault="004C09CB">
            <w:pPr>
              <w:contextualSpacing/>
              <w:jc w:val="center"/>
              <w:rPr>
                <w:sz w:val="20"/>
                <w:szCs w:val="20"/>
              </w:rPr>
            </w:pPr>
            <w:r>
              <w:rPr>
                <w:sz w:val="20"/>
                <w:szCs w:val="20"/>
              </w:rPr>
              <w:t>GSE-owned</w:t>
            </w:r>
          </w:p>
        </w:tc>
      </w:tr>
      <w:tr w:rsidR="004C09CB" w:rsidRPr="00226AB7" w14:paraId="13056C1E" w14:textId="77777777" w:rsidTr="00B34F93">
        <w:tc>
          <w:tcPr>
            <w:tcW w:w="0" w:type="auto"/>
          </w:tcPr>
          <w:p w14:paraId="76B2B6F6" w14:textId="77777777" w:rsidR="004C09CB" w:rsidRPr="00226AB7" w:rsidRDefault="004C09CB">
            <w:pPr>
              <w:contextualSpacing/>
              <w:rPr>
                <w:sz w:val="20"/>
                <w:szCs w:val="20"/>
              </w:rPr>
            </w:pPr>
          </w:p>
        </w:tc>
        <w:tc>
          <w:tcPr>
            <w:tcW w:w="0" w:type="auto"/>
            <w:tcBorders>
              <w:top w:val="nil"/>
              <w:bottom w:val="single" w:sz="4" w:space="0" w:color="auto"/>
            </w:tcBorders>
            <w:vAlign w:val="bottom"/>
          </w:tcPr>
          <w:p w14:paraId="4121F08E"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(1)</w:t>
            </w:r>
          </w:p>
        </w:tc>
        <w:tc>
          <w:tcPr>
            <w:tcW w:w="0" w:type="auto"/>
            <w:tcBorders>
              <w:top w:val="nil"/>
              <w:bottom w:val="single" w:sz="4" w:space="0" w:color="auto"/>
            </w:tcBorders>
            <w:vAlign w:val="bottom"/>
          </w:tcPr>
          <w:p w14:paraId="4E1654B9"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(2)</w:t>
            </w:r>
          </w:p>
        </w:tc>
        <w:tc>
          <w:tcPr>
            <w:tcW w:w="0" w:type="auto"/>
            <w:tcBorders>
              <w:top w:val="nil"/>
              <w:bottom w:val="single" w:sz="4" w:space="0" w:color="auto"/>
            </w:tcBorders>
            <w:vAlign w:val="bottom"/>
          </w:tcPr>
          <w:p w14:paraId="49BD0E94"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(3)</w:t>
            </w:r>
          </w:p>
        </w:tc>
        <w:tc>
          <w:tcPr>
            <w:tcW w:w="0" w:type="auto"/>
            <w:tcBorders>
              <w:top w:val="nil"/>
              <w:bottom w:val="single" w:sz="4" w:space="0" w:color="auto"/>
            </w:tcBorders>
            <w:vAlign w:val="bottom"/>
          </w:tcPr>
          <w:p w14:paraId="74E527A4"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(4)</w:t>
            </w:r>
          </w:p>
        </w:tc>
        <w:tc>
          <w:tcPr>
            <w:tcW w:w="0" w:type="auto"/>
            <w:tcBorders>
              <w:top w:val="nil"/>
              <w:bottom w:val="single" w:sz="4" w:space="0" w:color="auto"/>
            </w:tcBorders>
          </w:tcPr>
          <w:p w14:paraId="162EC3A7" w14:textId="77777777" w:rsidR="004C09CB" w:rsidRPr="00226AB7" w:rsidRDefault="004C09CB" w:rsidP="009D6779">
            <w:pPr>
              <w:contextualSpacing/>
              <w:jc w:val="center"/>
              <w:rPr>
                <w:rFonts w:eastAsia="Times New Roman" w:cs="Calibri"/>
                <w:sz w:val="20"/>
                <w:szCs w:val="20"/>
              </w:rPr>
            </w:pPr>
            <w:r w:rsidRPr="00226AB7">
              <w:rPr>
                <w:rFonts w:eastAsia="Times New Roman" w:cs="Calibri"/>
                <w:sz w:val="20"/>
                <w:szCs w:val="20"/>
              </w:rPr>
              <w:t>(5)</w:t>
            </w:r>
          </w:p>
        </w:tc>
        <w:tc>
          <w:tcPr>
            <w:tcW w:w="0" w:type="auto"/>
            <w:tcBorders>
              <w:top w:val="nil"/>
              <w:bottom w:val="single" w:sz="4" w:space="0" w:color="auto"/>
            </w:tcBorders>
          </w:tcPr>
          <w:p w14:paraId="1B14A7ED"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(6)</w:t>
            </w:r>
          </w:p>
        </w:tc>
        <w:tc>
          <w:tcPr>
            <w:tcW w:w="1096" w:type="dxa"/>
            <w:tcBorders>
              <w:top w:val="nil"/>
              <w:bottom w:val="single" w:sz="4" w:space="0" w:color="auto"/>
            </w:tcBorders>
          </w:tcPr>
          <w:p w14:paraId="027AE2CD"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(7)</w:t>
            </w:r>
          </w:p>
        </w:tc>
        <w:tc>
          <w:tcPr>
            <w:tcW w:w="1131" w:type="dxa"/>
            <w:tcBorders>
              <w:top w:val="nil"/>
              <w:bottom w:val="single" w:sz="4" w:space="0" w:color="auto"/>
            </w:tcBorders>
          </w:tcPr>
          <w:p w14:paraId="3F5B92B0"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(8)</w:t>
            </w:r>
          </w:p>
        </w:tc>
        <w:tc>
          <w:tcPr>
            <w:tcW w:w="1119" w:type="dxa"/>
            <w:tcBorders>
              <w:top w:val="nil"/>
              <w:bottom w:val="single" w:sz="4" w:space="0" w:color="auto"/>
            </w:tcBorders>
          </w:tcPr>
          <w:p w14:paraId="371736F8"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(9)</w:t>
            </w:r>
          </w:p>
        </w:tc>
        <w:tc>
          <w:tcPr>
            <w:tcW w:w="1098" w:type="dxa"/>
            <w:tcBorders>
              <w:top w:val="nil"/>
              <w:bottom w:val="single" w:sz="4" w:space="0" w:color="auto"/>
            </w:tcBorders>
          </w:tcPr>
          <w:p w14:paraId="10A48816" w14:textId="77777777" w:rsidR="004C09CB" w:rsidRPr="00226AB7" w:rsidRDefault="004C09CB" w:rsidP="009D6779">
            <w:pPr>
              <w:contextualSpacing/>
              <w:jc w:val="center"/>
              <w:rPr>
                <w:rFonts w:eastAsia="Times New Roman" w:cs="Calibri"/>
                <w:sz w:val="20"/>
                <w:szCs w:val="20"/>
              </w:rPr>
            </w:pPr>
            <w:r>
              <w:rPr>
                <w:rFonts w:eastAsia="Times New Roman" w:cs="Calibri"/>
                <w:sz w:val="20"/>
                <w:szCs w:val="20"/>
              </w:rPr>
              <w:t>(10)</w:t>
            </w:r>
          </w:p>
        </w:tc>
      </w:tr>
      <w:tr w:rsidR="004C09CB" w:rsidRPr="00226AB7" w14:paraId="247A778D" w14:textId="77777777" w:rsidTr="00B34F93">
        <w:tc>
          <w:tcPr>
            <w:tcW w:w="0" w:type="auto"/>
            <w:vAlign w:val="bottom"/>
          </w:tcPr>
          <w:p w14:paraId="5211703F"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Subsidiary</w:t>
            </w:r>
          </w:p>
        </w:tc>
        <w:tc>
          <w:tcPr>
            <w:tcW w:w="0" w:type="auto"/>
            <w:tcBorders>
              <w:top w:val="single" w:sz="4" w:space="0" w:color="auto"/>
            </w:tcBorders>
            <w:vAlign w:val="bottom"/>
          </w:tcPr>
          <w:p w14:paraId="020C075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-1.828***</w:t>
            </w:r>
          </w:p>
        </w:tc>
        <w:tc>
          <w:tcPr>
            <w:tcW w:w="0" w:type="auto"/>
            <w:tcBorders>
              <w:top w:val="single" w:sz="4" w:space="0" w:color="auto"/>
            </w:tcBorders>
            <w:vAlign w:val="bottom"/>
          </w:tcPr>
          <w:p w14:paraId="22816D8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-2.934***</w:t>
            </w:r>
          </w:p>
        </w:tc>
        <w:tc>
          <w:tcPr>
            <w:tcW w:w="0" w:type="auto"/>
            <w:tcBorders>
              <w:top w:val="single" w:sz="4" w:space="0" w:color="auto"/>
            </w:tcBorders>
            <w:vAlign w:val="bottom"/>
          </w:tcPr>
          <w:p w14:paraId="5A53388C"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-1.867***</w:t>
            </w:r>
          </w:p>
        </w:tc>
        <w:tc>
          <w:tcPr>
            <w:tcW w:w="0" w:type="auto"/>
            <w:tcBorders>
              <w:top w:val="single" w:sz="4" w:space="0" w:color="auto"/>
            </w:tcBorders>
            <w:vAlign w:val="bottom"/>
          </w:tcPr>
          <w:p w14:paraId="45AD2A4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-1.738***</w:t>
            </w:r>
          </w:p>
        </w:tc>
        <w:tc>
          <w:tcPr>
            <w:tcW w:w="0" w:type="auto"/>
            <w:tcBorders>
              <w:top w:val="single" w:sz="4" w:space="0" w:color="auto"/>
            </w:tcBorders>
            <w:vAlign w:val="bottom"/>
          </w:tcPr>
          <w:p w14:paraId="1F3CA4D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-1.957***</w:t>
            </w:r>
          </w:p>
        </w:tc>
        <w:tc>
          <w:tcPr>
            <w:tcW w:w="0" w:type="auto"/>
            <w:tcBorders>
              <w:top w:val="single" w:sz="4" w:space="0" w:color="auto"/>
            </w:tcBorders>
            <w:vAlign w:val="bottom"/>
          </w:tcPr>
          <w:p w14:paraId="748C8FE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-1.747***</w:t>
            </w:r>
          </w:p>
        </w:tc>
        <w:tc>
          <w:tcPr>
            <w:tcW w:w="1096" w:type="dxa"/>
            <w:tcBorders>
              <w:top w:val="single" w:sz="4" w:space="0" w:color="auto"/>
            </w:tcBorders>
            <w:vAlign w:val="bottom"/>
          </w:tcPr>
          <w:p w14:paraId="4F79EC9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-2.119***</w:t>
            </w:r>
          </w:p>
        </w:tc>
        <w:tc>
          <w:tcPr>
            <w:tcW w:w="1131" w:type="dxa"/>
            <w:tcBorders>
              <w:top w:val="single" w:sz="4" w:space="0" w:color="auto"/>
            </w:tcBorders>
            <w:vAlign w:val="bottom"/>
          </w:tcPr>
          <w:p w14:paraId="1376E60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-1.802***</w:t>
            </w:r>
          </w:p>
        </w:tc>
        <w:tc>
          <w:tcPr>
            <w:tcW w:w="1119" w:type="dxa"/>
            <w:tcBorders>
              <w:top w:val="single" w:sz="4" w:space="0" w:color="auto"/>
            </w:tcBorders>
            <w:vAlign w:val="bottom"/>
          </w:tcPr>
          <w:p w14:paraId="53636DB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-2.193***</w:t>
            </w:r>
          </w:p>
        </w:tc>
        <w:tc>
          <w:tcPr>
            <w:tcW w:w="1098" w:type="dxa"/>
            <w:tcBorders>
              <w:top w:val="single" w:sz="4" w:space="0" w:color="auto"/>
            </w:tcBorders>
            <w:vAlign w:val="bottom"/>
          </w:tcPr>
          <w:p w14:paraId="2874D0C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-1.756***</w:t>
            </w:r>
          </w:p>
        </w:tc>
      </w:tr>
      <w:tr w:rsidR="004C09CB" w:rsidRPr="00226AB7" w14:paraId="2BEE49A3" w14:textId="77777777" w:rsidTr="00B34F93">
        <w:tc>
          <w:tcPr>
            <w:tcW w:w="0" w:type="auto"/>
            <w:vAlign w:val="bottom"/>
          </w:tcPr>
          <w:p w14:paraId="09492F79"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57AEE0D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(.269)</w:t>
            </w:r>
          </w:p>
        </w:tc>
        <w:tc>
          <w:tcPr>
            <w:tcW w:w="0" w:type="auto"/>
            <w:vAlign w:val="bottom"/>
          </w:tcPr>
          <w:p w14:paraId="6AF5690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(.424)</w:t>
            </w:r>
          </w:p>
        </w:tc>
        <w:tc>
          <w:tcPr>
            <w:tcW w:w="0" w:type="auto"/>
            <w:vAlign w:val="bottom"/>
          </w:tcPr>
          <w:p w14:paraId="63CC381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(.278)</w:t>
            </w:r>
          </w:p>
        </w:tc>
        <w:tc>
          <w:tcPr>
            <w:tcW w:w="0" w:type="auto"/>
            <w:vAlign w:val="bottom"/>
          </w:tcPr>
          <w:p w14:paraId="2C8FD94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(.269)</w:t>
            </w:r>
          </w:p>
        </w:tc>
        <w:tc>
          <w:tcPr>
            <w:tcW w:w="0" w:type="auto"/>
            <w:vAlign w:val="bottom"/>
          </w:tcPr>
          <w:p w14:paraId="258FC20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(.265)</w:t>
            </w:r>
          </w:p>
        </w:tc>
        <w:tc>
          <w:tcPr>
            <w:tcW w:w="0" w:type="auto"/>
            <w:vAlign w:val="bottom"/>
          </w:tcPr>
          <w:p w14:paraId="1714423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(.544)</w:t>
            </w:r>
          </w:p>
        </w:tc>
        <w:tc>
          <w:tcPr>
            <w:tcW w:w="1096" w:type="dxa"/>
            <w:vAlign w:val="bottom"/>
          </w:tcPr>
          <w:p w14:paraId="7F3D1B7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(.274)</w:t>
            </w:r>
          </w:p>
        </w:tc>
        <w:tc>
          <w:tcPr>
            <w:tcW w:w="1131" w:type="dxa"/>
            <w:vAlign w:val="bottom"/>
          </w:tcPr>
          <w:p w14:paraId="6654464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(.276)</w:t>
            </w:r>
          </w:p>
        </w:tc>
        <w:tc>
          <w:tcPr>
            <w:tcW w:w="1119" w:type="dxa"/>
            <w:vAlign w:val="bottom"/>
          </w:tcPr>
          <w:p w14:paraId="4A18F0B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(.279)</w:t>
            </w:r>
          </w:p>
        </w:tc>
        <w:tc>
          <w:tcPr>
            <w:tcW w:w="1098" w:type="dxa"/>
            <w:vAlign w:val="bottom"/>
          </w:tcPr>
          <w:p w14:paraId="39D7EEB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(.303)</w:t>
            </w:r>
          </w:p>
        </w:tc>
      </w:tr>
      <w:tr w:rsidR="004C09CB" w:rsidRPr="00226AB7" w14:paraId="3CA6A91A" w14:textId="77777777" w:rsidTr="00B34F93">
        <w:tc>
          <w:tcPr>
            <w:tcW w:w="0" w:type="auto"/>
            <w:vAlign w:val="bottom"/>
          </w:tcPr>
          <w:p w14:paraId="6F8BB38D"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Post</w:t>
            </w:r>
          </w:p>
        </w:tc>
        <w:tc>
          <w:tcPr>
            <w:tcW w:w="0" w:type="auto"/>
            <w:vAlign w:val="bottom"/>
          </w:tcPr>
          <w:p w14:paraId="5D74110C"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-17.46***</w:t>
            </w:r>
          </w:p>
        </w:tc>
        <w:tc>
          <w:tcPr>
            <w:tcW w:w="0" w:type="auto"/>
            <w:vAlign w:val="bottom"/>
          </w:tcPr>
          <w:p w14:paraId="48BED7B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-1.319</w:t>
            </w:r>
          </w:p>
        </w:tc>
        <w:tc>
          <w:tcPr>
            <w:tcW w:w="0" w:type="auto"/>
            <w:vAlign w:val="bottom"/>
          </w:tcPr>
          <w:p w14:paraId="5C65957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-.0247</w:t>
            </w:r>
          </w:p>
        </w:tc>
        <w:tc>
          <w:tcPr>
            <w:tcW w:w="0" w:type="auto"/>
            <w:vAlign w:val="bottom"/>
          </w:tcPr>
          <w:p w14:paraId="4022D85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15.55***</w:t>
            </w:r>
          </w:p>
        </w:tc>
        <w:tc>
          <w:tcPr>
            <w:tcW w:w="0" w:type="auto"/>
            <w:vAlign w:val="bottom"/>
          </w:tcPr>
          <w:p w14:paraId="13D2FFC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2.392</w:t>
            </w:r>
          </w:p>
        </w:tc>
        <w:tc>
          <w:tcPr>
            <w:tcW w:w="0" w:type="auto"/>
            <w:vAlign w:val="bottom"/>
          </w:tcPr>
          <w:p w14:paraId="20AABA7A"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-17.49***</w:t>
            </w:r>
          </w:p>
        </w:tc>
        <w:tc>
          <w:tcPr>
            <w:tcW w:w="1096" w:type="dxa"/>
            <w:vAlign w:val="bottom"/>
          </w:tcPr>
          <w:p w14:paraId="50C09D9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-9.45***</w:t>
            </w:r>
          </w:p>
        </w:tc>
        <w:tc>
          <w:tcPr>
            <w:tcW w:w="1131" w:type="dxa"/>
            <w:vAlign w:val="bottom"/>
          </w:tcPr>
          <w:p w14:paraId="086B217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-13.39***</w:t>
            </w:r>
          </w:p>
        </w:tc>
        <w:tc>
          <w:tcPr>
            <w:tcW w:w="1119" w:type="dxa"/>
            <w:vAlign w:val="bottom"/>
          </w:tcPr>
          <w:p w14:paraId="10F0C4F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-13.77***</w:t>
            </w:r>
          </w:p>
        </w:tc>
        <w:tc>
          <w:tcPr>
            <w:tcW w:w="1098" w:type="dxa"/>
            <w:vAlign w:val="bottom"/>
          </w:tcPr>
          <w:p w14:paraId="7FC17B5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-17.65***</w:t>
            </w:r>
          </w:p>
        </w:tc>
      </w:tr>
      <w:tr w:rsidR="004C09CB" w:rsidRPr="00226AB7" w14:paraId="6C9B8BE0" w14:textId="77777777" w:rsidTr="00B34F93">
        <w:tc>
          <w:tcPr>
            <w:tcW w:w="0" w:type="auto"/>
            <w:vAlign w:val="bottom"/>
          </w:tcPr>
          <w:p w14:paraId="60B23045" w14:textId="77777777" w:rsidR="004C09CB" w:rsidRPr="00226AB7" w:rsidRDefault="004C09CB" w:rsidP="009D6779">
            <w:pPr>
              <w:contextualSpacing/>
              <w:rPr>
                <w:rFonts w:eastAsia="Times New Roman" w:cs="Calibri"/>
                <w:i/>
                <w:sz w:val="20"/>
                <w:szCs w:val="20"/>
              </w:rPr>
            </w:pPr>
            <w:r w:rsidRPr="00226AB7">
              <w:rPr>
                <w:rFonts w:eastAsia="Times New Roman" w:cs="Calibri"/>
                <w:i/>
                <w:sz w:val="20"/>
                <w:szCs w:val="20"/>
              </w:rPr>
              <w:t> </w:t>
            </w:r>
          </w:p>
        </w:tc>
        <w:tc>
          <w:tcPr>
            <w:tcW w:w="0" w:type="auto"/>
            <w:vAlign w:val="bottom"/>
          </w:tcPr>
          <w:p w14:paraId="2EF2C18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(2.264)</w:t>
            </w:r>
          </w:p>
        </w:tc>
        <w:tc>
          <w:tcPr>
            <w:tcW w:w="0" w:type="auto"/>
            <w:vAlign w:val="bottom"/>
          </w:tcPr>
          <w:p w14:paraId="31F61DB3"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(6.608)</w:t>
            </w:r>
          </w:p>
        </w:tc>
        <w:tc>
          <w:tcPr>
            <w:tcW w:w="0" w:type="auto"/>
            <w:vAlign w:val="bottom"/>
          </w:tcPr>
          <w:p w14:paraId="49DE197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(.825)</w:t>
            </w:r>
          </w:p>
        </w:tc>
        <w:tc>
          <w:tcPr>
            <w:tcW w:w="0" w:type="auto"/>
            <w:vAlign w:val="bottom"/>
          </w:tcPr>
          <w:p w14:paraId="6883E85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(2.439)</w:t>
            </w:r>
          </w:p>
        </w:tc>
        <w:tc>
          <w:tcPr>
            <w:tcW w:w="0" w:type="auto"/>
            <w:vAlign w:val="bottom"/>
          </w:tcPr>
          <w:p w14:paraId="2774F99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(1.968)</w:t>
            </w:r>
          </w:p>
        </w:tc>
        <w:tc>
          <w:tcPr>
            <w:tcW w:w="0" w:type="auto"/>
            <w:vAlign w:val="bottom"/>
          </w:tcPr>
          <w:p w14:paraId="4D98FC1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(2.290)</w:t>
            </w:r>
          </w:p>
        </w:tc>
        <w:tc>
          <w:tcPr>
            <w:tcW w:w="1096" w:type="dxa"/>
            <w:vAlign w:val="bottom"/>
          </w:tcPr>
          <w:p w14:paraId="010BC21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(3.369)</w:t>
            </w:r>
          </w:p>
        </w:tc>
        <w:tc>
          <w:tcPr>
            <w:tcW w:w="1131" w:type="dxa"/>
            <w:vAlign w:val="bottom"/>
          </w:tcPr>
          <w:p w14:paraId="3B21CDFD"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(2.998)</w:t>
            </w:r>
          </w:p>
        </w:tc>
        <w:tc>
          <w:tcPr>
            <w:tcW w:w="1119" w:type="dxa"/>
            <w:vAlign w:val="bottom"/>
          </w:tcPr>
          <w:p w14:paraId="1AE8306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(2.330)</w:t>
            </w:r>
          </w:p>
        </w:tc>
        <w:tc>
          <w:tcPr>
            <w:tcW w:w="1098" w:type="dxa"/>
            <w:vAlign w:val="bottom"/>
          </w:tcPr>
          <w:p w14:paraId="5895243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(2.282)</w:t>
            </w:r>
          </w:p>
        </w:tc>
      </w:tr>
      <w:tr w:rsidR="004C09CB" w:rsidRPr="00226AB7" w14:paraId="0F8738D3" w14:textId="77777777" w:rsidTr="00B34F93">
        <w:tc>
          <w:tcPr>
            <w:tcW w:w="0" w:type="auto"/>
            <w:vAlign w:val="bottom"/>
          </w:tcPr>
          <w:p w14:paraId="2652032B" w14:textId="77777777" w:rsidR="004C09CB" w:rsidRPr="00226AB7" w:rsidRDefault="004C09CB" w:rsidP="009D6779">
            <w:pPr>
              <w:contextualSpacing/>
              <w:rPr>
                <w:rFonts w:eastAsia="Times New Roman" w:cs="Calibri"/>
                <w:i/>
                <w:sz w:val="20"/>
                <w:szCs w:val="20"/>
              </w:rPr>
            </w:pPr>
            <w:r>
              <w:rPr>
                <w:rFonts w:eastAsia="Times New Roman" w:cs="Calibri"/>
                <w:i/>
                <w:sz w:val="20"/>
                <w:szCs w:val="20"/>
              </w:rPr>
              <w:t>Subsidiary</w:t>
            </w:r>
          </w:p>
        </w:tc>
        <w:tc>
          <w:tcPr>
            <w:tcW w:w="0" w:type="auto"/>
            <w:vAlign w:val="bottom"/>
          </w:tcPr>
          <w:p w14:paraId="33504697"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-4.719***</w:t>
            </w:r>
          </w:p>
        </w:tc>
        <w:tc>
          <w:tcPr>
            <w:tcW w:w="0" w:type="auto"/>
            <w:vAlign w:val="bottom"/>
          </w:tcPr>
          <w:p w14:paraId="29B0CAA6"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1.463**</w:t>
            </w:r>
          </w:p>
        </w:tc>
        <w:tc>
          <w:tcPr>
            <w:tcW w:w="0" w:type="auto"/>
            <w:vAlign w:val="bottom"/>
          </w:tcPr>
          <w:p w14:paraId="7E5B1A3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-1.756**</w:t>
            </w:r>
          </w:p>
        </w:tc>
        <w:tc>
          <w:tcPr>
            <w:tcW w:w="0" w:type="auto"/>
            <w:vAlign w:val="bottom"/>
          </w:tcPr>
          <w:p w14:paraId="0808CC7B"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-5.494***</w:t>
            </w:r>
          </w:p>
        </w:tc>
        <w:tc>
          <w:tcPr>
            <w:tcW w:w="0" w:type="auto"/>
            <w:vAlign w:val="bottom"/>
          </w:tcPr>
          <w:p w14:paraId="549935C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-3.997***</w:t>
            </w:r>
          </w:p>
        </w:tc>
        <w:tc>
          <w:tcPr>
            <w:tcW w:w="0" w:type="auto"/>
            <w:vAlign w:val="bottom"/>
          </w:tcPr>
          <w:p w14:paraId="14B08B0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-5.035***</w:t>
            </w:r>
          </w:p>
        </w:tc>
        <w:tc>
          <w:tcPr>
            <w:tcW w:w="1096" w:type="dxa"/>
            <w:vAlign w:val="bottom"/>
          </w:tcPr>
          <w:p w14:paraId="53D34C4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-5.197***</w:t>
            </w:r>
          </w:p>
        </w:tc>
        <w:tc>
          <w:tcPr>
            <w:tcW w:w="1131" w:type="dxa"/>
            <w:vAlign w:val="bottom"/>
          </w:tcPr>
          <w:p w14:paraId="6C2363B0"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-5.193***</w:t>
            </w:r>
          </w:p>
        </w:tc>
        <w:tc>
          <w:tcPr>
            <w:tcW w:w="1119" w:type="dxa"/>
            <w:vAlign w:val="bottom"/>
          </w:tcPr>
          <w:p w14:paraId="24B453D8"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-3.257***</w:t>
            </w:r>
          </w:p>
        </w:tc>
        <w:tc>
          <w:tcPr>
            <w:tcW w:w="1098" w:type="dxa"/>
            <w:vAlign w:val="bottom"/>
          </w:tcPr>
          <w:p w14:paraId="35015784"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-4.778***</w:t>
            </w:r>
          </w:p>
        </w:tc>
      </w:tr>
      <w:tr w:rsidR="004C09CB" w:rsidRPr="00226AB7" w14:paraId="3111044A" w14:textId="77777777" w:rsidTr="00B34F93">
        <w:tc>
          <w:tcPr>
            <w:tcW w:w="0" w:type="auto"/>
          </w:tcPr>
          <w:p w14:paraId="519BB045" w14:textId="77777777" w:rsidR="004C09CB" w:rsidRPr="009911DF" w:rsidRDefault="004C09CB" w:rsidP="009D6779">
            <w:pPr>
              <w:contextualSpacing/>
              <w:rPr>
                <w:i/>
                <w:sz w:val="20"/>
                <w:szCs w:val="20"/>
              </w:rPr>
            </w:pPr>
            <w:r>
              <w:rPr>
                <w:i/>
                <w:sz w:val="20"/>
                <w:szCs w:val="20"/>
              </w:rPr>
              <w:t xml:space="preserve">   </w:t>
            </w:r>
            <w:r w:rsidRPr="009911DF">
              <w:rPr>
                <w:i/>
                <w:sz w:val="20"/>
                <w:szCs w:val="20"/>
              </w:rPr>
              <w:t>* Post</w:t>
            </w:r>
          </w:p>
        </w:tc>
        <w:tc>
          <w:tcPr>
            <w:tcW w:w="0" w:type="auto"/>
            <w:vAlign w:val="bottom"/>
          </w:tcPr>
          <w:p w14:paraId="5CC63B0E"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(1.013)</w:t>
            </w:r>
          </w:p>
        </w:tc>
        <w:tc>
          <w:tcPr>
            <w:tcW w:w="0" w:type="auto"/>
            <w:vAlign w:val="bottom"/>
          </w:tcPr>
          <w:p w14:paraId="3BD468D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(.702)</w:t>
            </w:r>
          </w:p>
        </w:tc>
        <w:tc>
          <w:tcPr>
            <w:tcW w:w="0" w:type="auto"/>
            <w:vAlign w:val="bottom"/>
          </w:tcPr>
          <w:p w14:paraId="5EC606DF"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(.704)</w:t>
            </w:r>
          </w:p>
        </w:tc>
        <w:tc>
          <w:tcPr>
            <w:tcW w:w="0" w:type="auto"/>
            <w:vAlign w:val="bottom"/>
          </w:tcPr>
          <w:p w14:paraId="6E0276E5"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(1.065)</w:t>
            </w:r>
          </w:p>
        </w:tc>
        <w:tc>
          <w:tcPr>
            <w:tcW w:w="0" w:type="auto"/>
            <w:vAlign w:val="bottom"/>
          </w:tcPr>
          <w:p w14:paraId="6F981FE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(1.322)</w:t>
            </w:r>
          </w:p>
        </w:tc>
        <w:tc>
          <w:tcPr>
            <w:tcW w:w="0" w:type="auto"/>
            <w:vAlign w:val="bottom"/>
          </w:tcPr>
          <w:p w14:paraId="3A0C022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(1.340)</w:t>
            </w:r>
          </w:p>
        </w:tc>
        <w:tc>
          <w:tcPr>
            <w:tcW w:w="1096" w:type="dxa"/>
            <w:vAlign w:val="bottom"/>
          </w:tcPr>
          <w:p w14:paraId="79BAB4E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(1.070)</w:t>
            </w:r>
          </w:p>
        </w:tc>
        <w:tc>
          <w:tcPr>
            <w:tcW w:w="1131" w:type="dxa"/>
            <w:vAlign w:val="bottom"/>
          </w:tcPr>
          <w:p w14:paraId="0ABA1679"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(1.054)</w:t>
            </w:r>
          </w:p>
        </w:tc>
        <w:tc>
          <w:tcPr>
            <w:tcW w:w="1119" w:type="dxa"/>
            <w:vAlign w:val="bottom"/>
          </w:tcPr>
          <w:p w14:paraId="1FFCE7D1"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(1.080)</w:t>
            </w:r>
          </w:p>
        </w:tc>
        <w:tc>
          <w:tcPr>
            <w:tcW w:w="1098" w:type="dxa"/>
            <w:vAlign w:val="bottom"/>
          </w:tcPr>
          <w:p w14:paraId="4455F7D2" w14:textId="77777777" w:rsidR="004C09CB" w:rsidRDefault="004C09CB" w:rsidP="009D6779">
            <w:pPr>
              <w:contextualSpacing/>
              <w:jc w:val="center"/>
              <w:rPr>
                <w:rFonts w:ascii="Calibri" w:hAnsi="Calibri" w:cs="Calibri"/>
                <w:sz w:val="20"/>
                <w:szCs w:val="20"/>
              </w:rPr>
            </w:pPr>
            <w:r>
              <w:rPr>
                <w:rFonts w:ascii="Calibri" w:hAnsi="Calibri" w:cs="Calibri"/>
                <w:sz w:val="20"/>
                <w:szCs w:val="20"/>
              </w:rPr>
              <w:t>(1.059)</w:t>
            </w:r>
          </w:p>
        </w:tc>
      </w:tr>
    </w:tbl>
    <w:p w14:paraId="74DE4BEB" w14:textId="4CA90979" w:rsidR="004C09CB" w:rsidRDefault="004C09CB" w:rsidP="009D6779">
      <w:pPr>
        <w:spacing w:after="0"/>
        <w:contextualSpacing/>
      </w:pPr>
    </w:p>
    <w:p w14:paraId="0BDD430C" w14:textId="77777777" w:rsidR="0038325B" w:rsidRDefault="0038325B" w:rsidP="009D6779">
      <w:pPr>
        <w:spacing w:after="0"/>
        <w:contextualSpacing/>
      </w:pPr>
    </w:p>
    <w:p w14:paraId="5129985E" w14:textId="77777777" w:rsidR="0038325B" w:rsidRDefault="0038325B">
      <w:pPr>
        <w:sectPr w:rsidR="0038325B" w:rsidSect="0038325B">
          <w:pgSz w:w="15840" w:h="12240" w:orient="landscape"/>
          <w:pgMar w:top="1440" w:right="1440" w:bottom="1440" w:left="1440" w:header="720" w:footer="720" w:gutter="0"/>
          <w:cols w:space="720"/>
          <w:docGrid w:linePitch="360"/>
        </w:sectPr>
      </w:pPr>
    </w:p>
    <w:p w14:paraId="4A07E7F8" w14:textId="77777777" w:rsidR="004C09CB" w:rsidRDefault="006161CF" w:rsidP="00CD4B2F">
      <w:pPr>
        <w:rPr>
          <w:b/>
        </w:rPr>
      </w:pPr>
      <w:r w:rsidRPr="006161CF">
        <w:rPr>
          <w:b/>
        </w:rPr>
        <w:lastRenderedPageBreak/>
        <w:t xml:space="preserve">Appendix B </w:t>
      </w:r>
      <w:r>
        <w:rPr>
          <w:b/>
        </w:rPr>
        <w:t>– Summary of Regulatory Events</w:t>
      </w:r>
    </w:p>
    <w:p w14:paraId="2C5AEBA3" w14:textId="77777777" w:rsidR="006161CF" w:rsidRPr="006161CF" w:rsidRDefault="006161CF" w:rsidP="009D6779">
      <w:pPr>
        <w:spacing w:after="0"/>
        <w:contextualSpacing/>
        <w:rPr>
          <w:b/>
        </w:rPr>
      </w:pPr>
    </w:p>
    <w:p w14:paraId="370E9E30" w14:textId="77777777" w:rsidR="006161CF" w:rsidRDefault="006161CF" w:rsidP="006161CF">
      <w:pPr>
        <w:spacing w:after="0" w:line="480" w:lineRule="auto"/>
        <w:ind w:firstLine="720"/>
        <w:contextualSpacing/>
      </w:pPr>
      <w:r w:rsidRPr="006C5C13">
        <w:t>This document is an appendix to “The Effect</w:t>
      </w:r>
      <w:r>
        <w:t xml:space="preserve"> of Regulatory Oversight on Nonbank Mortgage Subsidiaries,” (henceforth “the main paper”), in which we analyze the performance and pricing of mortgages originated between 2000 and 2015 in Maryland and Virginia by independent nonbank originators (INBs) and by nonbank subsidiaries of depository institutions and bank holding companies (subsidiary nonbanks, or SNBs).  We focus on the 2009 Federal Reserve Board regulation enacted by Consumer Affairs Letter 09-08, which subjects the nonbank mortgage subsidiaries of bank holding companies to regular, ongoing consumer compliance oversight. However, a number of other state and federal policies where enacted during the 2000-2015 period that altered the mortgage market, directly or indirectly, for both bank and nonbank mortgage originators.</w:t>
      </w:r>
    </w:p>
    <w:p w14:paraId="46D76656" w14:textId="77777777" w:rsidR="006161CF" w:rsidRDefault="006161CF" w:rsidP="006161CF">
      <w:pPr>
        <w:spacing w:after="0" w:line="480" w:lineRule="auto"/>
        <w:ind w:firstLine="720"/>
        <w:contextualSpacing/>
      </w:pPr>
      <w:r>
        <w:t>A comprehensive accounting of the dates and coverage of capital, liquidity, and mortgage rules enacted between 2011 and 2014 is presented in Figure 3 of Morris-Levenson, Sarama, and Ungerer (2017). While capital rules may indirectly affect nonbanks by changing the mortgage market behavior of banks, we would not anticipate any effect on the pricing or performance of mortgages originated by subsidiary nonbanks relative to originations by independent nonbanks, as captured by our difference-in-differences specification. Similarly, the liquidity coverage ratio, proposed in 2013 and finalized in 2014, may have increased nonbanks’ share of the mortgage market by creating more liquidity and demand for securitized mortgages (Gete and Reher, 2020), but did not likely influence relative outcomes based on nonbanks’ ownership structure. Two policies identified by Morris-Levenson et al. affected nonbanks directly: the qualified residential mortgages (QRM) rule and the risk retention rule, each of which was proposed in 2011 and finalized in 2014.  Table B1 presents a timeline of all other policies identified from the literature, with reference to the relevant study and a brief summary of the study’s findings.</w:t>
      </w:r>
    </w:p>
    <w:p w14:paraId="507DD559" w14:textId="77777777" w:rsidR="006161CF" w:rsidRDefault="006161CF" w:rsidP="006161CF">
      <w:pPr>
        <w:spacing w:after="0" w:line="480" w:lineRule="auto"/>
        <w:ind w:firstLine="720"/>
        <w:contextualSpacing/>
      </w:pPr>
      <w:r>
        <w:t xml:space="preserve">Additionally, Bostic et al. (2008) provide a state-level index of the strictness of anti-predatory lending laws, as of 2004-2005. Maryland was assigned a strictness rating on its coverage, restrictions, </w:t>
      </w:r>
      <w:r>
        <w:lastRenderedPageBreak/>
        <w:t>and enforcement of mortgage regulations of 3.01, 3.23, and 3.97, respectively. Virginia’s ratings were 1.81, 0.00, and 2.57. The combined effect of Maryland’s 2002 prepayment penalty restrictions (and Virginia’s lack thereof) and the difference between the two states’ overall level of lending restrictions should be captured by the state fixed effects in each of our specifications, as well as our robustness tests that omit mortgages originated prior to 2003.</w:t>
      </w:r>
    </w:p>
    <w:p w14:paraId="066E8496" w14:textId="77777777" w:rsidR="006161CF" w:rsidRDefault="006161CF" w:rsidP="006161CF">
      <w:pPr>
        <w:spacing w:after="0" w:line="480" w:lineRule="auto"/>
        <w:contextualSpacing/>
      </w:pPr>
    </w:p>
    <w:p w14:paraId="58E12C62" w14:textId="77777777" w:rsidR="006161CF" w:rsidRDefault="006161CF" w:rsidP="006161CF">
      <w:r>
        <w:rPr>
          <w:b/>
        </w:rPr>
        <w:t>References</w:t>
      </w:r>
    </w:p>
    <w:p w14:paraId="517086CA" w14:textId="77777777" w:rsidR="006161CF" w:rsidRDefault="006161CF" w:rsidP="006161CF">
      <w:pPr>
        <w:ind w:left="720" w:hanging="720"/>
      </w:pPr>
      <w:r>
        <w:t xml:space="preserve">Bostic, Raphael, Kathleen Engel, Patricia McCoy, Anthony Pennington-Cross, and Susan Wachter. “State and Local Anti-Predatory Lending Laws: The Effect of Legal Enforcement Mechanisms.” </w:t>
      </w:r>
      <w:r w:rsidRPr="006161CF">
        <w:rPr>
          <w:i/>
        </w:rPr>
        <w:t>Journal of Economics and Business</w:t>
      </w:r>
      <w:r>
        <w:t xml:space="preserve"> 60 (No. 1-2): 47-86.</w:t>
      </w:r>
    </w:p>
    <w:p w14:paraId="64EFCF65" w14:textId="77777777" w:rsidR="006161CF" w:rsidRDefault="006161CF" w:rsidP="006161CF">
      <w:pPr>
        <w:ind w:left="720" w:hanging="720"/>
      </w:pPr>
      <w:r>
        <w:t xml:space="preserve">Di Maggio, Marco, Amir Kermani, and Sanket Korgaonkar. “Partial Deregulation and Competition: Effects on Risky Mortgage Origination.” </w:t>
      </w:r>
      <w:r>
        <w:rPr>
          <w:i/>
          <w:iCs/>
        </w:rPr>
        <w:t>Management Science</w:t>
      </w:r>
      <w:r>
        <w:t xml:space="preserve"> 65, No. 10 (October 2019): 4676-4711.</w:t>
      </w:r>
    </w:p>
    <w:p w14:paraId="5EF431A0" w14:textId="77777777" w:rsidR="006161CF" w:rsidRPr="00265D8F" w:rsidRDefault="006161CF" w:rsidP="006161CF">
      <w:pPr>
        <w:ind w:left="720" w:hanging="720"/>
      </w:pPr>
      <w:r w:rsidRPr="006C72F8">
        <w:t>Fuster, Andreas, Matthew Plosser, and James Vickery. ”Does CFPB Oversight Crimp Credit?” Federal Reserve Bank of New Y</w:t>
      </w:r>
      <w:r>
        <w:t>ork Staff Reports, N</w:t>
      </w:r>
      <w:r w:rsidRPr="006C72F8">
        <w:t>o. 857 (June 2018).</w:t>
      </w:r>
    </w:p>
    <w:p w14:paraId="5920C275" w14:textId="77777777" w:rsidR="006161CF" w:rsidRDefault="006161CF" w:rsidP="006161CF">
      <w:pPr>
        <w:ind w:left="720" w:hanging="720"/>
      </w:pPr>
      <w:r>
        <w:t xml:space="preserve">Gete, Pedro, and Michael Reher. “Mortgage Securitization and Non-Bank Lending.” </w:t>
      </w:r>
      <w:r w:rsidRPr="00FB5FB0">
        <w:rPr>
          <w:i/>
        </w:rPr>
        <w:t>Review of Financial Studies,</w:t>
      </w:r>
      <w:r>
        <w:t xml:space="preserve"> forthcoming (June 2020).</w:t>
      </w:r>
    </w:p>
    <w:p w14:paraId="58D0DB98" w14:textId="77777777" w:rsidR="006161CF" w:rsidRDefault="006161CF" w:rsidP="006161CF">
      <w:pPr>
        <w:ind w:left="720" w:hanging="720"/>
      </w:pPr>
      <w:r>
        <w:t>Ganduri, Rohan. “Repo Regret?” Working paper (March 2020).</w:t>
      </w:r>
    </w:p>
    <w:p w14:paraId="5F852EEF" w14:textId="77777777" w:rsidR="006161CF" w:rsidRDefault="006161CF" w:rsidP="006161CF">
      <w:pPr>
        <w:ind w:left="720" w:hanging="720"/>
      </w:pPr>
      <w:r>
        <w:t xml:space="preserve">Granja, João, and Christian Leuz. “The Death of a Regulator: Strict Supervision, Bank Lending and Business Activity.” </w:t>
      </w:r>
      <w:r w:rsidRPr="008C5953">
        <w:t>NBER Working Paper</w:t>
      </w:r>
      <w:r>
        <w:rPr>
          <w:i/>
          <w:iCs/>
        </w:rPr>
        <w:t xml:space="preserve"> </w:t>
      </w:r>
      <w:r>
        <w:t>24168 (December 2017).</w:t>
      </w:r>
    </w:p>
    <w:p w14:paraId="13666310" w14:textId="77777777" w:rsidR="006161CF" w:rsidRPr="008C5953" w:rsidRDefault="006161CF" w:rsidP="006161CF">
      <w:pPr>
        <w:ind w:left="720" w:hanging="720"/>
      </w:pPr>
      <w:r>
        <w:t>Hendricks, Bradley E., Jed J. Neilson, Catherine Shakespeare, and Christopher D. Williams. “Financial Reporting and Operational Decisions in Response to Proposed Regulation: Evidence from Basel III.” Working paper (July 2019).</w:t>
      </w:r>
    </w:p>
    <w:p w14:paraId="59F3274A" w14:textId="77777777" w:rsidR="006161CF" w:rsidRDefault="006161CF" w:rsidP="006161CF">
      <w:pPr>
        <w:ind w:left="720" w:hanging="720"/>
      </w:pPr>
      <w:r>
        <w:t>Morris-Levenson, Joshua, Robert Sarama, and Christoph Ungerer. “Does Tighter Bank Regulation Affect Mortgage Originations?” Working paper (March 2017).</w:t>
      </w:r>
    </w:p>
    <w:p w14:paraId="603730DA" w14:textId="77777777" w:rsidR="006161CF" w:rsidRDefault="006161CF" w:rsidP="006161CF">
      <w:pPr>
        <w:ind w:left="720" w:hanging="720"/>
      </w:pPr>
      <w:r>
        <w:t xml:space="preserve">Steinbuks, Jevgenijs. “Effects of Prepayment Regulations on Termination of Subprime Mortgages.” </w:t>
      </w:r>
      <w:r>
        <w:rPr>
          <w:i/>
          <w:iCs/>
        </w:rPr>
        <w:t>Journal of Banking &amp; Finance</w:t>
      </w:r>
      <w:r>
        <w:t xml:space="preserve"> 59, No. C (October 2015): 445-456.</w:t>
      </w:r>
    </w:p>
    <w:p w14:paraId="4059F569" w14:textId="77777777" w:rsidR="006161CF" w:rsidRDefault="006161CF" w:rsidP="006161CF">
      <w:pPr>
        <w:ind w:left="720" w:hanging="720"/>
        <w:sectPr w:rsidR="006161CF" w:rsidSect="0038325B">
          <w:pgSz w:w="12240" w:h="15840"/>
          <w:pgMar w:top="1440" w:right="1440" w:bottom="1440" w:left="1440" w:header="720" w:footer="720" w:gutter="0"/>
          <w:cols w:space="720"/>
          <w:docGrid w:linePitch="360"/>
        </w:sectPr>
      </w:pPr>
    </w:p>
    <w:p w14:paraId="56288B4B" w14:textId="77777777" w:rsidR="006161CF" w:rsidRDefault="006161CF" w:rsidP="006161CF">
      <w:pPr>
        <w:spacing w:after="0" w:line="240" w:lineRule="auto"/>
        <w:contextualSpacing/>
        <w:rPr>
          <w:b/>
        </w:rPr>
      </w:pPr>
      <w:r>
        <w:rPr>
          <w:b/>
        </w:rPr>
        <w:lastRenderedPageBreak/>
        <w:t>Table B1</w:t>
      </w:r>
    </w:p>
    <w:p w14:paraId="6C74A764" w14:textId="77777777" w:rsidR="006161CF" w:rsidRDefault="006161CF" w:rsidP="006161CF">
      <w:pPr>
        <w:spacing w:after="0" w:line="240" w:lineRule="auto"/>
        <w:contextualSpacing/>
      </w:pPr>
      <w:r>
        <w:t>Federal and state (Maryland or Virginia) mortgage regulations enacted or proposed during our sample period, 2000-2015.  For each regulatory change, we briefly describe the effect of the change and (where available) cite recent research analyzing that effect.</w:t>
      </w:r>
    </w:p>
    <w:p w14:paraId="52469DCA" w14:textId="77777777" w:rsidR="006161CF" w:rsidRDefault="006161CF" w:rsidP="006161CF">
      <w:pPr>
        <w:spacing w:after="0" w:line="240" w:lineRule="auto"/>
        <w:contextualSpacing/>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27"/>
        <w:gridCol w:w="3591"/>
        <w:gridCol w:w="5041"/>
        <w:gridCol w:w="2201"/>
      </w:tblGrid>
      <w:tr w:rsidR="006161CF" w:rsidRPr="003B2546" w14:paraId="14EFCB72" w14:textId="77777777" w:rsidTr="006161CF">
        <w:trPr>
          <w:jc w:val="center"/>
        </w:trPr>
        <w:tc>
          <w:tcPr>
            <w:tcW w:w="0" w:type="auto"/>
            <w:shd w:val="clear" w:color="auto" w:fill="auto"/>
            <w:noWrap/>
            <w:vAlign w:val="bottom"/>
            <w:hideMark/>
          </w:tcPr>
          <w:p w14:paraId="7A202EF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Date</w:t>
            </w:r>
          </w:p>
        </w:tc>
        <w:tc>
          <w:tcPr>
            <w:tcW w:w="0" w:type="auto"/>
            <w:shd w:val="clear" w:color="auto" w:fill="auto"/>
            <w:noWrap/>
            <w:vAlign w:val="bottom"/>
            <w:hideMark/>
          </w:tcPr>
          <w:p w14:paraId="3FB698BD"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Policy</w:t>
            </w:r>
          </w:p>
        </w:tc>
        <w:tc>
          <w:tcPr>
            <w:tcW w:w="0" w:type="auto"/>
            <w:shd w:val="clear" w:color="auto" w:fill="auto"/>
            <w:noWrap/>
            <w:vAlign w:val="bottom"/>
            <w:hideMark/>
          </w:tcPr>
          <w:p w14:paraId="5B0E70C9"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Effect</w:t>
            </w:r>
          </w:p>
        </w:tc>
        <w:tc>
          <w:tcPr>
            <w:tcW w:w="0" w:type="auto"/>
            <w:shd w:val="clear" w:color="auto" w:fill="auto"/>
            <w:noWrap/>
            <w:vAlign w:val="bottom"/>
            <w:hideMark/>
          </w:tcPr>
          <w:p w14:paraId="5409BEF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Study</w:t>
            </w:r>
          </w:p>
        </w:tc>
      </w:tr>
      <w:tr w:rsidR="006161CF" w:rsidRPr="003B2546" w14:paraId="192CB35F" w14:textId="77777777" w:rsidTr="006161CF">
        <w:trPr>
          <w:jc w:val="center"/>
        </w:trPr>
        <w:tc>
          <w:tcPr>
            <w:tcW w:w="0" w:type="auto"/>
            <w:shd w:val="clear" w:color="auto" w:fill="auto"/>
            <w:hideMark/>
          </w:tcPr>
          <w:p w14:paraId="4E5C935A"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Late 2002</w:t>
            </w:r>
          </w:p>
        </w:tc>
        <w:tc>
          <w:tcPr>
            <w:tcW w:w="0" w:type="auto"/>
            <w:shd w:val="clear" w:color="auto" w:fill="auto"/>
            <w:hideMark/>
          </w:tcPr>
          <w:p w14:paraId="508DD3B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Restrictions on prepayment penalties for residential mortgages in Maryland</w:t>
            </w:r>
          </w:p>
        </w:tc>
        <w:tc>
          <w:tcPr>
            <w:tcW w:w="0" w:type="auto"/>
            <w:shd w:val="clear" w:color="auto" w:fill="auto"/>
            <w:hideMark/>
          </w:tcPr>
          <w:p w14:paraId="6BFFDC29"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Increase</w:t>
            </w:r>
            <w:r>
              <w:rPr>
                <w:rFonts w:eastAsia="Times New Roman" w:cstheme="minorHAnsi"/>
                <w:color w:val="000000"/>
              </w:rPr>
              <w:t>s</w:t>
            </w:r>
            <w:r w:rsidRPr="003B2546">
              <w:rPr>
                <w:rFonts w:eastAsia="Times New Roman" w:cstheme="minorHAnsi"/>
                <w:color w:val="000000"/>
              </w:rPr>
              <w:t xml:space="preserve"> mortgage prepayment rates in Maryland</w:t>
            </w:r>
          </w:p>
        </w:tc>
        <w:tc>
          <w:tcPr>
            <w:tcW w:w="0" w:type="auto"/>
            <w:shd w:val="clear" w:color="auto" w:fill="auto"/>
            <w:hideMark/>
          </w:tcPr>
          <w:p w14:paraId="51ADF213"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Steinbuks (2015)</w:t>
            </w:r>
          </w:p>
        </w:tc>
      </w:tr>
      <w:tr w:rsidR="006161CF" w:rsidRPr="003B2546" w14:paraId="1E8B86A7" w14:textId="77777777" w:rsidTr="006161CF">
        <w:trPr>
          <w:jc w:val="center"/>
        </w:trPr>
        <w:tc>
          <w:tcPr>
            <w:tcW w:w="0" w:type="auto"/>
            <w:shd w:val="clear" w:color="auto" w:fill="auto"/>
            <w:hideMark/>
          </w:tcPr>
          <w:p w14:paraId="62EA0FA3"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January 2004</w:t>
            </w:r>
          </w:p>
        </w:tc>
        <w:tc>
          <w:tcPr>
            <w:tcW w:w="0" w:type="auto"/>
            <w:shd w:val="clear" w:color="auto" w:fill="auto"/>
            <w:hideMark/>
          </w:tcPr>
          <w:p w14:paraId="4866CF09" w14:textId="77777777" w:rsidR="006161CF" w:rsidRPr="003B2546" w:rsidRDefault="006161CF" w:rsidP="006161CF">
            <w:pPr>
              <w:spacing w:after="0" w:line="240" w:lineRule="auto"/>
              <w:contextualSpacing/>
              <w:rPr>
                <w:rFonts w:eastAsia="Times New Roman" w:cstheme="minorHAnsi"/>
                <w:color w:val="000000"/>
              </w:rPr>
            </w:pPr>
            <w:r>
              <w:rPr>
                <w:rFonts w:eastAsia="Times New Roman" w:cstheme="minorHAnsi"/>
                <w:color w:val="000000"/>
              </w:rPr>
              <w:t>Expand</w:t>
            </w:r>
            <w:r w:rsidRPr="003B2546">
              <w:rPr>
                <w:rFonts w:eastAsia="Times New Roman" w:cstheme="minorHAnsi"/>
                <w:color w:val="000000"/>
              </w:rPr>
              <w:t xml:space="preserve"> HMDA requirements</w:t>
            </w:r>
          </w:p>
        </w:tc>
        <w:tc>
          <w:tcPr>
            <w:tcW w:w="0" w:type="auto"/>
            <w:shd w:val="clear" w:color="auto" w:fill="auto"/>
            <w:hideMark/>
          </w:tcPr>
          <w:p w14:paraId="2B21588C" w14:textId="77777777" w:rsidR="006161CF" w:rsidRPr="003B2546" w:rsidRDefault="006161CF" w:rsidP="006161CF">
            <w:pPr>
              <w:spacing w:after="0" w:line="240" w:lineRule="auto"/>
              <w:contextualSpacing/>
              <w:rPr>
                <w:rFonts w:eastAsia="Times New Roman" w:cstheme="minorHAnsi"/>
                <w:color w:val="000000"/>
              </w:rPr>
            </w:pPr>
            <w:r>
              <w:rPr>
                <w:rFonts w:eastAsia="Times New Roman" w:cstheme="minorHAnsi"/>
                <w:color w:val="000000"/>
              </w:rPr>
              <w:t>Requires lenders to report the lien, HOEPA status, and (for some mortgages) pricing information on originations</w:t>
            </w:r>
          </w:p>
        </w:tc>
        <w:tc>
          <w:tcPr>
            <w:tcW w:w="0" w:type="auto"/>
            <w:shd w:val="clear" w:color="auto" w:fill="auto"/>
          </w:tcPr>
          <w:p w14:paraId="394EC941"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N/A</w:t>
            </w:r>
          </w:p>
        </w:tc>
      </w:tr>
      <w:tr w:rsidR="006161CF" w:rsidRPr="003B2546" w14:paraId="2A1AEE9F" w14:textId="77777777" w:rsidTr="006161CF">
        <w:trPr>
          <w:jc w:val="center"/>
        </w:trPr>
        <w:tc>
          <w:tcPr>
            <w:tcW w:w="0" w:type="auto"/>
            <w:shd w:val="clear" w:color="auto" w:fill="auto"/>
            <w:hideMark/>
          </w:tcPr>
          <w:p w14:paraId="69B96572"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January 2004</w:t>
            </w:r>
          </w:p>
        </w:tc>
        <w:tc>
          <w:tcPr>
            <w:tcW w:w="0" w:type="auto"/>
            <w:shd w:val="clear" w:color="auto" w:fill="auto"/>
            <w:hideMark/>
          </w:tcPr>
          <w:p w14:paraId="0875A9C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Pre-emption of state anti-predatory lending laws for nationally-chartered banks</w:t>
            </w:r>
          </w:p>
        </w:tc>
        <w:tc>
          <w:tcPr>
            <w:tcW w:w="0" w:type="auto"/>
            <w:shd w:val="clear" w:color="auto" w:fill="auto"/>
            <w:hideMark/>
          </w:tcPr>
          <w:p w14:paraId="24FEBEDD"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Increase</w:t>
            </w:r>
            <w:r>
              <w:rPr>
                <w:rFonts w:eastAsia="Times New Roman" w:cstheme="minorHAnsi"/>
                <w:color w:val="000000"/>
              </w:rPr>
              <w:t>s</w:t>
            </w:r>
            <w:r w:rsidRPr="003B2546">
              <w:rPr>
                <w:rFonts w:eastAsia="Times New Roman" w:cstheme="minorHAnsi"/>
                <w:color w:val="000000"/>
              </w:rPr>
              <w:t xml:space="preserve"> the origination of loans with prepayment penalties by national banks in states with anti-predatory lending laws; some evidence of increases in risky lending by competing lenders in counties with large national bank presence</w:t>
            </w:r>
          </w:p>
        </w:tc>
        <w:tc>
          <w:tcPr>
            <w:tcW w:w="0" w:type="auto"/>
            <w:shd w:val="clear" w:color="auto" w:fill="auto"/>
            <w:hideMark/>
          </w:tcPr>
          <w:p w14:paraId="5BECE50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Di Maggio, Kermani, and Korgaonkar (2019)</w:t>
            </w:r>
          </w:p>
        </w:tc>
      </w:tr>
      <w:tr w:rsidR="006161CF" w:rsidRPr="003B2546" w14:paraId="2AEA65A1" w14:textId="77777777" w:rsidTr="006161CF">
        <w:trPr>
          <w:jc w:val="center"/>
        </w:trPr>
        <w:tc>
          <w:tcPr>
            <w:tcW w:w="0" w:type="auto"/>
            <w:shd w:val="clear" w:color="auto" w:fill="auto"/>
            <w:hideMark/>
          </w:tcPr>
          <w:p w14:paraId="664122A0"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October 2005</w:t>
            </w:r>
          </w:p>
        </w:tc>
        <w:tc>
          <w:tcPr>
            <w:tcW w:w="0" w:type="auto"/>
            <w:shd w:val="clear" w:color="auto" w:fill="auto"/>
            <w:hideMark/>
          </w:tcPr>
          <w:p w14:paraId="6BDA3E4C"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Bankruptcy Abuse Prevention and Consumer Protection Act (BAPCPA) of 2005</w:t>
            </w:r>
          </w:p>
        </w:tc>
        <w:tc>
          <w:tcPr>
            <w:tcW w:w="0" w:type="auto"/>
            <w:shd w:val="clear" w:color="auto" w:fill="auto"/>
            <w:hideMark/>
          </w:tcPr>
          <w:p w14:paraId="2E94D23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Positive shock to creditor protection, leading to greater issuance of risky mortgages</w:t>
            </w:r>
          </w:p>
        </w:tc>
        <w:tc>
          <w:tcPr>
            <w:tcW w:w="0" w:type="auto"/>
            <w:shd w:val="clear" w:color="auto" w:fill="auto"/>
            <w:hideMark/>
          </w:tcPr>
          <w:p w14:paraId="1E512AF9"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Ganduri (2020)</w:t>
            </w:r>
          </w:p>
        </w:tc>
      </w:tr>
      <w:tr w:rsidR="006161CF" w:rsidRPr="003B2546" w14:paraId="5E004DBC" w14:textId="77777777" w:rsidTr="006161CF">
        <w:trPr>
          <w:jc w:val="center"/>
        </w:trPr>
        <w:tc>
          <w:tcPr>
            <w:tcW w:w="0" w:type="auto"/>
            <w:shd w:val="clear" w:color="auto" w:fill="auto"/>
            <w:hideMark/>
          </w:tcPr>
          <w:p w14:paraId="7D499CCA"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2008</w:t>
            </w:r>
          </w:p>
        </w:tc>
        <w:tc>
          <w:tcPr>
            <w:tcW w:w="0" w:type="auto"/>
            <w:shd w:val="clear" w:color="auto" w:fill="auto"/>
            <w:hideMark/>
          </w:tcPr>
          <w:p w14:paraId="0C10E048"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 xml:space="preserve">Increase legal risk due of lawsuits targeted at bank mortgage lenders for origination of poor quality loans made prior to and during the financial crisis. </w:t>
            </w:r>
          </w:p>
        </w:tc>
        <w:tc>
          <w:tcPr>
            <w:tcW w:w="0" w:type="auto"/>
            <w:shd w:val="clear" w:color="auto" w:fill="auto"/>
            <w:hideMark/>
          </w:tcPr>
          <w:p w14:paraId="7E78D709"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With other regulatory changes, create</w:t>
            </w:r>
            <w:r>
              <w:rPr>
                <w:rFonts w:eastAsia="Times New Roman" w:cstheme="minorHAnsi"/>
                <w:color w:val="000000"/>
              </w:rPr>
              <w:t>s</w:t>
            </w:r>
            <w:r w:rsidRPr="003B2546">
              <w:rPr>
                <w:rFonts w:eastAsia="Times New Roman" w:cstheme="minorHAnsi"/>
                <w:color w:val="000000"/>
              </w:rPr>
              <w:t xml:space="preserve"> regulatory burden resulting in pullback in bank mortgage lending and increase in non-bank mortgage originations to partially fill the gap. </w:t>
            </w:r>
          </w:p>
        </w:tc>
        <w:tc>
          <w:tcPr>
            <w:tcW w:w="0" w:type="auto"/>
            <w:shd w:val="clear" w:color="auto" w:fill="auto"/>
            <w:hideMark/>
          </w:tcPr>
          <w:p w14:paraId="7CDE6CE7"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 xml:space="preserve">Buchak, Matvos,  </w:t>
            </w:r>
          </w:p>
          <w:p w14:paraId="7C04C4D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Piskorski, and Seru (2018)</w:t>
            </w:r>
          </w:p>
        </w:tc>
      </w:tr>
      <w:tr w:rsidR="006161CF" w:rsidRPr="003B2546" w14:paraId="03A273B0" w14:textId="77777777" w:rsidTr="006161CF">
        <w:trPr>
          <w:jc w:val="center"/>
        </w:trPr>
        <w:tc>
          <w:tcPr>
            <w:tcW w:w="0" w:type="auto"/>
            <w:shd w:val="clear" w:color="auto" w:fill="auto"/>
            <w:hideMark/>
          </w:tcPr>
          <w:p w14:paraId="4CB3193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May 2011 (proposal), January 2013 (enactment)</w:t>
            </w:r>
          </w:p>
        </w:tc>
        <w:tc>
          <w:tcPr>
            <w:tcW w:w="0" w:type="auto"/>
            <w:shd w:val="clear" w:color="auto" w:fill="auto"/>
            <w:hideMark/>
          </w:tcPr>
          <w:p w14:paraId="0DDB0662"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Qualifying mortgage rule</w:t>
            </w:r>
          </w:p>
        </w:tc>
        <w:tc>
          <w:tcPr>
            <w:tcW w:w="0" w:type="auto"/>
            <w:shd w:val="clear" w:color="auto" w:fill="auto"/>
            <w:hideMark/>
          </w:tcPr>
          <w:p w14:paraId="2690A84F"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Requires that residential mortgage securitize</w:t>
            </w:r>
            <w:r>
              <w:rPr>
                <w:rFonts w:eastAsia="Times New Roman" w:cstheme="minorHAnsi"/>
                <w:color w:val="000000"/>
              </w:rPr>
              <w:t>r</w:t>
            </w:r>
            <w:r w:rsidRPr="003B2546">
              <w:rPr>
                <w:rFonts w:eastAsia="Times New Roman" w:cstheme="minorHAnsi"/>
                <w:color w:val="000000"/>
              </w:rPr>
              <w:t>s retain at least 5% of the risk of the underlying assets</w:t>
            </w:r>
          </w:p>
        </w:tc>
        <w:tc>
          <w:tcPr>
            <w:tcW w:w="0" w:type="auto"/>
            <w:shd w:val="clear" w:color="auto" w:fill="auto"/>
            <w:hideMark/>
          </w:tcPr>
          <w:p w14:paraId="169595D9"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Morris-Levenson, Sarama, and Ungerer (2017)</w:t>
            </w:r>
          </w:p>
        </w:tc>
      </w:tr>
      <w:tr w:rsidR="006161CF" w:rsidRPr="003B2546" w14:paraId="438CA635" w14:textId="77777777" w:rsidTr="006161CF">
        <w:trPr>
          <w:jc w:val="center"/>
        </w:trPr>
        <w:tc>
          <w:tcPr>
            <w:tcW w:w="0" w:type="auto"/>
            <w:shd w:val="clear" w:color="auto" w:fill="auto"/>
            <w:hideMark/>
          </w:tcPr>
          <w:p w14:paraId="0A3CCFDA"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March 2011</w:t>
            </w:r>
          </w:p>
        </w:tc>
        <w:tc>
          <w:tcPr>
            <w:tcW w:w="0" w:type="auto"/>
            <w:shd w:val="clear" w:color="auto" w:fill="auto"/>
            <w:hideMark/>
          </w:tcPr>
          <w:p w14:paraId="59FE986A"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First annual Federal Reserve capital review</w:t>
            </w:r>
          </w:p>
        </w:tc>
        <w:tc>
          <w:tcPr>
            <w:tcW w:w="0" w:type="auto"/>
            <w:shd w:val="clear" w:color="auto" w:fill="auto"/>
            <w:hideMark/>
          </w:tcPr>
          <w:p w14:paraId="1729F985"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Increases capital cost of originating, and holding jumbo mortgages, leading to increase in non-bank share</w:t>
            </w:r>
          </w:p>
        </w:tc>
        <w:tc>
          <w:tcPr>
            <w:tcW w:w="0" w:type="auto"/>
            <w:shd w:val="clear" w:color="auto" w:fill="auto"/>
            <w:hideMark/>
          </w:tcPr>
          <w:p w14:paraId="40562315"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Morris-Levenson, Sarama, and Ungerer (2017)</w:t>
            </w:r>
          </w:p>
        </w:tc>
      </w:tr>
      <w:tr w:rsidR="006161CF" w:rsidRPr="003B2546" w14:paraId="30937873" w14:textId="77777777" w:rsidTr="006161CF">
        <w:trPr>
          <w:jc w:val="center"/>
        </w:trPr>
        <w:tc>
          <w:tcPr>
            <w:tcW w:w="0" w:type="auto"/>
            <w:shd w:val="clear" w:color="auto" w:fill="auto"/>
            <w:hideMark/>
          </w:tcPr>
          <w:p w14:paraId="05D12755"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July 2011</w:t>
            </w:r>
          </w:p>
        </w:tc>
        <w:tc>
          <w:tcPr>
            <w:tcW w:w="0" w:type="auto"/>
            <w:shd w:val="clear" w:color="auto" w:fill="auto"/>
            <w:hideMark/>
          </w:tcPr>
          <w:p w14:paraId="43DEA6D2"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C</w:t>
            </w:r>
            <w:r>
              <w:rPr>
                <w:rFonts w:eastAsia="Times New Roman" w:cstheme="minorHAnsi"/>
                <w:color w:val="000000"/>
              </w:rPr>
              <w:t xml:space="preserve">onsumer </w:t>
            </w:r>
            <w:r w:rsidRPr="003B2546">
              <w:rPr>
                <w:rFonts w:eastAsia="Times New Roman" w:cstheme="minorHAnsi"/>
                <w:color w:val="000000"/>
              </w:rPr>
              <w:t>F</w:t>
            </w:r>
            <w:r>
              <w:rPr>
                <w:rFonts w:eastAsia="Times New Roman" w:cstheme="minorHAnsi"/>
                <w:color w:val="000000"/>
              </w:rPr>
              <w:t xml:space="preserve">inancial </w:t>
            </w:r>
            <w:r w:rsidRPr="003B2546">
              <w:rPr>
                <w:rFonts w:eastAsia="Times New Roman" w:cstheme="minorHAnsi"/>
                <w:color w:val="000000"/>
              </w:rPr>
              <w:t>P</w:t>
            </w:r>
            <w:r>
              <w:rPr>
                <w:rFonts w:eastAsia="Times New Roman" w:cstheme="minorHAnsi"/>
                <w:color w:val="000000"/>
              </w:rPr>
              <w:t xml:space="preserve">rotection </w:t>
            </w:r>
            <w:r w:rsidRPr="003B2546">
              <w:rPr>
                <w:rFonts w:eastAsia="Times New Roman" w:cstheme="minorHAnsi"/>
                <w:color w:val="000000"/>
              </w:rPr>
              <w:t>B</w:t>
            </w:r>
            <w:r>
              <w:rPr>
                <w:rFonts w:eastAsia="Times New Roman" w:cstheme="minorHAnsi"/>
                <w:color w:val="000000"/>
              </w:rPr>
              <w:t>ureau</w:t>
            </w:r>
            <w:r w:rsidRPr="003B2546">
              <w:rPr>
                <w:rFonts w:eastAsia="Times New Roman" w:cstheme="minorHAnsi"/>
                <w:color w:val="000000"/>
              </w:rPr>
              <w:t xml:space="preserve"> begins operations</w:t>
            </w:r>
          </w:p>
        </w:tc>
        <w:tc>
          <w:tcPr>
            <w:tcW w:w="0" w:type="auto"/>
            <w:shd w:val="clear" w:color="auto" w:fill="auto"/>
            <w:hideMark/>
          </w:tcPr>
          <w:p w14:paraId="4FB28FF1"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Stricter oversight of mortgage activity</w:t>
            </w:r>
            <w:r>
              <w:rPr>
                <w:rFonts w:eastAsia="Times New Roman" w:cstheme="minorHAnsi"/>
                <w:color w:val="000000"/>
              </w:rPr>
              <w:t>;</w:t>
            </w:r>
            <w:r w:rsidRPr="003B2546">
              <w:rPr>
                <w:rFonts w:eastAsia="Times New Roman" w:cstheme="minorHAnsi"/>
                <w:color w:val="000000"/>
              </w:rPr>
              <w:t xml:space="preserve"> no evidence of bank and non-bank lender regulatory arbitrage.</w:t>
            </w:r>
          </w:p>
        </w:tc>
        <w:tc>
          <w:tcPr>
            <w:tcW w:w="0" w:type="auto"/>
            <w:shd w:val="clear" w:color="auto" w:fill="auto"/>
            <w:hideMark/>
          </w:tcPr>
          <w:p w14:paraId="1048FF99"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Fuster, Plosser, and Vickery, (2018)</w:t>
            </w:r>
          </w:p>
          <w:p w14:paraId="5B824B66" w14:textId="77777777" w:rsidR="006161CF" w:rsidRPr="003B2546" w:rsidRDefault="006161CF" w:rsidP="006161CF">
            <w:pPr>
              <w:spacing w:after="0" w:line="240" w:lineRule="auto"/>
              <w:contextualSpacing/>
              <w:rPr>
                <w:rFonts w:eastAsia="Times New Roman" w:cstheme="minorHAnsi"/>
                <w:color w:val="000000"/>
              </w:rPr>
            </w:pPr>
          </w:p>
        </w:tc>
      </w:tr>
      <w:tr w:rsidR="006161CF" w:rsidRPr="003B2546" w14:paraId="60974CB7" w14:textId="77777777" w:rsidTr="006161CF">
        <w:trPr>
          <w:jc w:val="center"/>
        </w:trPr>
        <w:tc>
          <w:tcPr>
            <w:tcW w:w="0" w:type="auto"/>
            <w:shd w:val="clear" w:color="auto" w:fill="auto"/>
            <w:hideMark/>
          </w:tcPr>
          <w:p w14:paraId="248098F0"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lastRenderedPageBreak/>
              <w:t>July 2011</w:t>
            </w:r>
          </w:p>
        </w:tc>
        <w:tc>
          <w:tcPr>
            <w:tcW w:w="0" w:type="auto"/>
            <w:shd w:val="clear" w:color="auto" w:fill="auto"/>
            <w:hideMark/>
          </w:tcPr>
          <w:p w14:paraId="7477FBC3"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O</w:t>
            </w:r>
            <w:r>
              <w:rPr>
                <w:rFonts w:eastAsia="Times New Roman" w:cstheme="minorHAnsi"/>
                <w:color w:val="000000"/>
              </w:rPr>
              <w:t xml:space="preserve">ffice of </w:t>
            </w:r>
            <w:r w:rsidRPr="003B2546">
              <w:rPr>
                <w:rFonts w:eastAsia="Times New Roman" w:cstheme="minorHAnsi"/>
                <w:color w:val="000000"/>
              </w:rPr>
              <w:t>T</w:t>
            </w:r>
            <w:r>
              <w:rPr>
                <w:rFonts w:eastAsia="Times New Roman" w:cstheme="minorHAnsi"/>
                <w:color w:val="000000"/>
              </w:rPr>
              <w:t xml:space="preserve">hrift </w:t>
            </w:r>
            <w:r w:rsidRPr="003B2546">
              <w:rPr>
                <w:rFonts w:eastAsia="Times New Roman" w:cstheme="minorHAnsi"/>
                <w:color w:val="000000"/>
              </w:rPr>
              <w:t>S</w:t>
            </w:r>
            <w:r>
              <w:rPr>
                <w:rFonts w:eastAsia="Times New Roman" w:cstheme="minorHAnsi"/>
                <w:color w:val="000000"/>
              </w:rPr>
              <w:t>upervision ends operations</w:t>
            </w:r>
          </w:p>
        </w:tc>
        <w:tc>
          <w:tcPr>
            <w:tcW w:w="0" w:type="auto"/>
            <w:shd w:val="clear" w:color="auto" w:fill="auto"/>
            <w:hideMark/>
          </w:tcPr>
          <w:p w14:paraId="3A025A1B"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Thrifts brought under the oversight of OCC, which is widely considered to be stricter</w:t>
            </w:r>
          </w:p>
        </w:tc>
        <w:tc>
          <w:tcPr>
            <w:tcW w:w="0" w:type="auto"/>
            <w:shd w:val="clear" w:color="auto" w:fill="auto"/>
            <w:hideMark/>
          </w:tcPr>
          <w:p w14:paraId="074797CD"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Some evidence for OCC being stricter in Granja and Luez (2017)</w:t>
            </w:r>
          </w:p>
        </w:tc>
      </w:tr>
      <w:tr w:rsidR="006161CF" w:rsidRPr="003B2546" w14:paraId="146F37C5" w14:textId="77777777" w:rsidTr="006161CF">
        <w:trPr>
          <w:jc w:val="center"/>
        </w:trPr>
        <w:tc>
          <w:tcPr>
            <w:tcW w:w="0" w:type="auto"/>
            <w:shd w:val="clear" w:color="auto" w:fill="auto"/>
            <w:hideMark/>
          </w:tcPr>
          <w:p w14:paraId="2766FFFE"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July 2013 (final proposal), January 2015 (enactment)</w:t>
            </w:r>
          </w:p>
        </w:tc>
        <w:tc>
          <w:tcPr>
            <w:tcW w:w="0" w:type="auto"/>
            <w:shd w:val="clear" w:color="auto" w:fill="auto"/>
            <w:hideMark/>
          </w:tcPr>
          <w:p w14:paraId="35778240"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Basel III rule on risk-weighting of mortgage servicing rights</w:t>
            </w:r>
          </w:p>
        </w:tc>
        <w:tc>
          <w:tcPr>
            <w:tcW w:w="0" w:type="auto"/>
            <w:shd w:val="clear" w:color="auto" w:fill="auto"/>
            <w:hideMark/>
          </w:tcPr>
          <w:p w14:paraId="44CC95F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Between announcement and origination, many banks reduced the sale of mortgage servicing rates relative to tier 1 capital</w:t>
            </w:r>
          </w:p>
        </w:tc>
        <w:tc>
          <w:tcPr>
            <w:tcW w:w="0" w:type="auto"/>
            <w:shd w:val="clear" w:color="auto" w:fill="auto"/>
            <w:hideMark/>
          </w:tcPr>
          <w:p w14:paraId="77A1C77E"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Hendricks, Neilson, Shakespeare, and Williams (2019)</w:t>
            </w:r>
          </w:p>
        </w:tc>
      </w:tr>
      <w:tr w:rsidR="006161CF" w:rsidRPr="003B2546" w14:paraId="39658A38" w14:textId="77777777" w:rsidTr="006161CF">
        <w:trPr>
          <w:jc w:val="center"/>
        </w:trPr>
        <w:tc>
          <w:tcPr>
            <w:tcW w:w="0" w:type="auto"/>
            <w:shd w:val="clear" w:color="auto" w:fill="auto"/>
            <w:hideMark/>
          </w:tcPr>
          <w:p w14:paraId="09BB31F3"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September 2013 (final proposal), September 2014 (enactment)</w:t>
            </w:r>
          </w:p>
        </w:tc>
        <w:tc>
          <w:tcPr>
            <w:tcW w:w="0" w:type="auto"/>
            <w:shd w:val="clear" w:color="auto" w:fill="auto"/>
            <w:hideMark/>
          </w:tcPr>
          <w:p w14:paraId="6D77DF49" w14:textId="77777777" w:rsidR="006161CF" w:rsidRPr="003B2546" w:rsidRDefault="006161CF" w:rsidP="006161CF">
            <w:pPr>
              <w:spacing w:after="0" w:line="240" w:lineRule="auto"/>
              <w:contextualSpacing/>
              <w:rPr>
                <w:rFonts w:eastAsia="Times New Roman" w:cstheme="minorHAnsi"/>
                <w:color w:val="000000"/>
              </w:rPr>
            </w:pPr>
            <w:r>
              <w:rPr>
                <w:rFonts w:eastAsia="Times New Roman" w:cstheme="minorHAnsi"/>
                <w:color w:val="000000"/>
              </w:rPr>
              <w:t>Liquidity coverage r</w:t>
            </w:r>
            <w:r w:rsidRPr="003B2546">
              <w:rPr>
                <w:rFonts w:eastAsia="Times New Roman" w:cstheme="minorHAnsi"/>
                <w:color w:val="000000"/>
              </w:rPr>
              <w:t>atio rule</w:t>
            </w:r>
          </w:p>
        </w:tc>
        <w:tc>
          <w:tcPr>
            <w:tcW w:w="0" w:type="auto"/>
            <w:shd w:val="clear" w:color="auto" w:fill="auto"/>
            <w:hideMark/>
          </w:tcPr>
          <w:p w14:paraId="2ABDF393"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Lower risk weight for GNMA MBS, lowering regulatory cost of FHA lending and therefore lowering funding costs for nonbanks who lack deposit funding</w:t>
            </w:r>
          </w:p>
        </w:tc>
        <w:tc>
          <w:tcPr>
            <w:tcW w:w="0" w:type="auto"/>
            <w:shd w:val="clear" w:color="auto" w:fill="auto"/>
            <w:hideMark/>
          </w:tcPr>
          <w:p w14:paraId="54361236" w14:textId="77777777" w:rsidR="006161CF" w:rsidRPr="003B2546" w:rsidRDefault="006161CF" w:rsidP="006161CF">
            <w:pPr>
              <w:spacing w:after="0" w:line="240" w:lineRule="auto"/>
              <w:contextualSpacing/>
              <w:rPr>
                <w:rFonts w:eastAsia="Times New Roman" w:cstheme="minorHAnsi"/>
                <w:color w:val="000000"/>
              </w:rPr>
            </w:pPr>
            <w:r w:rsidRPr="003B2546">
              <w:rPr>
                <w:rFonts w:eastAsia="Times New Roman" w:cstheme="minorHAnsi"/>
                <w:color w:val="000000"/>
              </w:rPr>
              <w:t>Gete and Reher (2020)</w:t>
            </w:r>
          </w:p>
        </w:tc>
      </w:tr>
    </w:tbl>
    <w:p w14:paraId="07744FB4" w14:textId="77777777" w:rsidR="006161CF" w:rsidRPr="00EE4163" w:rsidRDefault="006161CF" w:rsidP="006161CF">
      <w:pPr>
        <w:spacing w:line="240" w:lineRule="auto"/>
        <w:ind w:left="720" w:hanging="720"/>
      </w:pPr>
    </w:p>
    <w:p w14:paraId="14225933" w14:textId="77777777" w:rsidR="006161CF" w:rsidRDefault="006161CF" w:rsidP="009D6779">
      <w:pPr>
        <w:spacing w:after="0"/>
        <w:contextualSpacing/>
      </w:pPr>
    </w:p>
    <w:p w14:paraId="04C4C4D6" w14:textId="77777777" w:rsidR="004C09CB" w:rsidRDefault="004C09CB" w:rsidP="009D6779">
      <w:pPr>
        <w:spacing w:after="0"/>
        <w:contextualSpacing/>
      </w:pPr>
    </w:p>
    <w:p w14:paraId="0BBFE7EA" w14:textId="77777777" w:rsidR="004C09CB" w:rsidRPr="004C09CB" w:rsidRDefault="004C09CB" w:rsidP="009D6779">
      <w:pPr>
        <w:spacing w:after="0"/>
        <w:contextualSpacing/>
      </w:pPr>
    </w:p>
    <w:sectPr w:rsidR="004C09CB" w:rsidRPr="004C09CB" w:rsidSect="004C09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3E19" w14:textId="77777777" w:rsidR="00306FE9" w:rsidRDefault="00306FE9" w:rsidP="00B43B68">
      <w:pPr>
        <w:spacing w:after="0" w:line="240" w:lineRule="auto"/>
      </w:pPr>
      <w:r>
        <w:separator/>
      </w:r>
    </w:p>
  </w:endnote>
  <w:endnote w:type="continuationSeparator" w:id="0">
    <w:p w14:paraId="6BA88769" w14:textId="77777777" w:rsidR="00306FE9" w:rsidRDefault="00306FE9" w:rsidP="00B4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9211" w14:textId="77777777" w:rsidR="008C3A61" w:rsidRDefault="008C3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8075"/>
      <w:docPartObj>
        <w:docPartGallery w:val="Page Numbers (Bottom of Page)"/>
        <w:docPartUnique/>
      </w:docPartObj>
    </w:sdtPr>
    <w:sdtEndPr>
      <w:rPr>
        <w:noProof/>
      </w:rPr>
    </w:sdtEndPr>
    <w:sdtContent>
      <w:p w14:paraId="5C7A5C5E" w14:textId="0648321D" w:rsidR="00794CDE" w:rsidRDefault="00794CDE">
        <w:pPr>
          <w:pStyle w:val="Footer"/>
          <w:jc w:val="right"/>
        </w:pPr>
        <w:r>
          <w:fldChar w:fldCharType="begin"/>
        </w:r>
        <w:r>
          <w:instrText xml:space="preserve"> PAGE   \* MERGEFORMAT </w:instrText>
        </w:r>
        <w:r>
          <w:fldChar w:fldCharType="separate"/>
        </w:r>
        <w:r w:rsidR="008C3A61">
          <w:rPr>
            <w:noProof/>
          </w:rPr>
          <w:t>1</w:t>
        </w:r>
        <w:r>
          <w:rPr>
            <w:noProof/>
          </w:rPr>
          <w:fldChar w:fldCharType="end"/>
        </w:r>
      </w:p>
    </w:sdtContent>
  </w:sdt>
  <w:p w14:paraId="5D3661D5" w14:textId="77777777" w:rsidR="00794CDE" w:rsidRDefault="00794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F6BE" w14:textId="77777777" w:rsidR="008C3A61" w:rsidRDefault="008C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A7D9A" w14:textId="77777777" w:rsidR="00306FE9" w:rsidRDefault="00306FE9" w:rsidP="00B43B68">
      <w:pPr>
        <w:spacing w:after="0" w:line="240" w:lineRule="auto"/>
      </w:pPr>
      <w:r>
        <w:separator/>
      </w:r>
    </w:p>
  </w:footnote>
  <w:footnote w:type="continuationSeparator" w:id="0">
    <w:p w14:paraId="05F1AD08" w14:textId="77777777" w:rsidR="00306FE9" w:rsidRDefault="00306FE9" w:rsidP="00B43B68">
      <w:pPr>
        <w:spacing w:after="0" w:line="240" w:lineRule="auto"/>
      </w:pPr>
      <w:r>
        <w:continuationSeparator/>
      </w:r>
    </w:p>
  </w:footnote>
  <w:footnote w:id="1">
    <w:p w14:paraId="54C674C4" w14:textId="77777777" w:rsidR="00794CDE" w:rsidRDefault="00794CDE" w:rsidP="00B60C8F">
      <w:pPr>
        <w:pStyle w:val="FootnoteText"/>
      </w:pPr>
      <w:r>
        <w:rPr>
          <w:rStyle w:val="FootnoteReference"/>
        </w:rPr>
        <w:footnoteRef/>
      </w:r>
      <w:r>
        <w:t xml:space="preserve"> </w:t>
      </w:r>
      <w:r w:rsidRPr="002A2E96">
        <w:t xml:space="preserve">Eliana Balla can be contacted at </w:t>
      </w:r>
      <w:r>
        <w:t>Quantitative Supervision and Research</w:t>
      </w:r>
      <w:r w:rsidRPr="002A2E96">
        <w:t>, Federal Reserve Bank of Richmond-Baltimore Office, 502 S Sharp St., Baltimore</w:t>
      </w:r>
      <w:r>
        <w:t>,</w:t>
      </w:r>
      <w:r w:rsidRPr="002A2E96">
        <w:t xml:space="preserve"> MD, 21201</w:t>
      </w:r>
      <w:r>
        <w:t xml:space="preserve">, </w:t>
      </w:r>
      <w:r w:rsidRPr="002A2E96">
        <w:t xml:space="preserve">and at </w:t>
      </w:r>
      <w:hyperlink r:id="rId1" w:history="1">
        <w:r w:rsidRPr="002A2E96">
          <w:rPr>
            <w:rStyle w:val="Hyperlink"/>
          </w:rPr>
          <w:t>Eliana.Balla@rich.frb.org</w:t>
        </w:r>
      </w:hyperlink>
      <w:r>
        <w:t>.</w:t>
      </w:r>
      <w:r w:rsidRPr="002A2E96">
        <w:t xml:space="preserve">  </w:t>
      </w:r>
      <w:r>
        <w:t xml:space="preserve">Raymond Brastow can be contacted at 701 E Byrd St., Richmond, VA, 23219, and at </w:t>
      </w:r>
      <w:hyperlink r:id="rId2" w:history="1">
        <w:r w:rsidRPr="00ED6CD9">
          <w:rPr>
            <w:rStyle w:val="Hyperlink"/>
          </w:rPr>
          <w:t>Raymond.Brastow@rich.frb.org</w:t>
        </w:r>
      </w:hyperlink>
      <w:r>
        <w:t>.  Daniel Edgel</w:t>
      </w:r>
      <w:r w:rsidRPr="00D004E5">
        <w:t xml:space="preserve"> </w:t>
      </w:r>
      <w:r w:rsidRPr="002A2E96">
        <w:t>can be contacted at</w:t>
      </w:r>
      <w:r>
        <w:t xml:space="preserve"> the Department of Economics, University of Wisconsin-Madison, 7481 William H. Sewell Social Sciences Building, 1180 Observatory Drive, Madison, WI, 53706, and at </w:t>
      </w:r>
      <w:hyperlink r:id="rId3" w:history="1">
        <w:r w:rsidRPr="00CF32F8">
          <w:rPr>
            <w:rStyle w:val="Hyperlink"/>
          </w:rPr>
          <w:t>edgel@wisc.edu</w:t>
        </w:r>
      </w:hyperlink>
      <w:r>
        <w:t xml:space="preserve">.  </w:t>
      </w:r>
      <w:r w:rsidRPr="002A2E96">
        <w:t>Morgan J. Rose</w:t>
      </w:r>
      <w:r>
        <w:t xml:space="preserve"> can be contacted at Department of Economics, University of Maryland, Baltimore County, 1000 Hilltop Circle, Baltimore, MD, 21250, and at </w:t>
      </w:r>
      <w:hyperlink r:id="rId4" w:history="1">
        <w:r w:rsidRPr="00870DC0">
          <w:rPr>
            <w:rStyle w:val="Hyperlink"/>
          </w:rPr>
          <w:t>mrose@umbc.edu</w:t>
        </w:r>
      </w:hyperlink>
      <w:r>
        <w:t xml:space="preserve">. We thank the anonymous referee for helpful comments and suggestions.  </w:t>
      </w:r>
      <w:r w:rsidRPr="002A2E96">
        <w:rPr>
          <w:i/>
        </w:rPr>
        <w:t>The views expressed belong to the authors and do not represent the views of the Fed</w:t>
      </w:r>
      <w:r>
        <w:rPr>
          <w:i/>
        </w:rPr>
        <w:t>eral Reserve Bank of Richmond, the Federal Reserve System, the University of Wisconsin-Madison, the UWM Department of Economics, the University of Maryland, Baltimore County, or the UMBC Department of Economics.</w:t>
      </w:r>
    </w:p>
  </w:footnote>
  <w:footnote w:id="2">
    <w:p w14:paraId="3B739302" w14:textId="77777777" w:rsidR="00794CDE" w:rsidRDefault="00794CDE" w:rsidP="005F64BC">
      <w:pPr>
        <w:pStyle w:val="FootnoteText"/>
      </w:pPr>
      <w:r>
        <w:rPr>
          <w:rStyle w:val="FootnoteReference"/>
        </w:rPr>
        <w:footnoteRef/>
      </w:r>
      <w:r>
        <w:t xml:space="preserve"> In Table 4, the difference between the joint effect on the probability of default of a post-policy SNB mortgage (–0.9208) and the effect of a post-policy INB mortgage (–0.486) is –0.4348.  In Table 5, the difference is –0.4448.  In Table A1, the difference ranges from –0.4362 to –0.3517.</w:t>
      </w:r>
    </w:p>
  </w:footnote>
  <w:footnote w:id="3">
    <w:p w14:paraId="5BDB7942" w14:textId="77777777" w:rsidR="00794CDE" w:rsidRDefault="00794CDE" w:rsidP="005F64BC">
      <w:pPr>
        <w:pStyle w:val="FootnoteText"/>
      </w:pPr>
      <w:r>
        <w:rPr>
          <w:rStyle w:val="FootnoteReference"/>
        </w:rPr>
        <w:footnoteRef/>
      </w:r>
      <w:r>
        <w:t xml:space="preserve"> In Table 4, the difference between the joint effect on the probability of prepayment of a post-policy SNB mortgage (0.0887) and the effect of a post-policy INB mortgage (0.0843) is 0.00436.  In Table 5, the difference is –0.0029.  In Table A1, the difference ranges from –0.0035 to 0.0159.  </w:t>
      </w:r>
    </w:p>
  </w:footnote>
  <w:footnote w:id="4">
    <w:p w14:paraId="0DC7C866" w14:textId="5ADF2227" w:rsidR="00794CDE" w:rsidRDefault="00794CDE" w:rsidP="005F64BC">
      <w:pPr>
        <w:pStyle w:val="FootnoteText"/>
      </w:pPr>
      <w:r>
        <w:rPr>
          <w:rStyle w:val="FootnoteReference"/>
        </w:rPr>
        <w:footnoteRef/>
      </w:r>
      <w:r>
        <w:t xml:space="preserve"> In Table A2, the difference between the joint effect on the probability of default of a post-policy SNB mortgage and the effect of a post-policy INB mortgage ranges from –0.6281 to –0.4902.  The difference for the probability of prepayment ranges from –0.0264 to 0.0721.</w:t>
      </w:r>
    </w:p>
  </w:footnote>
  <w:footnote w:id="5">
    <w:p w14:paraId="3F47238C" w14:textId="101F56C6" w:rsidR="00794CDE" w:rsidRDefault="00794CDE" w:rsidP="00AD497F">
      <w:pPr>
        <w:pStyle w:val="FootnoteText"/>
      </w:pPr>
      <w:r w:rsidRPr="00F06FD6">
        <w:rPr>
          <w:rStyle w:val="FootnoteReference"/>
        </w:rPr>
        <w:footnoteRef/>
      </w:r>
      <w:r w:rsidRPr="00F06FD6">
        <w:t xml:space="preserve"> Across Tables </w:t>
      </w:r>
      <w:r>
        <w:t>8, A3, and A4</w:t>
      </w:r>
      <w:r w:rsidRPr="00F06FD6">
        <w:t xml:space="preserve">, the difference in </w:t>
      </w:r>
      <w:r w:rsidRPr="00F06FD6">
        <w:rPr>
          <w:i/>
        </w:rPr>
        <w:t>InitialRate</w:t>
      </w:r>
      <w:r w:rsidRPr="00F06FD6">
        <w:t xml:space="preserve"> between SNB originations and INB originations in the post-policy period range from –0.</w:t>
      </w:r>
      <w:r>
        <w:t>5</w:t>
      </w:r>
      <w:r w:rsidRPr="00F06FD6">
        <w:t xml:space="preserve"> basis points to 0.1 basis points, and the difference is not statistically significant in any of the models in those tabl</w:t>
      </w:r>
      <w:r>
        <w:t>es.</w:t>
      </w:r>
    </w:p>
  </w:footnote>
  <w:footnote w:id="6">
    <w:p w14:paraId="272B8E53" w14:textId="46F51308" w:rsidR="00794CDE" w:rsidRDefault="00794CDE" w:rsidP="00AD497F">
      <w:pPr>
        <w:pStyle w:val="FootnoteText"/>
      </w:pPr>
      <w:r>
        <w:rPr>
          <w:rStyle w:val="FootnoteReference"/>
        </w:rPr>
        <w:footnoteRef/>
      </w:r>
      <w:r>
        <w:t xml:space="preserve"> For perspective on the magnitudes of the results in Tables </w:t>
      </w:r>
      <w:r w:rsidRPr="00F06FD6">
        <w:t xml:space="preserve"> </w:t>
      </w:r>
      <w:r>
        <w:t xml:space="preserve">8, A3, and A4, note that Table 2 indicates that the sample standard deviations of </w:t>
      </w:r>
      <w:r w:rsidRPr="0059558F">
        <w:rPr>
          <w:i/>
        </w:rPr>
        <w:t>InitialRate</w:t>
      </w:r>
      <w:r>
        <w:t xml:space="preserve"> and </w:t>
      </w:r>
      <w:r w:rsidRPr="0059558F">
        <w:rPr>
          <w:i/>
        </w:rPr>
        <w:t>LTV</w:t>
      </w:r>
      <w:r>
        <w:t xml:space="preserve"> are 109 basis points and 18.18 percentage points, respectively.</w:t>
      </w:r>
    </w:p>
  </w:footnote>
  <w:footnote w:id="7">
    <w:p w14:paraId="227A1AB4" w14:textId="68E22B0F" w:rsidR="00794CDE" w:rsidRDefault="00794CDE" w:rsidP="00B43B68">
      <w:pPr>
        <w:pStyle w:val="FootnoteText"/>
      </w:pPr>
      <w:r>
        <w:rPr>
          <w:rStyle w:val="FootnoteReference"/>
        </w:rPr>
        <w:footnoteRef/>
      </w:r>
      <w:r>
        <w:t xml:space="preserve"> The difference between the joint effect on the probability of default of a post-policy SNB mortgage and the effect of a post-policy INB mortgage in Table 7 of the main paper is -0.2264 and is significant at the ten percent level.  In Tables A8-A10, the difference ranges from -0.4153 to -0.1410, and is statistically significant in models 2-4 of Table A10.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B573" w14:textId="77777777" w:rsidR="008C3A61" w:rsidRDefault="008C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6CAA" w14:textId="77777777" w:rsidR="008C3A61" w:rsidRDefault="008C3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7FB5" w14:textId="77777777" w:rsidR="008C3A61" w:rsidRDefault="008C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B1BE1"/>
    <w:multiLevelType w:val="hybridMultilevel"/>
    <w:tmpl w:val="576A0B3C"/>
    <w:lvl w:ilvl="0" w:tplc="906880A2">
      <w:start w:val="7"/>
      <w:numFmt w:val="bullet"/>
      <w:lvlText w:val=""/>
      <w:lvlJc w:val="left"/>
      <w:pPr>
        <w:ind w:left="492" w:hanging="360"/>
      </w:pPr>
      <w:rPr>
        <w:rFonts w:ascii="Symbol" w:eastAsia="Times New Roman" w:hAnsi="Symbol"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40"/>
    <w:rsid w:val="0000622A"/>
    <w:rsid w:val="000128B9"/>
    <w:rsid w:val="0001701A"/>
    <w:rsid w:val="00045AFA"/>
    <w:rsid w:val="000520C4"/>
    <w:rsid w:val="0006500F"/>
    <w:rsid w:val="000A3B57"/>
    <w:rsid w:val="000D2484"/>
    <w:rsid w:val="000D4F99"/>
    <w:rsid w:val="00110778"/>
    <w:rsid w:val="00120A29"/>
    <w:rsid w:val="00152138"/>
    <w:rsid w:val="001A494E"/>
    <w:rsid w:val="001D6E0E"/>
    <w:rsid w:val="00207A8E"/>
    <w:rsid w:val="002667AA"/>
    <w:rsid w:val="00283014"/>
    <w:rsid w:val="00286474"/>
    <w:rsid w:val="002D442D"/>
    <w:rsid w:val="00306FE9"/>
    <w:rsid w:val="00312B59"/>
    <w:rsid w:val="00314CF5"/>
    <w:rsid w:val="003520CC"/>
    <w:rsid w:val="00355639"/>
    <w:rsid w:val="00375C89"/>
    <w:rsid w:val="0038325B"/>
    <w:rsid w:val="003F3428"/>
    <w:rsid w:val="00453344"/>
    <w:rsid w:val="00453B3B"/>
    <w:rsid w:val="00455D29"/>
    <w:rsid w:val="00472555"/>
    <w:rsid w:val="00477907"/>
    <w:rsid w:val="00492799"/>
    <w:rsid w:val="00495F01"/>
    <w:rsid w:val="004C09CB"/>
    <w:rsid w:val="004C757C"/>
    <w:rsid w:val="0054271B"/>
    <w:rsid w:val="00595733"/>
    <w:rsid w:val="005C4309"/>
    <w:rsid w:val="005C7B9C"/>
    <w:rsid w:val="005F3401"/>
    <w:rsid w:val="005F64BC"/>
    <w:rsid w:val="00602F42"/>
    <w:rsid w:val="00615A24"/>
    <w:rsid w:val="006161CF"/>
    <w:rsid w:val="00626866"/>
    <w:rsid w:val="006454E1"/>
    <w:rsid w:val="00657B28"/>
    <w:rsid w:val="00661B52"/>
    <w:rsid w:val="00667DD4"/>
    <w:rsid w:val="006751BB"/>
    <w:rsid w:val="006875E1"/>
    <w:rsid w:val="006A5963"/>
    <w:rsid w:val="006D306F"/>
    <w:rsid w:val="006D5455"/>
    <w:rsid w:val="0070024E"/>
    <w:rsid w:val="00703B40"/>
    <w:rsid w:val="00717341"/>
    <w:rsid w:val="007731A6"/>
    <w:rsid w:val="00794CDE"/>
    <w:rsid w:val="007D35EF"/>
    <w:rsid w:val="00801E23"/>
    <w:rsid w:val="008066BA"/>
    <w:rsid w:val="00832364"/>
    <w:rsid w:val="00847A0D"/>
    <w:rsid w:val="00860BB5"/>
    <w:rsid w:val="00862E1F"/>
    <w:rsid w:val="00890FA4"/>
    <w:rsid w:val="008A3270"/>
    <w:rsid w:val="008B168E"/>
    <w:rsid w:val="008C3A61"/>
    <w:rsid w:val="008F7CBF"/>
    <w:rsid w:val="00906CDB"/>
    <w:rsid w:val="00931F65"/>
    <w:rsid w:val="00953A31"/>
    <w:rsid w:val="009703B5"/>
    <w:rsid w:val="009D504D"/>
    <w:rsid w:val="009D6779"/>
    <w:rsid w:val="009F7EF0"/>
    <w:rsid w:val="00A02DF8"/>
    <w:rsid w:val="00A06268"/>
    <w:rsid w:val="00A2763E"/>
    <w:rsid w:val="00A50283"/>
    <w:rsid w:val="00AD497F"/>
    <w:rsid w:val="00AF6F1B"/>
    <w:rsid w:val="00B0586C"/>
    <w:rsid w:val="00B26691"/>
    <w:rsid w:val="00B34F93"/>
    <w:rsid w:val="00B43B68"/>
    <w:rsid w:val="00B532D4"/>
    <w:rsid w:val="00B60C8F"/>
    <w:rsid w:val="00BC50A7"/>
    <w:rsid w:val="00BC7354"/>
    <w:rsid w:val="00BF5D93"/>
    <w:rsid w:val="00C07E6B"/>
    <w:rsid w:val="00C364B1"/>
    <w:rsid w:val="00C36FD0"/>
    <w:rsid w:val="00C956E3"/>
    <w:rsid w:val="00CD4B2F"/>
    <w:rsid w:val="00D213FF"/>
    <w:rsid w:val="00D92855"/>
    <w:rsid w:val="00DA64BC"/>
    <w:rsid w:val="00DC099A"/>
    <w:rsid w:val="00DC4756"/>
    <w:rsid w:val="00DF2657"/>
    <w:rsid w:val="00E211B9"/>
    <w:rsid w:val="00E32521"/>
    <w:rsid w:val="00E3728D"/>
    <w:rsid w:val="00E61DBF"/>
    <w:rsid w:val="00E775FA"/>
    <w:rsid w:val="00EA171D"/>
    <w:rsid w:val="00EC0DF6"/>
    <w:rsid w:val="00F24E93"/>
    <w:rsid w:val="00F55C25"/>
    <w:rsid w:val="00F73896"/>
    <w:rsid w:val="00FB622F"/>
    <w:rsid w:val="00FC7167"/>
    <w:rsid w:val="00FD4CDF"/>
    <w:rsid w:val="00FF42AB"/>
    <w:rsid w:val="00FF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9ED7"/>
  <w15:chartTrackingRefBased/>
  <w15:docId w15:val="{1B7C7AC0-EBBB-4DBF-846B-0A26A35D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3B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68"/>
    <w:rPr>
      <w:sz w:val="20"/>
      <w:szCs w:val="20"/>
    </w:rPr>
  </w:style>
  <w:style w:type="character" w:styleId="FootnoteReference">
    <w:name w:val="footnote reference"/>
    <w:basedOn w:val="DefaultParagraphFont"/>
    <w:uiPriority w:val="99"/>
    <w:semiHidden/>
    <w:unhideWhenUsed/>
    <w:rsid w:val="00B43B68"/>
    <w:rPr>
      <w:vertAlign w:val="superscript"/>
    </w:rPr>
  </w:style>
  <w:style w:type="paragraph" w:styleId="BalloonText">
    <w:name w:val="Balloon Text"/>
    <w:basedOn w:val="Normal"/>
    <w:link w:val="BalloonTextChar"/>
    <w:uiPriority w:val="99"/>
    <w:semiHidden/>
    <w:unhideWhenUsed/>
    <w:rsid w:val="00661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52"/>
    <w:rPr>
      <w:rFonts w:ascii="Segoe UI" w:hAnsi="Segoe UI" w:cs="Segoe UI"/>
      <w:sz w:val="18"/>
      <w:szCs w:val="18"/>
    </w:rPr>
  </w:style>
  <w:style w:type="paragraph" w:styleId="ListParagraph">
    <w:name w:val="List Paragraph"/>
    <w:basedOn w:val="Normal"/>
    <w:uiPriority w:val="34"/>
    <w:qFormat/>
    <w:rsid w:val="0006500F"/>
    <w:pPr>
      <w:ind w:left="720"/>
      <w:contextualSpacing/>
    </w:pPr>
  </w:style>
  <w:style w:type="character" w:styleId="Hyperlink">
    <w:name w:val="Hyperlink"/>
    <w:basedOn w:val="DefaultParagraphFont"/>
    <w:uiPriority w:val="99"/>
    <w:rsid w:val="00C36FD0"/>
    <w:rPr>
      <w:rFonts w:cs="Times New Roman"/>
      <w:color w:val="0000FF"/>
      <w:u w:val="single"/>
    </w:rPr>
  </w:style>
  <w:style w:type="paragraph" w:styleId="Revision">
    <w:name w:val="Revision"/>
    <w:hidden/>
    <w:uiPriority w:val="99"/>
    <w:semiHidden/>
    <w:rsid w:val="00A02DF8"/>
    <w:pPr>
      <w:spacing w:after="0" w:line="240" w:lineRule="auto"/>
    </w:pPr>
  </w:style>
  <w:style w:type="character" w:styleId="CommentReference">
    <w:name w:val="annotation reference"/>
    <w:basedOn w:val="DefaultParagraphFont"/>
    <w:uiPriority w:val="99"/>
    <w:semiHidden/>
    <w:unhideWhenUsed/>
    <w:rsid w:val="00D213FF"/>
    <w:rPr>
      <w:sz w:val="16"/>
      <w:szCs w:val="16"/>
    </w:rPr>
  </w:style>
  <w:style w:type="paragraph" w:styleId="CommentText">
    <w:name w:val="annotation text"/>
    <w:basedOn w:val="Normal"/>
    <w:link w:val="CommentTextChar"/>
    <w:uiPriority w:val="99"/>
    <w:semiHidden/>
    <w:unhideWhenUsed/>
    <w:rsid w:val="00D213FF"/>
    <w:pPr>
      <w:spacing w:line="240" w:lineRule="auto"/>
    </w:pPr>
    <w:rPr>
      <w:sz w:val="20"/>
      <w:szCs w:val="20"/>
    </w:rPr>
  </w:style>
  <w:style w:type="character" w:customStyle="1" w:styleId="CommentTextChar">
    <w:name w:val="Comment Text Char"/>
    <w:basedOn w:val="DefaultParagraphFont"/>
    <w:link w:val="CommentText"/>
    <w:uiPriority w:val="99"/>
    <w:semiHidden/>
    <w:rsid w:val="00D213FF"/>
    <w:rPr>
      <w:sz w:val="20"/>
      <w:szCs w:val="20"/>
    </w:rPr>
  </w:style>
  <w:style w:type="paragraph" w:styleId="CommentSubject">
    <w:name w:val="annotation subject"/>
    <w:basedOn w:val="CommentText"/>
    <w:next w:val="CommentText"/>
    <w:link w:val="CommentSubjectChar"/>
    <w:uiPriority w:val="99"/>
    <w:semiHidden/>
    <w:unhideWhenUsed/>
    <w:rsid w:val="00D213FF"/>
    <w:rPr>
      <w:b/>
      <w:bCs/>
    </w:rPr>
  </w:style>
  <w:style w:type="character" w:customStyle="1" w:styleId="CommentSubjectChar">
    <w:name w:val="Comment Subject Char"/>
    <w:basedOn w:val="CommentTextChar"/>
    <w:link w:val="CommentSubject"/>
    <w:uiPriority w:val="99"/>
    <w:semiHidden/>
    <w:rsid w:val="00D213FF"/>
    <w:rPr>
      <w:b/>
      <w:bCs/>
      <w:sz w:val="20"/>
      <w:szCs w:val="20"/>
    </w:rPr>
  </w:style>
  <w:style w:type="paragraph" w:styleId="Footer">
    <w:name w:val="footer"/>
    <w:basedOn w:val="Normal"/>
    <w:link w:val="FooterChar"/>
    <w:uiPriority w:val="99"/>
    <w:unhideWhenUsed/>
    <w:rsid w:val="00B6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8F"/>
  </w:style>
  <w:style w:type="paragraph" w:styleId="NoSpacing">
    <w:name w:val="No Spacing"/>
    <w:uiPriority w:val="1"/>
    <w:qFormat/>
    <w:rsid w:val="00B60C8F"/>
    <w:pPr>
      <w:spacing w:after="0" w:line="240" w:lineRule="auto"/>
    </w:pPr>
  </w:style>
  <w:style w:type="paragraph" w:styleId="Header">
    <w:name w:val="header"/>
    <w:basedOn w:val="Normal"/>
    <w:link w:val="HeaderChar"/>
    <w:uiPriority w:val="99"/>
    <w:unhideWhenUsed/>
    <w:rsid w:val="008C3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61"/>
  </w:style>
  <w:style w:type="character" w:styleId="FollowedHyperlink">
    <w:name w:val="FollowedHyperlink"/>
    <w:basedOn w:val="DefaultParagraphFont"/>
    <w:uiPriority w:val="99"/>
    <w:semiHidden/>
    <w:unhideWhenUsed/>
    <w:rsid w:val="008C3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dcu.be/cR1a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edgel@wisc.edu" TargetMode="External"/><Relationship Id="rId2" Type="http://schemas.openxmlformats.org/officeDocument/2006/relationships/hyperlink" Target="mailto:Raymond.Brastow@rich.frb.org" TargetMode="External"/><Relationship Id="rId1" Type="http://schemas.openxmlformats.org/officeDocument/2006/relationships/hyperlink" Target="mailto:Eliana.Balla@rich.frb.org" TargetMode="External"/><Relationship Id="rId4" Type="http://schemas.openxmlformats.org/officeDocument/2006/relationships/hyperlink" Target="mailto:mrose@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A3CC-73A4-4421-8F47-8E4545E8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15010</Words>
  <Characters>85561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100371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 Danny</dc:creator>
  <cp:keywords/>
  <dc:description/>
  <cp:lastModifiedBy>Morgan Rose</cp:lastModifiedBy>
  <cp:revision>2</cp:revision>
  <cp:lastPrinted>2021-01-10T15:21:00Z</cp:lastPrinted>
  <dcterms:created xsi:type="dcterms:W3CDTF">2022-07-24T18:32:00Z</dcterms:created>
  <dcterms:modified xsi:type="dcterms:W3CDTF">2022-07-24T18:32:00Z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c0173c88-1517-4549-bfac-4b332ca458af</vt:lpwstr>
  </property>
</Properties>
</file>