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07" w:rsidRPr="004E5FD2" w:rsidRDefault="00EF2B12" w:rsidP="00226A8E">
      <w:pPr>
        <w:spacing w:after="120" w:line="480" w:lineRule="auto"/>
        <w:ind w:firstLine="1440"/>
        <w:rPr>
          <w:b/>
          <w:sz w:val="28"/>
        </w:rPr>
      </w:pPr>
      <w:bookmarkStart w:id="0" w:name="_GoBack"/>
      <w:bookmarkEnd w:id="0"/>
      <w:r w:rsidRPr="004E5FD2">
        <w:rPr>
          <w:b/>
          <w:sz w:val="28"/>
        </w:rPr>
        <w:t>Financial Knowledge and Financial Market Participation</w:t>
      </w:r>
    </w:p>
    <w:p w:rsidR="00743EF5" w:rsidRPr="002D4446" w:rsidRDefault="00EB5093" w:rsidP="00226A8E">
      <w:pPr>
        <w:spacing w:after="120" w:line="480" w:lineRule="auto"/>
        <w:ind w:right="288"/>
        <w:mirrorIndents/>
        <w:rPr>
          <w:b/>
        </w:rPr>
      </w:pPr>
      <w:r w:rsidRPr="002D4446">
        <w:rPr>
          <w:b/>
        </w:rPr>
        <w:t xml:space="preserve">1. </w:t>
      </w:r>
      <w:r w:rsidR="00743EF5" w:rsidRPr="002D4446">
        <w:rPr>
          <w:b/>
        </w:rPr>
        <w:t>Introduction</w:t>
      </w:r>
    </w:p>
    <w:p w:rsidR="00771A1B" w:rsidRDefault="00C84B61" w:rsidP="00226A8E">
      <w:pPr>
        <w:spacing w:after="120" w:line="480" w:lineRule="auto"/>
        <w:ind w:firstLine="720"/>
        <w:mirrorIndents/>
      </w:pPr>
      <w:r>
        <w:t>The s</w:t>
      </w:r>
      <w:r w:rsidR="006E21B7">
        <w:t>tock market index measured by</w:t>
      </w:r>
      <w:r w:rsidR="002D4446">
        <w:t xml:space="preserve">the </w:t>
      </w:r>
      <w:r w:rsidR="000E7859" w:rsidRPr="000E7859">
        <w:t xml:space="preserve">S&amp;P 500 index has ended the </w:t>
      </w:r>
      <w:r w:rsidR="00316C84">
        <w:t>eighth c</w:t>
      </w:r>
      <w:r w:rsidR="000E7859" w:rsidRPr="000E7859">
        <w:t xml:space="preserve">onsecutive year with positive returns with </w:t>
      </w:r>
      <w:r w:rsidR="002D4446">
        <w:t xml:space="preserve">a </w:t>
      </w:r>
      <w:r w:rsidR="000E7859" w:rsidRPr="000E7859">
        <w:t xml:space="preserve">geometric </w:t>
      </w:r>
      <w:r w:rsidR="00D51188">
        <w:t xml:space="preserve">average </w:t>
      </w:r>
      <w:r w:rsidR="002D4446">
        <w:t xml:space="preserve">of </w:t>
      </w:r>
      <w:r w:rsidR="000E7859" w:rsidRPr="000E7859">
        <w:t>14.3% per annum</w:t>
      </w:r>
      <w:r w:rsidR="000E7859">
        <w:t xml:space="preserve"> between 2009 and 2016</w:t>
      </w:r>
      <w:r w:rsidR="00D51188">
        <w:t xml:space="preserve">. </w:t>
      </w:r>
      <w:r w:rsidR="002C0CCA">
        <w:t>Meanwhile</w:t>
      </w:r>
      <w:r w:rsidR="00D51188">
        <w:t>,</w:t>
      </w:r>
      <w:r w:rsidR="002D4446">
        <w:t xml:space="preserve">the </w:t>
      </w:r>
      <w:r w:rsidR="000E7859" w:rsidRPr="000E7859">
        <w:t xml:space="preserve">proportion </w:t>
      </w:r>
      <w:r w:rsidR="00D51188" w:rsidRPr="000E7859">
        <w:t>of Americans</w:t>
      </w:r>
      <w:r w:rsidR="000E7859">
        <w:t>allocating non-retirement accounts</w:t>
      </w:r>
      <w:r w:rsidR="000E7859" w:rsidRPr="000E7859">
        <w:t xml:space="preserve"> in stocks, bonds, mutual funds and other securities continues to decline</w:t>
      </w:r>
      <w:r w:rsidR="002D4446">
        <w:t>:</w:t>
      </w:r>
      <w:r w:rsidR="000E7859" w:rsidRPr="000E7859">
        <w:t xml:space="preserve"> from 34% in 2009 to 32% in 2012 and 30% in 2015</w:t>
      </w:r>
      <w:r w:rsidR="001B6ADF">
        <w:rPr>
          <w:rStyle w:val="FootnoteReference"/>
          <w:vertAlign w:val="baseline"/>
        </w:rPr>
        <w:t>(</w:t>
      </w:r>
      <w:r w:rsidR="000A6E53" w:rsidRPr="000D271A">
        <w:t>Financial Industry Regulatory Authority</w:t>
      </w:r>
      <w:r w:rsidR="001B6ADF">
        <w:rPr>
          <w:rStyle w:val="FootnoteReference"/>
          <w:vertAlign w:val="baseline"/>
        </w:rPr>
        <w:t>, 2016)</w:t>
      </w:r>
      <w:r w:rsidR="000E7859" w:rsidRPr="000E7859">
        <w:t xml:space="preserve">. </w:t>
      </w:r>
      <w:r w:rsidR="00771A1B">
        <w:t xml:space="preserve">This observationcontradictstraditional financial theory which postulates that </w:t>
      </w:r>
      <w:r w:rsidR="005F4289">
        <w:t>equity</w:t>
      </w:r>
      <w:r w:rsidR="00771A1B" w:rsidRPr="008B46EE">
        <w:t xml:space="preserve">ownership is positively associated with </w:t>
      </w:r>
      <w:r>
        <w:t xml:space="preserve">the </w:t>
      </w:r>
      <w:r w:rsidR="00771A1B" w:rsidRPr="008B46EE">
        <w:t>equity premium regardless of investor’s ri</w:t>
      </w:r>
      <w:r w:rsidR="008B46EE" w:rsidRPr="008B46EE">
        <w:t>s</w:t>
      </w:r>
      <w:r>
        <w:t>k preferences (Campbell, 2006). I</w:t>
      </w:r>
      <w:r w:rsidR="008B46EE" w:rsidRPr="008B46EE">
        <w:t xml:space="preserve">t is estimated that the welfare cost of nonparticipation </w:t>
      </w:r>
      <w:r>
        <w:t xml:space="preserve">in equity ownership </w:t>
      </w:r>
      <w:r w:rsidR="008B46EE" w:rsidRPr="008B46EE">
        <w:t>is about 2% of annual consumption (Cocco et al., 2005).</w:t>
      </w:r>
    </w:p>
    <w:p w:rsidR="004E5FD2" w:rsidRDefault="00083544" w:rsidP="00226A8E">
      <w:pPr>
        <w:spacing w:after="120" w:line="480" w:lineRule="auto"/>
        <w:ind w:firstLine="720"/>
        <w:mirrorIndents/>
      </w:pPr>
      <w:r>
        <w:t>U</w:t>
      </w:r>
      <w:r w:rsidR="00206DDF">
        <w:t xml:space="preserve">sing </w:t>
      </w:r>
      <w:r w:rsidR="002D4446">
        <w:t xml:space="preserve">the </w:t>
      </w:r>
      <w:r w:rsidR="00206DDF">
        <w:t xml:space="preserve">most recent survey data from </w:t>
      </w:r>
      <w:r w:rsidR="002D4446">
        <w:t xml:space="preserve">the </w:t>
      </w:r>
      <w:r w:rsidR="00206DDF">
        <w:t xml:space="preserve">2015 Financial Capability Survey </w:t>
      </w:r>
      <w:r w:rsidR="00D83ABD">
        <w:t>I</w:t>
      </w:r>
      <w:r w:rsidR="00206DDF">
        <w:t xml:space="preserve"> explore </w:t>
      </w:r>
      <w:r w:rsidR="002D4446">
        <w:t xml:space="preserve">variables related to </w:t>
      </w:r>
      <w:r w:rsidR="005B05F5">
        <w:rPr>
          <w:i/>
        </w:rPr>
        <w:t>financial market</w:t>
      </w:r>
      <w:r w:rsidR="00D83ABD" w:rsidRPr="006F57A0">
        <w:rPr>
          <w:i/>
        </w:rPr>
        <w:t xml:space="preserve"> participation</w:t>
      </w:r>
      <w:r w:rsidR="00D83ABD">
        <w:t xml:space="preserve">of </w:t>
      </w:r>
      <w:r w:rsidR="00206DDF">
        <w:t>American adults</w:t>
      </w:r>
      <w:r w:rsidR="00D83ABD">
        <w:t xml:space="preserve">. </w:t>
      </w:r>
      <w:r w:rsidR="00166FC5">
        <w:t xml:space="preserve">Increased financial sophistication of financial instruments over the last decades has led to </w:t>
      </w:r>
      <w:r w:rsidR="00FE4C51">
        <w:t xml:space="preserve">an </w:t>
      </w:r>
      <w:r w:rsidR="00166FC5">
        <w:t xml:space="preserve">increase in </w:t>
      </w:r>
      <w:r w:rsidR="00316C84">
        <w:t xml:space="preserve">the </w:t>
      </w:r>
      <w:r w:rsidR="00166FC5">
        <w:t xml:space="preserve">variety of alternative securities (compared to traditional individual stock and stock mutual fund investments) such as </w:t>
      </w:r>
      <w:r w:rsidR="00757531">
        <w:t>Exchange Traded Funds (</w:t>
      </w:r>
      <w:r w:rsidR="00166FC5">
        <w:t>ETFs</w:t>
      </w:r>
      <w:r w:rsidR="00757531">
        <w:t>)</w:t>
      </w:r>
      <w:r w:rsidR="00166FC5">
        <w:t xml:space="preserve"> that can provideequity exposure often at a lower cost. In addition, </w:t>
      </w:r>
      <w:r w:rsidR="00757531">
        <w:t xml:space="preserve">there are </w:t>
      </w:r>
      <w:r w:rsidR="00166FC5">
        <w:t>instruments</w:t>
      </w:r>
      <w:r w:rsidR="004E5FD2">
        <w:t xml:space="preserve"> such</w:t>
      </w:r>
      <w:r w:rsidR="00166FC5">
        <w:t xml:space="preserve"> as </w:t>
      </w:r>
      <w:r w:rsidR="00757531">
        <w:t>Real Estate Investment Trusts (</w:t>
      </w:r>
      <w:r w:rsidR="00166FC5">
        <w:t>REITs</w:t>
      </w:r>
      <w:r w:rsidR="00757531">
        <w:t>)</w:t>
      </w:r>
      <w:r w:rsidR="00166FC5">
        <w:t>, derivatives and convertible bonds</w:t>
      </w:r>
      <w:r w:rsidR="00757531">
        <w:t>.T</w:t>
      </w:r>
      <w:r w:rsidR="002B4D0A">
        <w:t>he former has high correlation with equity securities</w:t>
      </w:r>
      <w:r w:rsidR="00757531">
        <w:t>.T</w:t>
      </w:r>
      <w:r w:rsidR="002B4D0A">
        <w:t xml:space="preserve">he latter </w:t>
      </w:r>
      <w:r w:rsidR="00166FC5">
        <w:t>allow</w:t>
      </w:r>
      <w:r w:rsidR="002B4D0A">
        <w:t>s</w:t>
      </w:r>
      <w:r w:rsidR="00166FC5">
        <w:t xml:space="preserve"> achievement of indirect exposure to equities.</w:t>
      </w:r>
      <w:r w:rsidR="002B4D0A">
        <w:t xml:space="preserve"> Thus, in this study,</w:t>
      </w:r>
      <w:r w:rsidR="00166FC5">
        <w:t xml:space="preserve"> I will </w:t>
      </w:r>
      <w:r w:rsidR="004E5FD2">
        <w:t xml:space="preserve">use </w:t>
      </w:r>
      <w:r w:rsidR="002D4446">
        <w:t xml:space="preserve">a </w:t>
      </w:r>
      <w:r w:rsidR="004E5FD2">
        <w:t xml:space="preserve">broad definition of </w:t>
      </w:r>
      <w:r w:rsidR="00166FC5">
        <w:t>risky assets</w:t>
      </w:r>
      <w:r w:rsidR="00757531">
        <w:t>.I</w:t>
      </w:r>
      <w:r w:rsidR="004E5FD2">
        <w:t xml:space="preserve">n addition to stocks and stock mutual funds </w:t>
      </w:r>
      <w:r w:rsidR="00757531">
        <w:t xml:space="preserve">I </w:t>
      </w:r>
      <w:r w:rsidR="004E5FD2">
        <w:t xml:space="preserve">include bonds, ETFs, commodities and </w:t>
      </w:r>
      <w:r w:rsidR="00166FC5">
        <w:t xml:space="preserve">other </w:t>
      </w:r>
      <w:r w:rsidR="004E5FD2">
        <w:t>securities</w:t>
      </w:r>
      <w:r w:rsidR="00757531">
        <w:t>.</w:t>
      </w:r>
    </w:p>
    <w:p w:rsidR="008E3747" w:rsidRDefault="008E3747" w:rsidP="00226A8E">
      <w:pPr>
        <w:spacing w:after="120" w:line="480" w:lineRule="auto"/>
        <w:ind w:firstLine="720"/>
        <w:mirrorIndents/>
      </w:pPr>
      <w:r>
        <w:t xml:space="preserve">This paper contributes to </w:t>
      </w:r>
      <w:r w:rsidR="00FE4C51">
        <w:t xml:space="preserve">the </w:t>
      </w:r>
      <w:r>
        <w:t xml:space="preserve">existing literature through inclusion of additional factors affecting </w:t>
      </w:r>
      <w:r w:rsidR="00757531">
        <w:t xml:space="preserve">saving and investment </w:t>
      </w:r>
      <w:r>
        <w:t xml:space="preserve">decisions such as risk-taking attitudes and time preferences as well as financial literacy having controlled for socio-economic and demographic covariates.Furthermore, exploiting </w:t>
      </w:r>
      <w:r>
        <w:lastRenderedPageBreak/>
        <w:t>information on personal finance education requirements implement</w:t>
      </w:r>
      <w:r w:rsidR="002D4446">
        <w:t>ed</w:t>
      </w:r>
      <w:r>
        <w:t xml:space="preserve"> in United States high schools</w:t>
      </w:r>
      <w:r w:rsidR="002D4446">
        <w:t>,</w:t>
      </w:r>
      <w:r>
        <w:t xml:space="preserve"> and implementing </w:t>
      </w:r>
      <w:r w:rsidR="00757531">
        <w:t>i</w:t>
      </w:r>
      <w:r>
        <w:t xml:space="preserve">nstrumental </w:t>
      </w:r>
      <w:r w:rsidR="00757531">
        <w:t>v</w:t>
      </w:r>
      <w:r>
        <w:t>ariable estimation</w:t>
      </w:r>
      <w:r w:rsidR="002D4446">
        <w:t>,</w:t>
      </w:r>
      <w:r>
        <w:t xml:space="preserve"> I will attempt to make causal inferences about the effect of financial literacy on financial market participation. </w:t>
      </w:r>
    </w:p>
    <w:p w:rsidR="004E5FD2" w:rsidRDefault="008E3747" w:rsidP="00226A8E">
      <w:pPr>
        <w:spacing w:after="120" w:line="480" w:lineRule="auto"/>
        <w:ind w:firstLine="720"/>
        <w:mirrorIndents/>
      </w:pPr>
      <w:r>
        <w:t>Without</w:t>
      </w:r>
      <w:r w:rsidR="001B6ADF">
        <w:t>assuming</w:t>
      </w:r>
      <w:r w:rsidR="004E5FD2">
        <w:t xml:space="preserve"> causal claims I find </w:t>
      </w:r>
      <w:r w:rsidR="002D4446">
        <w:t xml:space="preserve">a </w:t>
      </w:r>
      <w:r w:rsidR="004E5FD2">
        <w:t xml:space="preserve">strong positive correlation between financial literacy and financial market participation. </w:t>
      </w:r>
      <w:r w:rsidR="00853F8B">
        <w:t xml:space="preserve">I also </w:t>
      </w:r>
      <w:r w:rsidR="002D4446">
        <w:t>find</w:t>
      </w:r>
      <w:r w:rsidR="00853F8B">
        <w:t xml:space="preserve"> that </w:t>
      </w:r>
      <w:r w:rsidR="004E5FD2">
        <w:t>investors</w:t>
      </w:r>
      <w:r w:rsidR="00853F8B">
        <w:t>’</w:t>
      </w:r>
      <w:r w:rsidR="004E5FD2">
        <w:t xml:space="preserve"> risk</w:t>
      </w:r>
      <w:r w:rsidR="00853F8B">
        <w:t xml:space="preserve"> willingness and time </w:t>
      </w:r>
      <w:r w:rsidR="004E5FD2">
        <w:t xml:space="preserve">preferences </w:t>
      </w:r>
      <w:r w:rsidR="00853F8B">
        <w:t xml:space="preserve">are important factors </w:t>
      </w:r>
      <w:r>
        <w:t xml:space="preserve">in </w:t>
      </w:r>
      <w:r w:rsidR="00853F8B">
        <w:t>explain</w:t>
      </w:r>
      <w:r>
        <w:t>ing</w:t>
      </w:r>
      <w:r w:rsidR="00757531">
        <w:t xml:space="preserve">the </w:t>
      </w:r>
      <w:r w:rsidR="00853F8B">
        <w:t>non</w:t>
      </w:r>
      <w:r w:rsidR="002D4446">
        <w:t>-</w:t>
      </w:r>
      <w:r w:rsidR="00853F8B">
        <w:t>participation puzzle. Individuals with</w:t>
      </w:r>
      <w:r w:rsidR="004E5FD2">
        <w:t xml:space="preserve"> lower risk aversion and longer investment horizon are more likely to participate in financial markets. </w:t>
      </w:r>
    </w:p>
    <w:p w:rsidR="00755A6A" w:rsidRPr="001B6ADF" w:rsidRDefault="008B46EE" w:rsidP="00226A8E">
      <w:pPr>
        <w:spacing w:after="120" w:line="480" w:lineRule="auto"/>
        <w:ind w:firstLine="720"/>
        <w:mirrorIndents/>
      </w:pPr>
      <w:r>
        <w:t>The paper is organized as follows. Section 2 reviews literature relevant to the topic. Section 3 describes data, model and methods that are used. Results are presented in Section 4.</w:t>
      </w:r>
      <w:r w:rsidR="006E09E0">
        <w:t xml:space="preserve"> Robustness of results </w:t>
      </w:r>
      <w:r w:rsidR="001B6ADF">
        <w:t>is</w:t>
      </w:r>
      <w:r w:rsidR="006E09E0">
        <w:t xml:space="preserve"> checked in Section 5. Section 6 summarizes key findings and discusses </w:t>
      </w:r>
      <w:r w:rsidR="002B4D0A">
        <w:t>some limitations</w:t>
      </w:r>
      <w:r w:rsidR="006E09E0">
        <w:t>.</w:t>
      </w:r>
    </w:p>
    <w:p w:rsidR="007345FB" w:rsidRPr="00B449BD" w:rsidRDefault="00B449BD" w:rsidP="00226A8E">
      <w:pPr>
        <w:spacing w:after="120" w:line="480" w:lineRule="auto"/>
        <w:mirrorIndents/>
        <w:rPr>
          <w:b/>
        </w:rPr>
      </w:pPr>
      <w:r w:rsidRPr="00B449BD">
        <w:rPr>
          <w:b/>
        </w:rPr>
        <w:t xml:space="preserve">2. </w:t>
      </w:r>
      <w:r w:rsidR="006564F6" w:rsidRPr="00B449BD">
        <w:rPr>
          <w:b/>
        </w:rPr>
        <w:t>Related Literature</w:t>
      </w:r>
    </w:p>
    <w:p w:rsidR="007345FB" w:rsidRDefault="00D51188" w:rsidP="00226A8E">
      <w:pPr>
        <w:spacing w:after="120" w:line="480" w:lineRule="auto"/>
        <w:ind w:firstLine="720"/>
        <w:mirrorIndents/>
      </w:pPr>
      <w:r>
        <w:t>Lack of stock ownership by households</w:t>
      </w:r>
      <w:r w:rsidR="00FE4C51">
        <w:t>,</w:t>
      </w:r>
      <w:r>
        <w:t xml:space="preserve"> often referred as the stock market non-participation puzzle</w:t>
      </w:r>
      <w:r w:rsidR="0066055A">
        <w:t>,</w:t>
      </w:r>
      <w:r>
        <w:t xml:space="preserve"> was first identified by </w:t>
      </w:r>
      <w:r w:rsidRPr="000E7859">
        <w:t>Haliassos and Bertaut (1995)</w:t>
      </w:r>
      <w:r w:rsidR="007345FB">
        <w:t xml:space="preserve">.  </w:t>
      </w:r>
      <w:r w:rsidR="0066055A">
        <w:t xml:space="preserve">They </w:t>
      </w:r>
      <w:r w:rsidR="007345FB">
        <w:t xml:space="preserve">did not find supportive evidence favoring risk aversion, heterogeneity of beliefs, persistence habit and borrowing constraints explanations of the puzzle, but suggest that it can be explained by inertia and deviation from expected-utility maximization decisions. </w:t>
      </w:r>
    </w:p>
    <w:p w:rsidR="008B46EE" w:rsidRDefault="008B46EE" w:rsidP="00226A8E">
      <w:pPr>
        <w:spacing w:after="120" w:line="480" w:lineRule="auto"/>
        <w:ind w:firstLine="720"/>
        <w:mirrorIndents/>
      </w:pPr>
      <w:r>
        <w:t xml:space="preserve">A growing body of empirical literature seeks to identify factors that determine households’ decision to participate in the financial markets. Recent works suggest </w:t>
      </w:r>
      <w:r w:rsidR="002D4446">
        <w:t xml:space="preserve">that the </w:t>
      </w:r>
      <w:r>
        <w:t xml:space="preserve">households’ decision to hold stocks is influenced by social interaction (Hong </w:t>
      </w:r>
      <w:r w:rsidR="0066055A">
        <w:t>et</w:t>
      </w:r>
      <w:r>
        <w:t xml:space="preserve"> al</w:t>
      </w:r>
      <w:r w:rsidR="002D4446">
        <w:t xml:space="preserve">., </w:t>
      </w:r>
      <w:r>
        <w:t>2004), economic shocks, future expectations and st</w:t>
      </w:r>
      <w:r w:rsidR="0066055A">
        <w:t>ock market literacy (Balloch et</w:t>
      </w:r>
      <w:r>
        <w:t xml:space="preserve"> al., 201</w:t>
      </w:r>
      <w:r w:rsidR="00B7329C">
        <w:t>4</w:t>
      </w:r>
      <w:r w:rsidR="0066055A">
        <w:t xml:space="preserve">), trust </w:t>
      </w:r>
      <w:r w:rsidR="0066055A">
        <w:lastRenderedPageBreak/>
        <w:t>(Guiso et</w:t>
      </w:r>
      <w:r>
        <w:t xml:space="preserve"> al., 2008), </w:t>
      </w:r>
      <w:r w:rsidR="0066055A">
        <w:t>financial literacy (Van Rooj etal., 2011), genetics (Barnea et</w:t>
      </w:r>
      <w:r>
        <w:t xml:space="preserve"> al., 2010), political orientation (Kaustia and Torstila, 201</w:t>
      </w:r>
      <w:r w:rsidR="003E13B1">
        <w:t>1</w:t>
      </w:r>
      <w:r>
        <w:t xml:space="preserve">) and </w:t>
      </w:r>
      <w:r w:rsidR="002D4446">
        <w:t>i</w:t>
      </w:r>
      <w:r>
        <w:t xml:space="preserve">ntelligence </w:t>
      </w:r>
      <w:r w:rsidR="002D4446">
        <w:t>q</w:t>
      </w:r>
      <w:r>
        <w:t>uotient (Grinblatt, 2011).</w:t>
      </w:r>
    </w:p>
    <w:p w:rsidR="007345FB" w:rsidRDefault="002D4446" w:rsidP="00226A8E">
      <w:pPr>
        <w:spacing w:after="120" w:line="480" w:lineRule="auto"/>
        <w:ind w:firstLine="720"/>
        <w:mirrorIndents/>
      </w:pPr>
      <w:r>
        <w:t>O</w:t>
      </w:r>
      <w:r w:rsidR="002744F1">
        <w:t xml:space="preserve">ne </w:t>
      </w:r>
      <w:r w:rsidR="00236DEE">
        <w:t xml:space="preserve">should </w:t>
      </w:r>
      <w:r w:rsidR="00316C84">
        <w:t xml:space="preserve">consider </w:t>
      </w:r>
      <w:r w:rsidR="0066055A">
        <w:t>the</w:t>
      </w:r>
      <w:r w:rsidR="00236DEE">
        <w:t xml:space="preserve"> potential endogeneity problem</w:t>
      </w:r>
      <w:r w:rsidR="00B83297">
        <w:t xml:space="preserve"> associated with the measure of financial literacy</w:t>
      </w:r>
      <w:r w:rsidR="00210246">
        <w:t>when studying stock market participation</w:t>
      </w:r>
      <w:r w:rsidR="002744F1">
        <w:t>(</w:t>
      </w:r>
      <w:r w:rsidR="002744F1" w:rsidRPr="002744F1">
        <w:t>Lusardi and Mitchell</w:t>
      </w:r>
      <w:r w:rsidR="002744F1">
        <w:t>, 2014)</w:t>
      </w:r>
      <w:r w:rsidR="00236DEE">
        <w:t xml:space="preserve">. </w:t>
      </w:r>
      <w:r w:rsidR="002744F1">
        <w:t>Measure</w:t>
      </w:r>
      <w:r w:rsidR="0066055A">
        <w:t>s</w:t>
      </w:r>
      <w:r w:rsidR="002744F1">
        <w:t xml:space="preserve"> of f</w:t>
      </w:r>
      <w:r w:rsidR="00236DEE">
        <w:t xml:space="preserve">inancial literacy, </w:t>
      </w:r>
      <w:r w:rsidR="00210246">
        <w:t>which</w:t>
      </w:r>
      <w:r w:rsidR="0066055A">
        <w:t>are</w:t>
      </w:r>
      <w:r w:rsidR="00236DEE">
        <w:t xml:space="preserve">usually </w:t>
      </w:r>
      <w:r w:rsidR="00210246">
        <w:t xml:space="preserve">constructed as an index from correct answers to financial literacy </w:t>
      </w:r>
      <w:r w:rsidR="002744F1">
        <w:t>questions,</w:t>
      </w:r>
      <w:r w:rsidR="00236DEE">
        <w:t xml:space="preserve"> suffer from two issues: measurement error and reverse causality</w:t>
      </w:r>
      <w:r w:rsidR="00210246">
        <w:t>.</w:t>
      </w:r>
      <w:r w:rsidR="00236DEE">
        <w:t xml:space="preserve"> The first stems from the fact that some of the correct answers to financial literacy question</w:t>
      </w:r>
      <w:r w:rsidR="002744F1">
        <w:t xml:space="preserve"> maybe</w:t>
      </w:r>
      <w:r w:rsidR="00EB5093">
        <w:t xml:space="preserve"> a</w:t>
      </w:r>
      <w:r w:rsidR="002744F1">
        <w:t xml:space="preserve"> result of guessing, while the latter comes from the observation that exposure to financial markets tend to increase financial literacy. As a result, without controlling for </w:t>
      </w:r>
      <w:r>
        <w:t xml:space="preserve">an </w:t>
      </w:r>
      <w:r w:rsidR="002744F1">
        <w:t>endogenous financial literacy index</w:t>
      </w:r>
      <w:r>
        <w:t>,</w:t>
      </w:r>
      <w:r w:rsidR="00E5522F">
        <w:t>one</w:t>
      </w:r>
      <w:r w:rsidR="002744F1">
        <w:t xml:space="preserve"> cannot estimate</w:t>
      </w:r>
      <w:r w:rsidR="00EB5093">
        <w:t xml:space="preserve"> a clear</w:t>
      </w:r>
      <w:r w:rsidR="002744F1">
        <w:t xml:space="preserve"> cause-effect relationship between financial market participation and financial literacy. </w:t>
      </w:r>
    </w:p>
    <w:p w:rsidR="00704B08" w:rsidRDefault="002B4D0A" w:rsidP="00226A8E">
      <w:pPr>
        <w:spacing w:after="120" w:line="480" w:lineRule="auto"/>
        <w:ind w:firstLine="720"/>
        <w:mirrorIndents/>
      </w:pPr>
      <w:r>
        <w:t>Several</w:t>
      </w:r>
      <w:r w:rsidR="00E5522F">
        <w:t xml:space="preserve"> authors have attempted to use </w:t>
      </w:r>
      <w:r w:rsidR="00EB5093">
        <w:t>i</w:t>
      </w:r>
      <w:r w:rsidR="00E5522F">
        <w:t xml:space="preserve">nstrumental </w:t>
      </w:r>
      <w:r w:rsidR="00EB5093">
        <w:t>v</w:t>
      </w:r>
      <w:r w:rsidR="00E5522F">
        <w:t>ariables estimation to address endogeneity in financial knowledge measure</w:t>
      </w:r>
      <w:r w:rsidR="00EB5093">
        <w:t>s. Van Rooj et</w:t>
      </w:r>
      <w:r w:rsidR="00E5522F">
        <w:t xml:space="preserve"> al.(2001) using data from </w:t>
      </w:r>
      <w:r w:rsidR="002D4446">
        <w:t xml:space="preserve">the </w:t>
      </w:r>
      <w:r w:rsidR="00E5522F">
        <w:t>2005 De Nederlandsche Bank’s Household Survey find that household</w:t>
      </w:r>
      <w:r w:rsidR="00EB5093">
        <w:t>s</w:t>
      </w:r>
      <w:r w:rsidR="00E5522F">
        <w:t xml:space="preserve"> with less financial knowledge are less likely to hold stocks. </w:t>
      </w:r>
      <w:r w:rsidR="00EB5093">
        <w:t xml:space="preserve">Van Rooj et al. </w:t>
      </w:r>
      <w:r w:rsidR="00E5522F">
        <w:t xml:space="preserve">employed </w:t>
      </w:r>
      <w:r w:rsidR="00EB5093">
        <w:t>g</w:t>
      </w:r>
      <w:r w:rsidR="00E5522F">
        <w:t xml:space="preserve">eneralized </w:t>
      </w:r>
      <w:r w:rsidR="00EB5093">
        <w:t>m</w:t>
      </w:r>
      <w:r w:rsidR="00E5522F">
        <w:t xml:space="preserve">ethod of </w:t>
      </w:r>
      <w:r w:rsidR="00EB5093">
        <w:t>m</w:t>
      </w:r>
      <w:r w:rsidR="00E5522F">
        <w:t xml:space="preserve">oments (GMM) and </w:t>
      </w:r>
      <w:r w:rsidR="00EB5093">
        <w:t>i</w:t>
      </w:r>
      <w:r w:rsidR="00E5522F">
        <w:t xml:space="preserve">nstrumental </w:t>
      </w:r>
      <w:r w:rsidR="00EB5093">
        <w:t>v</w:t>
      </w:r>
      <w:r w:rsidR="00E5522F">
        <w:t xml:space="preserve">ariables </w:t>
      </w:r>
      <w:r w:rsidR="00EB5093">
        <w:t>e</w:t>
      </w:r>
      <w:r w:rsidR="00E5522F">
        <w:t xml:space="preserve">stimation to account for </w:t>
      </w:r>
      <w:r w:rsidR="002D4446">
        <w:t xml:space="preserve">the </w:t>
      </w:r>
      <w:r w:rsidR="00E5522F">
        <w:t>endogeneity problem of thefinancial</w:t>
      </w:r>
      <w:r w:rsidR="002D4446">
        <w:t xml:space="preserve"> knowledge measure</w:t>
      </w:r>
      <w:r w:rsidR="00704B08">
        <w:t>. They used economics education, daily exposure to economics</w:t>
      </w:r>
      <w:r w:rsidR="00FE4C51">
        <w:t>,</w:t>
      </w:r>
      <w:r w:rsidR="00704B08">
        <w:t xml:space="preserve"> and financial experience of siblings and parents as instruments for financial knowledge. However</w:t>
      </w:r>
      <w:r w:rsidR="00E5522F">
        <w:t>, the model failed exogeneity test</w:t>
      </w:r>
      <w:r w:rsidR="00EB5093">
        <w:t>s</w:t>
      </w:r>
      <w:r w:rsidR="00E5522F">
        <w:t xml:space="preserve">, implying that </w:t>
      </w:r>
      <w:r w:rsidR="002D4446">
        <w:t xml:space="preserve">the </w:t>
      </w:r>
      <w:r w:rsidR="00E5522F">
        <w:t>OLS and GMM IV estimates are not statistically different.</w:t>
      </w:r>
    </w:p>
    <w:p w:rsidR="00713E3F" w:rsidRDefault="00713E3F" w:rsidP="00226A8E">
      <w:pPr>
        <w:spacing w:after="120" w:line="480" w:lineRule="auto"/>
        <w:ind w:firstLine="720"/>
        <w:mirrorIndents/>
      </w:pPr>
      <w:r>
        <w:lastRenderedPageBreak/>
        <w:t>Arrondel et al. (2015) study stockholding decisions of households in France u</w:t>
      </w:r>
      <w:r w:rsidR="00FE4C51">
        <w:t>ses</w:t>
      </w:r>
      <w:r>
        <w:t xml:space="preserve"> Heckman</w:t>
      </w:r>
      <w:r w:rsidR="00FE4C51">
        <w:t>’s</w:t>
      </w:r>
      <w:r>
        <w:t xml:space="preserve"> two-step approach. They first modeled decision to participate in the stock markets, and then conditional on participation, the portfolio share in stocks and mutual funds investments. They find positive </w:t>
      </w:r>
      <w:r w:rsidR="00F159BE">
        <w:t>correlation</w:t>
      </w:r>
      <w:r>
        <w:t xml:space="preserve"> between stock ownership, and financial literacy and financial information acquisition through press reading. However, Arrondel et al. (2015) find no relationship between financial literacy and portfolio allocation in stock investments once </w:t>
      </w:r>
      <w:r w:rsidR="00FE4C51">
        <w:t xml:space="preserve">the </w:t>
      </w:r>
      <w:r>
        <w:t>st</w:t>
      </w:r>
      <w:r w:rsidR="0019081D">
        <w:t xml:space="preserve">ock ownership decision is made, </w:t>
      </w:r>
      <w:r w:rsidR="00F159BE">
        <w:t xml:space="preserve">while financial literacy is strongly associated with the </w:t>
      </w:r>
      <w:r w:rsidR="0019081D">
        <w:t xml:space="preserve">share of stock investments </w:t>
      </w:r>
      <w:r w:rsidR="00F159BE">
        <w:t xml:space="preserve">in the portfolio.  </w:t>
      </w:r>
    </w:p>
    <w:p w:rsidR="00F159BE" w:rsidRDefault="00FE4C51" w:rsidP="00226A8E">
      <w:pPr>
        <w:spacing w:after="120" w:line="480" w:lineRule="auto"/>
        <w:ind w:firstLine="720"/>
        <w:mirrorIndents/>
      </w:pPr>
      <w:r>
        <w:t xml:space="preserve">A </w:t>
      </w:r>
      <w:r w:rsidR="00F159BE">
        <w:t xml:space="preserve">recent study by Bianchi (2017) </w:t>
      </w:r>
      <w:r>
        <w:t>u</w:t>
      </w:r>
      <w:r w:rsidR="00F159BE">
        <w:t>sed panel data from French financial institutions to study portfolio decisions</w:t>
      </w:r>
      <w:r>
        <w:t xml:space="preserve">. He </w:t>
      </w:r>
      <w:r w:rsidR="00F159BE">
        <w:t>discovers that more financially literate households outperform less financially literate peers after account</w:t>
      </w:r>
      <w:r>
        <w:t>ing</w:t>
      </w:r>
      <w:r w:rsidR="00F159BE">
        <w:t xml:space="preserve"> for portfolio risk. </w:t>
      </w:r>
      <w:r>
        <w:t xml:space="preserve">He </w:t>
      </w:r>
      <w:r w:rsidR="00F159BE">
        <w:t xml:space="preserve">discovers that the most literate individuals on average earn 0.2% higher annual returns after accounting for risk compared to </w:t>
      </w:r>
      <w:r>
        <w:t xml:space="preserve">the </w:t>
      </w:r>
      <w:r w:rsidR="00F159BE">
        <w:t xml:space="preserve">least literate. </w:t>
      </w:r>
      <w:r w:rsidR="00A6532A">
        <w:t xml:space="preserve">Financially literate households tend to invest </w:t>
      </w:r>
      <w:r>
        <w:t xml:space="preserve">a larger </w:t>
      </w:r>
      <w:r w:rsidR="00A6532A">
        <w:t>share of their portfolio in risky assets when market returns expectations are higher</w:t>
      </w:r>
      <w:r w:rsidR="00EF12BF">
        <w:t xml:space="preserve"> as well as rebalance portfolios more actively</w:t>
      </w:r>
      <w:r w:rsidR="00A6532A">
        <w:t>.</w:t>
      </w:r>
      <w:r w:rsidR="00EF12BF">
        <w:t xml:space="preserve"> Bianchi (2017) do not to claim causal effects due to assumed endogeniety of </w:t>
      </w:r>
      <w:r>
        <w:t xml:space="preserve">the </w:t>
      </w:r>
      <w:r w:rsidR="00EF12BF">
        <w:t>financial literacy index.</w:t>
      </w:r>
    </w:p>
    <w:p w:rsidR="008E3747" w:rsidRDefault="00EB5093" w:rsidP="00226A8E">
      <w:pPr>
        <w:spacing w:after="120" w:line="480" w:lineRule="auto"/>
        <w:ind w:firstLine="720"/>
        <w:mirrorIndents/>
      </w:pPr>
      <w:r>
        <w:t>S</w:t>
      </w:r>
      <w:r w:rsidR="00704B08">
        <w:t>everal studies</w:t>
      </w:r>
      <w:r>
        <w:t>, however,</w:t>
      </w:r>
      <w:r w:rsidR="002D4446">
        <w:t>d</w:t>
      </w:r>
      <w:r w:rsidR="00704B08">
        <w:t xml:space="preserve">o find </w:t>
      </w:r>
      <w:r w:rsidR="002B4D0A">
        <w:t>convincing</w:t>
      </w:r>
      <w:r w:rsidR="00704B08">
        <w:t xml:space="preserve"> exogenous instruments to make causal inferences about the impact of financial literacy on</w:t>
      </w:r>
      <w:r>
        <w:t xml:space="preserve"> the</w:t>
      </w:r>
      <w:r w:rsidR="00704B08">
        <w:t xml:space="preserve"> decision to hold stocks. </w:t>
      </w:r>
      <w:r>
        <w:t>Christiansen et</w:t>
      </w:r>
      <w:r w:rsidR="00A73FA9">
        <w:t xml:space="preserve"> al. (2008) </w:t>
      </w:r>
      <w:r>
        <w:t xml:space="preserve">use a </w:t>
      </w:r>
      <w:r w:rsidR="00A73FA9">
        <w:t xml:space="preserve">panel data set for Danish </w:t>
      </w:r>
      <w:r>
        <w:t xml:space="preserve">data, </w:t>
      </w:r>
      <w:r w:rsidR="00A73FA9">
        <w:t xml:space="preserve">and </w:t>
      </w:r>
      <w:r w:rsidR="00316C84">
        <w:t xml:space="preserve">with </w:t>
      </w:r>
      <w:r w:rsidR="00A73FA9">
        <w:t xml:space="preserve">information on opening of a new university as an instrument </w:t>
      </w:r>
      <w:r w:rsidR="00316C84">
        <w:t xml:space="preserve">they </w:t>
      </w:r>
      <w:r w:rsidR="00A73FA9">
        <w:t xml:space="preserve">find that economics education positively impacts participation in stock markets. </w:t>
      </w:r>
      <w:r>
        <w:t xml:space="preserve">They </w:t>
      </w:r>
      <w:r w:rsidR="001515E0">
        <w:t xml:space="preserve">propose that economics education provides informational advantages about understanding investment opportunities and reduce the cost of stock market participation. </w:t>
      </w:r>
      <w:r w:rsidR="00A73FA9">
        <w:t>The study of financial decision</w:t>
      </w:r>
      <w:r>
        <w:t>s</w:t>
      </w:r>
      <w:r w:rsidR="001515E0">
        <w:t xml:space="preserve"> of</w:t>
      </w:r>
      <w:r w:rsidR="00A73FA9">
        <w:t xml:space="preserve"> Ru</w:t>
      </w:r>
      <w:r>
        <w:t>ssian individuals by Klapper et</w:t>
      </w:r>
      <w:r w:rsidR="00A73FA9">
        <w:t xml:space="preserve"> al. (2012)</w:t>
      </w:r>
      <w:r w:rsidR="00755A6A">
        <w:t xml:space="preserve">instrumented financial knowledge using </w:t>
      </w:r>
      <w:r>
        <w:t xml:space="preserve">the </w:t>
      </w:r>
      <w:r w:rsidR="00755A6A">
        <w:t>number of public</w:t>
      </w:r>
      <w:r w:rsidR="002B4D0A">
        <w:t xml:space="preserve"> and private universities</w:t>
      </w:r>
      <w:r w:rsidR="00755A6A">
        <w:t xml:space="preserve"> and </w:t>
      </w:r>
      <w:r>
        <w:t xml:space="preserve">the </w:t>
      </w:r>
      <w:r w:rsidR="00755A6A">
        <w:t>number of newspapers in circulation in the area</w:t>
      </w:r>
      <w:r>
        <w:t xml:space="preserve">. They </w:t>
      </w:r>
      <w:r w:rsidR="00A73FA9">
        <w:t xml:space="preserve">also find </w:t>
      </w:r>
      <w:r w:rsidR="00755A6A">
        <w:t xml:space="preserve">that financial </w:t>
      </w:r>
      <w:r w:rsidR="00755A6A">
        <w:lastRenderedPageBreak/>
        <w:t xml:space="preserve">literacy positively affects stockholding decisions. </w:t>
      </w:r>
      <w:r w:rsidR="00B449BD">
        <w:t>In summary, t</w:t>
      </w:r>
      <w:r w:rsidR="008E3747">
        <w:t xml:space="preserve">his paper addresses the following </w:t>
      </w:r>
      <w:r>
        <w:t xml:space="preserve">two </w:t>
      </w:r>
      <w:r w:rsidR="008E3747">
        <w:t>research questions</w:t>
      </w:r>
      <w:r>
        <w:t>:</w:t>
      </w:r>
    </w:p>
    <w:p w:rsidR="00EB5093" w:rsidRPr="00EB5093" w:rsidRDefault="00EB5093" w:rsidP="00226A8E">
      <w:pPr>
        <w:spacing w:after="120" w:line="480" w:lineRule="auto"/>
        <w:mirrorIndents/>
      </w:pPr>
      <w:r w:rsidRPr="00EB5093">
        <w:t xml:space="preserve">(1) </w:t>
      </w:r>
      <w:r w:rsidR="006D3B6F" w:rsidRPr="00EB5093">
        <w:t>Do</w:t>
      </w:r>
      <w:r w:rsidR="008E3747" w:rsidRPr="00EB5093">
        <w:t xml:space="preserve"> more financially literate individuals </w:t>
      </w:r>
      <w:r w:rsidR="00316C84">
        <w:t xml:space="preserve">have a higher propensity </w:t>
      </w:r>
      <w:r w:rsidR="008E3747" w:rsidRPr="00EB5093">
        <w:t xml:space="preserve">to hold </w:t>
      </w:r>
      <w:r w:rsidR="002D4446">
        <w:t xml:space="preserve">financial assets as </w:t>
      </w:r>
      <w:r w:rsidR="008E3747" w:rsidRPr="00EB5093">
        <w:t>compared to less financially literate counterparts</w:t>
      </w:r>
      <w:r w:rsidRPr="00EB5093">
        <w:t>?</w:t>
      </w:r>
    </w:p>
    <w:p w:rsidR="007F08DA" w:rsidRDefault="00EB5093" w:rsidP="00226A8E">
      <w:pPr>
        <w:spacing w:after="120" w:line="480" w:lineRule="auto"/>
        <w:mirrorIndents/>
      </w:pPr>
      <w:r w:rsidRPr="00EB5093">
        <w:t>(2) W</w:t>
      </w:r>
      <w:r w:rsidR="008E3747" w:rsidRPr="00EB5093">
        <w:t xml:space="preserve">hat </w:t>
      </w:r>
      <w:r w:rsidR="002B4D0A" w:rsidRPr="00EB5093">
        <w:t>a</w:t>
      </w:r>
      <w:r w:rsidR="008E3747" w:rsidRPr="00EB5093">
        <w:t>re other important determinants of financial market participation?</w:t>
      </w:r>
    </w:p>
    <w:p w:rsidR="004272B6" w:rsidRPr="007F08DA" w:rsidRDefault="00EB5093" w:rsidP="00226A8E">
      <w:pPr>
        <w:spacing w:after="120" w:line="480" w:lineRule="auto"/>
        <w:mirrorIndents/>
      </w:pPr>
      <w:r>
        <w:rPr>
          <w:b/>
        </w:rPr>
        <w:t xml:space="preserve">3. </w:t>
      </w:r>
      <w:r w:rsidR="004272B6" w:rsidRPr="00EB5093">
        <w:rPr>
          <w:b/>
        </w:rPr>
        <w:t>Methods</w:t>
      </w:r>
    </w:p>
    <w:p w:rsidR="00B042C9" w:rsidRDefault="00EF2B12" w:rsidP="00226A8E">
      <w:pPr>
        <w:spacing w:after="120" w:line="480" w:lineRule="auto"/>
        <w:mirrorIndents/>
        <w:rPr>
          <w:b/>
        </w:rPr>
      </w:pPr>
      <w:r>
        <w:rPr>
          <w:b/>
        </w:rPr>
        <w:t xml:space="preserve">3.1 </w:t>
      </w:r>
      <w:r w:rsidR="00743EF5" w:rsidRPr="00743EF5">
        <w:rPr>
          <w:b/>
        </w:rPr>
        <w:t xml:space="preserve">Data </w:t>
      </w:r>
    </w:p>
    <w:p w:rsidR="00B75132" w:rsidRDefault="00B042C9" w:rsidP="00226A8E">
      <w:pPr>
        <w:spacing w:after="120" w:line="480" w:lineRule="auto"/>
        <w:ind w:firstLine="720"/>
        <w:mirrorIndents/>
      </w:pPr>
      <w:r w:rsidRPr="00B042C9">
        <w:t>To address</w:t>
      </w:r>
      <w:r w:rsidR="00550531">
        <w:t xml:space="preserve"> my</w:t>
      </w:r>
      <w:r w:rsidRPr="00B042C9">
        <w:t xml:space="preserve"> research</w:t>
      </w:r>
      <w:r>
        <w:t xml:space="preserve"> questions </w:t>
      </w:r>
      <w:r w:rsidR="00550531">
        <w:t xml:space="preserve">I </w:t>
      </w:r>
      <w:r w:rsidR="007F08DA">
        <w:t>use</w:t>
      </w:r>
      <w:r>
        <w:t xml:space="preserve"> respondent-level survey data from </w:t>
      </w:r>
      <w:r w:rsidR="002D4446">
        <w:t xml:space="preserve">the </w:t>
      </w:r>
      <w:r>
        <w:t xml:space="preserve">State-by-State </w:t>
      </w:r>
      <w:r w:rsidR="002B4D0A">
        <w:t xml:space="preserve">survey </w:t>
      </w:r>
      <w:r w:rsidR="000D271A">
        <w:t xml:space="preserve">from </w:t>
      </w:r>
      <w:r w:rsidR="00FE4C51">
        <w:t xml:space="preserve">the </w:t>
      </w:r>
      <w:r w:rsidR="000D271A">
        <w:t>2015</w:t>
      </w:r>
      <w:r>
        <w:t xml:space="preserve"> National Financial Capability Study (NFCS), </w:t>
      </w:r>
      <w:r w:rsidR="000D271A">
        <w:t xml:space="preserve">which was conducted by the </w:t>
      </w:r>
      <w:r w:rsidR="000D271A" w:rsidRPr="000D271A">
        <w:t>Financial Industry Regulatory Authority (FINRA) Investor Education Foundation</w:t>
      </w:r>
      <w:r w:rsidR="000D271A">
        <w:t xml:space="preserve">. </w:t>
      </w:r>
      <w:r w:rsidR="000A6E53">
        <w:t xml:space="preserve">The </w:t>
      </w:r>
      <w:r w:rsidR="000D271A">
        <w:t xml:space="preserve">2015 State-by-State Survey </w:t>
      </w:r>
      <w:r w:rsidR="00B75132">
        <w:t xml:space="preserve">is drawn from </w:t>
      </w:r>
      <w:r w:rsidR="00316C84">
        <w:t xml:space="preserve">a </w:t>
      </w:r>
      <w:r w:rsidR="00B75132">
        <w:t xml:space="preserve">non-probability quota panel determined from select online panels that consist of recruited individuals </w:t>
      </w:r>
      <w:r w:rsidR="00C40896">
        <w:t>who participate in online surveys.</w:t>
      </w:r>
    </w:p>
    <w:p w:rsidR="003804AA" w:rsidRPr="003804AA" w:rsidRDefault="00C40896" w:rsidP="00226A8E">
      <w:pPr>
        <w:spacing w:after="120" w:line="480" w:lineRule="auto"/>
        <w:ind w:firstLine="720"/>
        <w:mirrorIndents/>
      </w:pPr>
      <w:r>
        <w:t>The survey</w:t>
      </w:r>
      <w:r w:rsidR="00B75132">
        <w:t xml:space="preserve"> includes about 500 respondents from each state, and District of Columbia, and 1,000 respondents from larger states: CA, IL, NY, and TX.</w:t>
      </w:r>
      <w:r>
        <w:t xml:space="preserve">The initial sample in 2015 State-by-State survey consists of 27,564 nationally representative adults in the U.S. </w:t>
      </w:r>
      <w:r w:rsidR="00534083">
        <w:t xml:space="preserve">For the purpose of this study, </w:t>
      </w:r>
      <w:r w:rsidR="001A79AB">
        <w:t xml:space="preserve">observations for most control variables </w:t>
      </w:r>
      <w:r w:rsidR="00534083">
        <w:t>containing “don’t know” and “prefer not say” responses are excluded</w:t>
      </w:r>
      <w:r w:rsidR="001A79AB">
        <w:t xml:space="preserve">from </w:t>
      </w:r>
      <w:r w:rsidR="00550531">
        <w:t xml:space="preserve">the </w:t>
      </w:r>
      <w:r w:rsidR="00B879D9">
        <w:t>data</w:t>
      </w:r>
      <w:r w:rsidR="00550531">
        <w:t xml:space="preserve"> set</w:t>
      </w:r>
      <w:r w:rsidR="000A6E53">
        <w:t>.A</w:t>
      </w:r>
      <w:r w:rsidR="00B879D9">
        <w:t xml:space="preserve">s a result, </w:t>
      </w:r>
      <w:r w:rsidR="000A6E53">
        <w:t xml:space="preserve">a </w:t>
      </w:r>
      <w:r w:rsidR="00534083">
        <w:t>final sample</w:t>
      </w:r>
      <w:r w:rsidR="00B879D9">
        <w:t xml:space="preserve"> consists of</w:t>
      </w:r>
      <w:r w:rsidR="00EF2B12">
        <w:t>22</w:t>
      </w:r>
      <w:r w:rsidR="00534083">
        <w:t>,</w:t>
      </w:r>
      <w:r w:rsidR="00EF2B12">
        <w:t>447</w:t>
      </w:r>
      <w:r w:rsidR="000A6E53">
        <w:t xml:space="preserve"> observations</w:t>
      </w:r>
      <w:r w:rsidR="0090089E">
        <w:t>.</w:t>
      </w:r>
    </w:p>
    <w:p w:rsidR="001D61F9" w:rsidRDefault="003804AA" w:rsidP="003804AA">
      <w:pPr>
        <w:spacing w:after="120" w:line="480" w:lineRule="auto"/>
        <w:mirrorIndents/>
      </w:pPr>
      <w:r>
        <w:tab/>
        <w:t xml:space="preserve">For </w:t>
      </w:r>
      <w:r w:rsidR="00FE4C51">
        <w:t xml:space="preserve">the </w:t>
      </w:r>
      <w:r>
        <w:t>high school personal finance mandate instrument I use a data</w:t>
      </w:r>
      <w:r w:rsidR="00FE4C51">
        <w:t>base</w:t>
      </w:r>
      <w:r>
        <w:t xml:space="preserve"> compiled by researchers from Montana State University </w:t>
      </w:r>
      <w:r w:rsidR="00FE4C51">
        <w:t xml:space="preserve">and the </w:t>
      </w:r>
      <w:r>
        <w:t xml:space="preserve">Federal Reserve Board with support from FINRA Investor Education Foundation. </w:t>
      </w:r>
      <w:r w:rsidR="00042E8A">
        <w:t xml:space="preserve">It contains information on </w:t>
      </w:r>
      <w:r>
        <w:t>statemandate</w:t>
      </w:r>
      <w:r w:rsidR="00FE4C51">
        <w:t xml:space="preserve">sof </w:t>
      </w:r>
      <w:r>
        <w:t xml:space="preserve">personal finance and economics education between 1970 and 2014 for all 50 states and </w:t>
      </w:r>
      <w:r w:rsidR="00FE4C51">
        <w:t xml:space="preserve">the </w:t>
      </w:r>
      <w:r>
        <w:t>District of Columbia.</w:t>
      </w:r>
      <w:r w:rsidR="00042E8A">
        <w:t xml:space="preserve"> The </w:t>
      </w:r>
      <w:r w:rsidR="00042E8A">
        <w:lastRenderedPageBreak/>
        <w:t>database provides information on whether economics or personal finance is delivered as a separate course or incorporated in</w:t>
      </w:r>
      <w:r w:rsidR="001D61F9">
        <w:t>to</w:t>
      </w:r>
      <w:r w:rsidR="00042E8A">
        <w:t xml:space="preserve"> another related course, whether completion of the course is required for graduation, and the number of required course credits. </w:t>
      </w:r>
      <w:r w:rsidR="001D61F9">
        <w:t xml:space="preserve">I use the date when </w:t>
      </w:r>
      <w:r w:rsidR="00FE4C51">
        <w:t xml:space="preserve">the </w:t>
      </w:r>
      <w:r w:rsidR="001D61F9">
        <w:t xml:space="preserve">personal finance class is required or recommended to be offered either as a standalone course or incorporated into </w:t>
      </w:r>
      <w:r w:rsidR="00FE4C51">
        <w:t xml:space="preserve">an </w:t>
      </w:r>
      <w:r w:rsidR="001D61F9">
        <w:t xml:space="preserve">existing course. Figure 1 provides information on the year when economics and personal finance class mandates where implemented by all states from 1970 to 2014. </w:t>
      </w:r>
    </w:p>
    <w:p w:rsidR="00B042C9" w:rsidRDefault="00187955" w:rsidP="003804AA">
      <w:pPr>
        <w:spacing w:after="120" w:line="480" w:lineRule="auto"/>
        <w:mirrorIndents/>
      </w:pPr>
      <w:r>
        <w:rPr>
          <w:noProof/>
        </w:rPr>
        <mc:AlternateContent>
          <mc:Choice Requires="wps">
            <w:drawing>
              <wp:anchor distT="45720" distB="45720" distL="114300" distR="114300" simplePos="0" relativeHeight="251675648" behindDoc="0" locked="0" layoutInCell="1" allowOverlap="1">
                <wp:simplePos x="0" y="0"/>
                <wp:positionH relativeFrom="column">
                  <wp:posOffset>1808480</wp:posOffset>
                </wp:positionH>
                <wp:positionV relativeFrom="paragraph">
                  <wp:posOffset>17780</wp:posOffset>
                </wp:positionV>
                <wp:extent cx="2540000" cy="36639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66395"/>
                        </a:xfrm>
                        <a:prstGeom prst="rect">
                          <a:avLst/>
                        </a:prstGeom>
                        <a:solidFill>
                          <a:srgbClr val="FFFFFF"/>
                        </a:solidFill>
                        <a:ln w="9525">
                          <a:solidFill>
                            <a:srgbClr val="000000"/>
                          </a:solidFill>
                          <a:miter lim="800000"/>
                          <a:headEnd/>
                          <a:tailEnd/>
                        </a:ln>
                      </wps:spPr>
                      <wps:txbx>
                        <w:txbxContent>
                          <w:p w:rsidR="00E61942" w:rsidRDefault="00E61942" w:rsidP="001D61F9">
                            <w:pPr>
                              <w:spacing w:after="120"/>
                              <w:jc w:val="center"/>
                            </w:pPr>
                            <w:r>
                              <w:t>Paste Figure 1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2.4pt;margin-top:1.4pt;width:200pt;height:28.8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">
                <v:textbox style="mso-fit-shape-to-text:t">
                  <w:txbxContent>
                    <w:p w:rsidR="00E61942" w:rsidRDefault="00E61942" w:rsidP="001D61F9">
                      <w:pPr>
                        <w:spacing w:after="120"/>
                        <w:jc w:val="center"/>
                      </w:pPr>
                      <w:r>
                        <w:t>Paste Figure 1 here</w:t>
                      </w:r>
                    </w:p>
                  </w:txbxContent>
                </v:textbox>
              </v:shape>
            </w:pict>
          </mc:Fallback>
        </mc:AlternateContent>
      </w:r>
    </w:p>
    <w:p w:rsidR="00EF12BF" w:rsidRPr="00B042C9" w:rsidRDefault="00EF12BF" w:rsidP="003804AA">
      <w:pPr>
        <w:spacing w:after="120" w:line="480" w:lineRule="auto"/>
        <w:mirrorIndents/>
      </w:pPr>
    </w:p>
    <w:p w:rsidR="002D2C6B" w:rsidRPr="002D2C6B" w:rsidRDefault="00EF2B12" w:rsidP="00226A8E">
      <w:pPr>
        <w:spacing w:after="120" w:line="480" w:lineRule="auto"/>
        <w:mirrorIndents/>
        <w:rPr>
          <w:b/>
        </w:rPr>
      </w:pPr>
      <w:r>
        <w:rPr>
          <w:b/>
        </w:rPr>
        <w:t xml:space="preserve">3.2 </w:t>
      </w:r>
      <w:r w:rsidR="002D2C6B" w:rsidRPr="002D2C6B">
        <w:rPr>
          <w:b/>
        </w:rPr>
        <w:t>Model</w:t>
      </w:r>
      <w:r w:rsidR="00984723">
        <w:rPr>
          <w:b/>
        </w:rPr>
        <w:t>and Variables Description</w:t>
      </w:r>
    </w:p>
    <w:p w:rsidR="00D2007C" w:rsidRDefault="00D2007C" w:rsidP="00226A8E">
      <w:pPr>
        <w:spacing w:after="120" w:line="480" w:lineRule="auto"/>
        <w:mirrorIndents/>
      </w:pPr>
      <w:r>
        <w:t xml:space="preserve">Our model will have the following </w:t>
      </w:r>
      <w:r w:rsidR="007A35E3">
        <w:t>linear form</w:t>
      </w:r>
      <w:r>
        <w:t>:</w:t>
      </w:r>
    </w:p>
    <w:p w:rsidR="00D2007C" w:rsidRDefault="002D2C6B" w:rsidP="00226A8E">
      <w:pPr>
        <w:spacing w:after="120" w:line="480" w:lineRule="auto"/>
        <w:mirrorIndents/>
        <w:rPr>
          <w:i/>
          <w:vertAlign w:val="subscript"/>
        </w:rPr>
      </w:pPr>
      <w:r>
        <w:rPr>
          <w:i/>
        </w:rPr>
        <w:t xml:space="preserve">Financial Market </w:t>
      </w:r>
      <w:r w:rsidR="007A0238">
        <w:rPr>
          <w:i/>
        </w:rPr>
        <w:t>P</w:t>
      </w:r>
      <w:r w:rsidR="00D2007C">
        <w:rPr>
          <w:i/>
        </w:rPr>
        <w:t>articipation</w:t>
      </w:r>
      <w:r w:rsidR="00D2007C" w:rsidRPr="00D2007C">
        <w:rPr>
          <w:i/>
          <w:vertAlign w:val="subscript"/>
        </w:rPr>
        <w:t>i</w:t>
      </w:r>
      <w:r w:rsidR="00D2007C">
        <w:rPr>
          <w:i/>
        </w:rPr>
        <w:t xml:space="preserve"> = </w:t>
      </w:r>
      <m:oMath>
        <m:r>
          <w:rPr>
            <w:rFonts w:ascii="Cambria Math" w:hAnsi="Cambria Math"/>
          </w:rPr>
          <m:t>α</m:t>
        </m:r>
      </m:oMath>
      <w:r w:rsidR="007A0238">
        <w:rPr>
          <w:i/>
        </w:rPr>
        <w:t xml:space="preserve">+ </w:t>
      </w:r>
      <w:r w:rsidR="00D2007C" w:rsidRPr="00D2007C">
        <w:rPr>
          <w:i/>
        </w:rPr>
        <w:t>β</w:t>
      </w:r>
      <w:r w:rsidR="007A0238">
        <w:t>Financial</w:t>
      </w:r>
      <w:r>
        <w:t xml:space="preserve"> Literacy</w:t>
      </w:r>
      <w:r w:rsidR="00D2007C" w:rsidRPr="00D2007C">
        <w:rPr>
          <w:i/>
        </w:rPr>
        <w:t xml:space="preserve">+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X</m:t>
                </m:r>
              </m:e>
              <m:sub>
                <m:r>
                  <w:rPr>
                    <w:rFonts w:ascii="Cambria Math" w:hAnsi="Cambria Math"/>
                  </w:rPr>
                  <m:t>i</m:t>
                </m:r>
              </m:sub>
            </m:sSub>
          </m:e>
        </m:nary>
      </m:oMath>
      <w:r w:rsidR="007A0238">
        <w:rPr>
          <w:i/>
        </w:rPr>
        <w:t xml:space="preserve"> + </w:t>
      </w:r>
      <w:r w:rsidR="007A0238" w:rsidRPr="00D2007C">
        <w:rPr>
          <w:i/>
        </w:rPr>
        <w:t>ε</w:t>
      </w:r>
      <w:r w:rsidR="007A0238" w:rsidRPr="007A0238">
        <w:rPr>
          <w:i/>
          <w:vertAlign w:val="subscript"/>
        </w:rPr>
        <w:t>i</w:t>
      </w:r>
    </w:p>
    <w:p w:rsidR="00B449BD" w:rsidRDefault="00B449BD" w:rsidP="00226A8E">
      <w:pPr>
        <w:spacing w:after="120" w:line="480" w:lineRule="auto"/>
        <w:mirrorIndents/>
      </w:pPr>
      <w:r>
        <w:t>The dependent variable is:</w:t>
      </w:r>
    </w:p>
    <w:p w:rsidR="002D2C6B" w:rsidRDefault="00B449BD" w:rsidP="00226A8E">
      <w:pPr>
        <w:spacing w:after="120" w:line="480" w:lineRule="auto"/>
        <w:mirrorIndents/>
      </w:pPr>
      <w:r>
        <w:rPr>
          <w:b/>
        </w:rPr>
        <w:t>F</w:t>
      </w:r>
      <w:r w:rsidR="002D2C6B" w:rsidRPr="002D2C6B">
        <w:rPr>
          <w:b/>
        </w:rPr>
        <w:t>inancial market participation</w:t>
      </w:r>
      <w:r w:rsidR="006523DD">
        <w:rPr>
          <w:b/>
        </w:rPr>
        <w:t xml:space="preserve">: </w:t>
      </w:r>
      <w:r w:rsidR="002D2C6B">
        <w:t xml:space="preserve">a dummy variable </w:t>
      </w:r>
      <w:r w:rsidR="000A6E53">
        <w:t xml:space="preserve">is built from the following question: </w:t>
      </w:r>
      <w:r w:rsidR="000A6E53" w:rsidRPr="000A6E53">
        <w:rPr>
          <w:i/>
        </w:rPr>
        <w:t>Not including retirement accounts, do you [does your household] have anyinvestments in stocks, bonds, mutual funds, or other securities?</w:t>
      </w:r>
      <w:r w:rsidR="000A6E53">
        <w:t xml:space="preserve">The variable </w:t>
      </w:r>
      <w:r w:rsidR="002D2C6B">
        <w:t>takes value of 1 if a person holds non-retirement investments in stocks, bonds, mutual funds or other securities, and 0 otherwise.</w:t>
      </w:r>
    </w:p>
    <w:p w:rsidR="00B449BD" w:rsidRDefault="00B449BD" w:rsidP="00226A8E">
      <w:pPr>
        <w:spacing w:after="120" w:line="480" w:lineRule="auto"/>
        <w:mirrorIndents/>
      </w:pPr>
      <w:r>
        <w:t>The independent variables are:</w:t>
      </w:r>
    </w:p>
    <w:p w:rsidR="00913223" w:rsidRDefault="00187955" w:rsidP="00226A8E">
      <w:pPr>
        <w:spacing w:after="240" w:line="480" w:lineRule="auto"/>
        <w:mirrorIndents/>
      </w:pPr>
      <w:r>
        <w:rPr>
          <w:noProof/>
        </w:rPr>
        <mc:AlternateContent>
          <mc:Choice Requires="wps">
            <w:drawing>
              <wp:anchor distT="45720" distB="45720" distL="114300" distR="114300" simplePos="0" relativeHeight="251662336" behindDoc="1" locked="0" layoutInCell="1" allowOverlap="1">
                <wp:simplePos x="0" y="0"/>
                <wp:positionH relativeFrom="column">
                  <wp:posOffset>1734185</wp:posOffset>
                </wp:positionH>
                <wp:positionV relativeFrom="paragraph">
                  <wp:posOffset>1506855</wp:posOffset>
                </wp:positionV>
                <wp:extent cx="2536190" cy="366395"/>
                <wp:effectExtent l="0" t="0" r="0" b="0"/>
                <wp:wrapTight wrapText="bothSides">
                  <wp:wrapPolygon edited="0">
                    <wp:start x="0" y="0"/>
                    <wp:lineTo x="0" y="21375"/>
                    <wp:lineTo x="21536" y="21375"/>
                    <wp:lineTo x="2153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66395"/>
                        </a:xfrm>
                        <a:prstGeom prst="rect">
                          <a:avLst/>
                        </a:prstGeom>
                        <a:solidFill>
                          <a:srgbClr val="FFFFFF"/>
                        </a:solidFill>
                        <a:ln w="9525">
                          <a:solidFill>
                            <a:srgbClr val="000000"/>
                          </a:solidFill>
                          <a:miter lim="800000"/>
                          <a:headEnd/>
                          <a:tailEnd/>
                        </a:ln>
                      </wps:spPr>
                      <wps:txbx>
                        <w:txbxContent>
                          <w:p w:rsidR="00E61942" w:rsidRDefault="00E61942" w:rsidP="008C7EBF">
                            <w:pPr>
                              <w:spacing w:after="120"/>
                              <w:jc w:val="center"/>
                            </w:pPr>
                            <w:r>
                              <w:t>Paste Figure 2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36.55pt;margin-top:118.65pt;width:199.7pt;height:28.85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">
                <v:textbox style="mso-fit-shape-to-text:t">
                  <w:txbxContent>
                    <w:p w:rsidR="00E61942" w:rsidRDefault="00E61942" w:rsidP="008C7EBF">
                      <w:pPr>
                        <w:spacing w:after="120"/>
                        <w:jc w:val="center"/>
                      </w:pPr>
                      <w:r>
                        <w:t>Paste Figure 2 here</w:t>
                      </w:r>
                    </w:p>
                  </w:txbxContent>
                </v:textbox>
                <w10:wrap type="tight"/>
              </v:shape>
            </w:pict>
          </mc:Fallback>
        </mc:AlternateContent>
      </w:r>
      <w:r w:rsidR="00B449BD">
        <w:rPr>
          <w:b/>
        </w:rPr>
        <w:t>F</w:t>
      </w:r>
      <w:r w:rsidR="002D2C6B" w:rsidRPr="002D2C6B">
        <w:rPr>
          <w:b/>
        </w:rPr>
        <w:t>inancial literacy</w:t>
      </w:r>
      <w:r w:rsidR="006523DD">
        <w:rPr>
          <w:b/>
        </w:rPr>
        <w:t xml:space="preserve">: </w:t>
      </w:r>
      <w:r w:rsidR="002D2C6B">
        <w:t xml:space="preserve">an index comprised of the correct answers to six basic and advanced financial literacy questions, if a person answers correctly to all six questions </w:t>
      </w:r>
      <w:r w:rsidR="00913223">
        <w:t>he/she scores</w:t>
      </w:r>
      <w:r w:rsidR="002D2C6B">
        <w:t xml:space="preserve"> 6, and 0 if no questions are answered correct. Survey design allow</w:t>
      </w:r>
      <w:r w:rsidR="00913223">
        <w:t>s for</w:t>
      </w:r>
      <w:r w:rsidR="00FA74E6">
        <w:t>‘</w:t>
      </w:r>
      <w:r w:rsidR="00913223">
        <w:t xml:space="preserve">Don’t </w:t>
      </w:r>
      <w:r w:rsidR="002D2C6B">
        <w:t>know</w:t>
      </w:r>
      <w:r w:rsidR="00FA74E6">
        <w:t>’</w:t>
      </w:r>
      <w:r w:rsidR="002D2C6B">
        <w:t xml:space="preserve"> and </w:t>
      </w:r>
      <w:r w:rsidR="00FA74E6">
        <w:t>‘</w:t>
      </w:r>
      <w:r w:rsidR="002D2C6B">
        <w:t>Prefer not to say</w:t>
      </w:r>
      <w:r w:rsidR="00FA74E6">
        <w:t>’</w:t>
      </w:r>
      <w:r w:rsidR="002D2C6B">
        <w:t xml:space="preserve"> response</w:t>
      </w:r>
      <w:r w:rsidR="00FA74E6">
        <w:t>s</w:t>
      </w:r>
      <w:r w:rsidR="00203BC9">
        <w:t>.S</w:t>
      </w:r>
      <w:r w:rsidR="00913223">
        <w:t xml:space="preserve">uch responses </w:t>
      </w:r>
      <w:r w:rsidR="00203BC9">
        <w:t xml:space="preserve">are </w:t>
      </w:r>
      <w:r w:rsidR="00913223">
        <w:t xml:space="preserve">treated as incorrect answers. Figure </w:t>
      </w:r>
      <w:r w:rsidR="001D61F9">
        <w:t>2</w:t>
      </w:r>
      <w:r w:rsidR="00913223">
        <w:t xml:space="preserve"> summarizes financial literacy questions. </w:t>
      </w:r>
    </w:p>
    <w:p w:rsidR="004B4742" w:rsidRDefault="004B4742" w:rsidP="00226A8E">
      <w:pPr>
        <w:spacing w:after="240" w:line="480" w:lineRule="auto"/>
        <w:mirrorIndents/>
      </w:pPr>
    </w:p>
    <w:p w:rsidR="00203BC9" w:rsidRPr="00203BC9" w:rsidRDefault="006523DD" w:rsidP="00226A8E">
      <w:pPr>
        <w:spacing w:after="120" w:line="480" w:lineRule="auto"/>
        <w:mirrorIndents/>
      </w:pPr>
      <w:r>
        <w:t xml:space="preserve">The other </w:t>
      </w:r>
      <w:r w:rsidR="00203BC9">
        <w:t xml:space="preserve">spending/saving related and economic and demographic covariates </w:t>
      </w:r>
      <w:r>
        <w:t>(X</w:t>
      </w:r>
      <w:r>
        <w:rPr>
          <w:vertAlign w:val="subscript"/>
        </w:rPr>
        <w:t>i</w:t>
      </w:r>
      <w:r>
        <w:t>) are</w:t>
      </w:r>
      <w:r w:rsidR="00203BC9">
        <w:t>:</w:t>
      </w:r>
    </w:p>
    <w:p w:rsidR="003A355A" w:rsidRDefault="007A35E3" w:rsidP="00226A8E">
      <w:pPr>
        <w:spacing w:after="120" w:line="480" w:lineRule="auto"/>
        <w:mirrorIndents/>
        <w:rPr>
          <w:b/>
        </w:rPr>
      </w:pPr>
      <w:r>
        <w:rPr>
          <w:b/>
        </w:rPr>
        <w:t>R</w:t>
      </w:r>
      <w:r w:rsidR="003A355A" w:rsidRPr="003A355A">
        <w:rPr>
          <w:b/>
        </w:rPr>
        <w:t>isk preference</w:t>
      </w:r>
      <w:r>
        <w:rPr>
          <w:b/>
        </w:rPr>
        <w:t>s</w:t>
      </w:r>
      <w:r w:rsidR="006523DD">
        <w:rPr>
          <w:b/>
        </w:rPr>
        <w:t xml:space="preserve">: </w:t>
      </w:r>
      <w:r w:rsidR="00203BC9">
        <w:t>A m</w:t>
      </w:r>
      <w:r>
        <w:t>easure</w:t>
      </w:r>
      <w:r w:rsidR="00D479C0">
        <w:t xml:space="preserve"> of individual risk </w:t>
      </w:r>
      <w:r>
        <w:t xml:space="preserve">preference is </w:t>
      </w:r>
      <w:r w:rsidR="00D479C0">
        <w:t xml:space="preserve">constructed </w:t>
      </w:r>
      <w:r>
        <w:t xml:space="preserve">based on </w:t>
      </w:r>
      <w:r w:rsidR="00F72F82">
        <w:t>response to self</w:t>
      </w:r>
      <w:r w:rsidR="006523DD">
        <w:t>-</w:t>
      </w:r>
      <w:r w:rsidR="00F72F82">
        <w:t>report</w:t>
      </w:r>
      <w:r w:rsidR="00203BC9">
        <w:t>ed</w:t>
      </w:r>
      <w:r w:rsidR="00F72F82">
        <w:t xml:space="preserve">assessment of </w:t>
      </w:r>
      <w:r w:rsidR="00D479C0">
        <w:t>willingness to take the risk</w:t>
      </w:r>
      <w:r w:rsidR="00F72F82">
        <w:t xml:space="preserve"> when making financial investment</w:t>
      </w:r>
      <w:r w:rsidR="00203BC9">
        <w:t>s</w:t>
      </w:r>
      <w:r w:rsidR="00F72F82">
        <w:t>. Exact wording of the question is</w:t>
      </w:r>
      <w:r w:rsidR="00D479C0">
        <w:t xml:space="preserve">: </w:t>
      </w:r>
      <w:r w:rsidR="00D479C0" w:rsidRPr="00D479C0">
        <w:rPr>
          <w:i/>
        </w:rPr>
        <w:t>When thinking of your financial investments, how willing are you to take risks?</w:t>
      </w:r>
      <w:r>
        <w:t>Choices of answers vary</w:t>
      </w:r>
      <w:r w:rsidR="00D479C0">
        <w:t xml:space="preserve"> from 1 </w:t>
      </w:r>
      <w:r>
        <w:t xml:space="preserve">if </w:t>
      </w:r>
      <w:r w:rsidR="00D479C0">
        <w:t>not at all willing to</w:t>
      </w:r>
      <w:r>
        <w:t xml:space="preserve"> 10 if </w:t>
      </w:r>
      <w:r w:rsidR="00D479C0">
        <w:t>very willing</w:t>
      </w:r>
      <w:r>
        <w:t xml:space="preserve"> to take risk</w:t>
      </w:r>
      <w:r w:rsidR="00D479C0">
        <w:t>. A dummy variable</w:t>
      </w:r>
      <w:r>
        <w:t>proxy</w:t>
      </w:r>
      <w:r w:rsidR="00D479C0">
        <w:t xml:space="preserve"> for risk</w:t>
      </w:r>
      <w:r>
        <w:t xml:space="preserve"> takerscreated from assigns </w:t>
      </w:r>
      <w:r w:rsidR="00D479C0">
        <w:t xml:space="preserve">1 </w:t>
      </w:r>
      <w:r>
        <w:t xml:space="preserve">to individuals who chose </w:t>
      </w:r>
      <w:r w:rsidR="00D479C0">
        <w:t xml:space="preserve">8,9 </w:t>
      </w:r>
      <w:r>
        <w:t>or10, and 0 otherwise</w:t>
      </w:r>
      <w:r w:rsidR="00955BB7">
        <w:t xml:space="preserve">. The </w:t>
      </w:r>
      <w:r>
        <w:t>proxy for m</w:t>
      </w:r>
      <w:r w:rsidR="00EA0F4B">
        <w:t xml:space="preserve">edium risk-taker is constructed by assigning 1 from those individuals who </w:t>
      </w:r>
      <w:r>
        <w:t>chose 5,6 or 7 answers</w:t>
      </w:r>
      <w:r w:rsidR="00EA0F4B">
        <w:t xml:space="preserve">, and 0 otherwise. Following this construct, </w:t>
      </w:r>
      <w:r w:rsidR="00F56266">
        <w:t xml:space="preserve">individuals with </w:t>
      </w:r>
      <w:r w:rsidR="00C83AE2">
        <w:t xml:space="preserve">the </w:t>
      </w:r>
      <w:r w:rsidR="00F56266">
        <w:t xml:space="preserve">highest </w:t>
      </w:r>
      <w:r w:rsidR="00C83AE2">
        <w:t xml:space="preserve">degree of </w:t>
      </w:r>
      <w:r w:rsidR="00F56266">
        <w:t xml:space="preserve">risk aversion are the </w:t>
      </w:r>
      <w:r w:rsidR="00EA0F4B">
        <w:t>refe</w:t>
      </w:r>
      <w:r w:rsidR="00F56266">
        <w:t xml:space="preserve">rence group. </w:t>
      </w:r>
    </w:p>
    <w:p w:rsidR="00C40896" w:rsidRDefault="00F56266" w:rsidP="00226A8E">
      <w:pPr>
        <w:spacing w:after="120" w:line="480" w:lineRule="auto"/>
        <w:mirrorIndents/>
      </w:pPr>
      <w:r>
        <w:rPr>
          <w:b/>
        </w:rPr>
        <w:t>Time prefere</w:t>
      </w:r>
      <w:r w:rsidR="00F37A1B">
        <w:rPr>
          <w:b/>
        </w:rPr>
        <w:t>nce/Investment horizon</w:t>
      </w:r>
      <w:r w:rsidR="006523DD">
        <w:rPr>
          <w:b/>
        </w:rPr>
        <w:t xml:space="preserve">: </w:t>
      </w:r>
      <w:r w:rsidR="006523DD">
        <w:t>Th</w:t>
      </w:r>
      <w:r w:rsidR="00287554">
        <w:t xml:space="preserve">is variable </w:t>
      </w:r>
      <w:r w:rsidR="006523DD">
        <w:t xml:space="preserve">used the </w:t>
      </w:r>
      <w:r w:rsidR="00287554">
        <w:t>survey question regard</w:t>
      </w:r>
      <w:r w:rsidR="00955BB7">
        <w:t>ing</w:t>
      </w:r>
      <w:r w:rsidR="00287554">
        <w:t xml:space="preserve"> the most important time period individuals consider when making saving and spending decis</w:t>
      </w:r>
      <w:r w:rsidR="00287554" w:rsidRPr="00287554">
        <w:t xml:space="preserve">ions. I believe that this is a good variable that proxies time preferences and most importantly investment horizon that plays a role when making financial decisions such as decision to hold risky assets. Investors with longer investment horizon have </w:t>
      </w:r>
      <w:r w:rsidR="00955BB7">
        <w:t xml:space="preserve">a </w:t>
      </w:r>
      <w:r w:rsidR="00287554" w:rsidRPr="00287554">
        <w:t xml:space="preserve">stronger ability to take the risk and hold assets that provide capital appreciation and therefore participate in financial markets. </w:t>
      </w:r>
      <w:r w:rsidR="00287554">
        <w:t xml:space="preserve">Nicolae and Philip (2014) have found </w:t>
      </w:r>
      <w:r w:rsidR="00203BC9">
        <w:t xml:space="preserve">a </w:t>
      </w:r>
      <w:r w:rsidR="00287554">
        <w:t>strong positive relationship between</w:t>
      </w:r>
      <w:r w:rsidR="00203BC9">
        <w:t xml:space="preserve"> the</w:t>
      </w:r>
      <w:r w:rsidR="00287554">
        <w:t xml:space="preserve"> decision to hold stocks and time preference. </w:t>
      </w:r>
    </w:p>
    <w:p w:rsidR="00287554" w:rsidRPr="00FE4C51" w:rsidRDefault="00C40896" w:rsidP="00226A8E">
      <w:pPr>
        <w:spacing w:after="120" w:line="480" w:lineRule="auto"/>
        <w:ind w:firstLine="720"/>
        <w:mirrorIndents/>
        <w:rPr>
          <w:i/>
        </w:rPr>
      </w:pPr>
      <w:r>
        <w:t xml:space="preserve">Respondents were asked the following question: </w:t>
      </w:r>
      <w:r w:rsidRPr="00FE4C51">
        <w:rPr>
          <w:i/>
        </w:rPr>
        <w:t xml:space="preserve">In planning or budgeting your [household’s] saving and spending, which of the following time periods is most important to you [and your household]?   </w:t>
      </w:r>
    </w:p>
    <w:p w:rsidR="007D03ED" w:rsidRPr="00363D6A" w:rsidRDefault="00F37A1B" w:rsidP="00226A8E">
      <w:pPr>
        <w:spacing w:after="120" w:line="480" w:lineRule="auto"/>
        <w:ind w:firstLine="720"/>
        <w:mirrorIndents/>
      </w:pPr>
      <w:r>
        <w:t xml:space="preserve">An indicator for </w:t>
      </w:r>
      <w:r w:rsidR="00287554">
        <w:t xml:space="preserve">individuals with </w:t>
      </w:r>
      <w:r w:rsidR="00287554" w:rsidRPr="00F37A1B">
        <w:rPr>
          <w:i/>
        </w:rPr>
        <w:t>medium</w:t>
      </w:r>
      <w:r>
        <w:rPr>
          <w:i/>
        </w:rPr>
        <w:t xml:space="preserve"> term</w:t>
      </w:r>
      <w:r w:rsidR="00287554" w:rsidRPr="00F37A1B">
        <w:rPr>
          <w:i/>
        </w:rPr>
        <w:t xml:space="preserve"> investment horizons</w:t>
      </w:r>
      <w:r>
        <w:t xml:space="preserve">include respondents who consider the next 5 to 10 years when making saving and spending decisions, individuals </w:t>
      </w:r>
      <w:r w:rsidR="00FE4C51">
        <w:lastRenderedPageBreak/>
        <w:t xml:space="preserve">with a </w:t>
      </w:r>
      <w:r w:rsidRPr="00F37A1B">
        <w:rPr>
          <w:i/>
        </w:rPr>
        <w:t>long term</w:t>
      </w:r>
      <w:r>
        <w:t xml:space="preserve"> investment horizon include those who consider the period longer than 10 years. The reference category captures investors with </w:t>
      </w:r>
      <w:r w:rsidRPr="00F37A1B">
        <w:rPr>
          <w:i/>
        </w:rPr>
        <w:t>short term investment horizon</w:t>
      </w:r>
      <w:r>
        <w:t xml:space="preserve"> who consider next year and the next few yea</w:t>
      </w:r>
      <w:r w:rsidR="00363D6A">
        <w:t>rs as being the most important.</w:t>
      </w:r>
      <w:r w:rsidR="007D03ED">
        <w:t xml:space="preserve">I expect that individuals with medium term investment horizon will be more likely to participate in financial markets than peers with shorter term horizon, while individuals with long term horizon are expected to participate greater than both medium- and short-term investors. </w:t>
      </w:r>
    </w:p>
    <w:p w:rsidR="00457CC0" w:rsidRDefault="007D03ED" w:rsidP="00226A8E">
      <w:pPr>
        <w:spacing w:after="120" w:line="480" w:lineRule="auto"/>
        <w:mirrorIndents/>
      </w:pPr>
      <w:r>
        <w:rPr>
          <w:b/>
        </w:rPr>
        <w:t>Income</w:t>
      </w:r>
      <w:r w:rsidR="006523DD">
        <w:rPr>
          <w:b/>
        </w:rPr>
        <w:t xml:space="preserve">: </w:t>
      </w:r>
      <w:r w:rsidR="006523DD">
        <w:t>Th</w:t>
      </w:r>
      <w:r>
        <w:t xml:space="preserve">ere is no measure of wealth in the data set; hence, income will be used as a proxy for wealth. Wealth is considered one of the most important determinants of participation in financial markets </w:t>
      </w:r>
      <w:r w:rsidR="00457CC0">
        <w:t xml:space="preserve">as </w:t>
      </w:r>
      <w:r>
        <w:t xml:space="preserve">fixed costs such as one-time entry or ongoing participation costs may </w:t>
      </w:r>
      <w:r w:rsidR="00457CC0">
        <w:t xml:space="preserve">pose constraints on participation in financial markets. Campbell (2006) states that payment of fixed costs more easily justifiable as mean of increasing returns for individuals with larger portfolios. Hence, I expect that financial market participation will have positive relationship with level of income. </w:t>
      </w:r>
    </w:p>
    <w:p w:rsidR="00287554" w:rsidRPr="007D03ED" w:rsidRDefault="00457CC0" w:rsidP="00226A8E">
      <w:pPr>
        <w:spacing w:after="120" w:line="480" w:lineRule="auto"/>
        <w:ind w:firstLine="720"/>
        <w:mirrorIndents/>
      </w:pPr>
      <w:r>
        <w:t xml:space="preserve">The annual income </w:t>
      </w:r>
      <w:r w:rsidR="00955BB7">
        <w:t xml:space="preserve">variable in the survey </w:t>
      </w:r>
      <w:r>
        <w:t xml:space="preserve">data set is divided into </w:t>
      </w:r>
      <w:r w:rsidR="00955BB7">
        <w:t>eight</w:t>
      </w:r>
      <w:r>
        <w:t xml:space="preserve"> groups. I will aggregate data on annual income into four groups: less than $25,000; at least $25,000 but less than </w:t>
      </w:r>
      <w:r w:rsidR="00984723">
        <w:t>$</w:t>
      </w:r>
      <w:r>
        <w:t>50,000;</w:t>
      </w:r>
      <w:r w:rsidR="00984723">
        <w:t xml:space="preserve"> at least 50,000 but less than 100,000; and $100,000 and more. </w:t>
      </w:r>
    </w:p>
    <w:p w:rsidR="00287554" w:rsidRDefault="006523DD" w:rsidP="00226A8E">
      <w:pPr>
        <w:spacing w:after="120" w:line="480" w:lineRule="auto"/>
        <w:mirrorIndents/>
      </w:pPr>
      <w:r>
        <w:rPr>
          <w:b/>
        </w:rPr>
        <w:t xml:space="preserve">Demographics: </w:t>
      </w:r>
      <w:r>
        <w:t>Age</w:t>
      </w:r>
      <w:r w:rsidR="004771FA">
        <w:t xml:space="preserve">, gender, race, </w:t>
      </w:r>
      <w:r w:rsidR="00984723">
        <w:t>education level, marital status and number of children are found to be important determinants of stock ownership in previous research (Halliassos</w:t>
      </w:r>
      <w:r w:rsidR="00363D6A">
        <w:t xml:space="preserve"> and Bertaut,1995; Guiso et al</w:t>
      </w:r>
      <w:r w:rsidR="00984723">
        <w:t xml:space="preserve">, 2002; Campbell, 2006). </w:t>
      </w:r>
      <w:r w:rsidR="00C83AE2">
        <w:t xml:space="preserve">I will also include indicator showing whether individual is self-employed following </w:t>
      </w:r>
      <w:r w:rsidR="00363D6A">
        <w:t xml:space="preserve">Heaton and Lucas (2000) </w:t>
      </w:r>
      <w:r w:rsidR="00955BB7">
        <w:t xml:space="preserve">who </w:t>
      </w:r>
      <w:r w:rsidR="00363D6A">
        <w:t>find</w:t>
      </w:r>
      <w:r w:rsidR="00C83AE2">
        <w:t xml:space="preserve"> that individuals facing high entrepreneurial risk are less like to hold stocks. Also, </w:t>
      </w:r>
      <w:r w:rsidR="00363D6A">
        <w:t xml:space="preserve">a </w:t>
      </w:r>
      <w:r w:rsidR="00C83AE2">
        <w:t>dummy variable for retired respondents is added to account for possible dis-saving behavior predicted by the Life-Cycle Hypothesis.</w:t>
      </w:r>
      <w:r w:rsidR="00363D6A">
        <w:t xml:space="preserve"> Van Rooj et</w:t>
      </w:r>
      <w:r w:rsidR="00EE3BF2">
        <w:t xml:space="preserve"> al. (2001)have employed similar </w:t>
      </w:r>
      <w:r w:rsidR="00EE3BF2">
        <w:lastRenderedPageBreak/>
        <w:t>reasoning when including indicator for retired individuals, although no statistically significant relationship between stockholding decision and retirement was found.</w:t>
      </w:r>
    </w:p>
    <w:p w:rsidR="0020347F" w:rsidRPr="0020347F" w:rsidRDefault="00EF2B12" w:rsidP="00226A8E">
      <w:pPr>
        <w:spacing w:after="120" w:line="480" w:lineRule="auto"/>
        <w:mirrorIndents/>
        <w:rPr>
          <w:b/>
        </w:rPr>
      </w:pPr>
      <w:r>
        <w:rPr>
          <w:b/>
        </w:rPr>
        <w:t xml:space="preserve">3.3 </w:t>
      </w:r>
      <w:r w:rsidR="0020347F" w:rsidRPr="0020347F">
        <w:rPr>
          <w:b/>
        </w:rPr>
        <w:t>Descriptive Statistics</w:t>
      </w:r>
    </w:p>
    <w:p w:rsidR="0020347F" w:rsidRPr="00E91CAA" w:rsidRDefault="00E91CAA" w:rsidP="00226A8E">
      <w:pPr>
        <w:spacing w:after="120" w:line="480" w:lineRule="auto"/>
        <w:mirrorIndents/>
        <w:rPr>
          <w:i/>
        </w:rPr>
      </w:pPr>
      <w:r w:rsidRPr="00E91CAA">
        <w:rPr>
          <w:i/>
        </w:rPr>
        <w:t>Financial Literacy</w:t>
      </w:r>
    </w:p>
    <w:p w:rsidR="0020347F" w:rsidRDefault="006523DD" w:rsidP="00226A8E">
      <w:pPr>
        <w:spacing w:after="120" w:line="480" w:lineRule="auto"/>
        <w:ind w:firstLine="720"/>
        <w:mirrorIndents/>
      </w:pPr>
      <w:r>
        <w:t>The p</w:t>
      </w:r>
      <w:r w:rsidR="005367A9">
        <w:t>roportion of people answering correctly to each of the six questions is</w:t>
      </w:r>
      <w:r w:rsidR="00E91CAA">
        <w:t xml:space="preserve"> reported in the Figure </w:t>
      </w:r>
      <w:r w:rsidR="001D61F9">
        <w:t>3</w:t>
      </w:r>
      <w:r w:rsidR="00E91CAA">
        <w:t xml:space="preserve"> below. </w:t>
      </w:r>
      <w:r w:rsidR="006E6D16">
        <w:t>Most respondent</w:t>
      </w:r>
      <w:r w:rsidR="00363D6A">
        <w:t>s</w:t>
      </w:r>
      <w:r w:rsidR="006E6D16">
        <w:t xml:space="preserve"> demonstrate a good understanding of basic numeracy and mortgages. </w:t>
      </w:r>
      <w:r w:rsidR="005367A9">
        <w:t xml:space="preserve">About four out of five respondents correctly answer question about basic interest compounding (Interest compounding I) and similar proportion know how mortgage payments are structured (Mortgage). </w:t>
      </w:r>
      <w:r w:rsidR="00FA538F">
        <w:t xml:space="preserve">Good knowledge of mortgage payment structure can be partly explained by large exposure of American households to mortgages when financing their homes. In fact, 65.3% of respondents (or their partner/spouse) in the survey own their homes, and 60.2% of them still have outstanding mortgage loans. </w:t>
      </w:r>
      <w:r w:rsidR="00363D6A">
        <w:t>About two third</w:t>
      </w:r>
      <w:r w:rsidR="00C36339">
        <w:t xml:space="preserve"> of respondents correctly answer</w:t>
      </w:r>
      <w:r w:rsidR="00363D6A">
        <w:t>ed the</w:t>
      </w:r>
      <w:r w:rsidR="00C36339">
        <w:t xml:space="preserve"> basic question on in</w:t>
      </w:r>
      <w:r w:rsidR="00363D6A">
        <w:t>flation and real interest rates. O</w:t>
      </w:r>
      <w:r w:rsidR="00C36339">
        <w:t>nly about half</w:t>
      </w:r>
      <w:r w:rsidR="00363D6A">
        <w:t xml:space="preserve"> of the</w:t>
      </w:r>
      <w:r w:rsidR="00C36339">
        <w:t xml:space="preserve"> respondents know</w:t>
      </w:r>
      <w:r w:rsidR="00363D6A">
        <w:t xml:space="preserve"> the</w:t>
      </w:r>
      <w:r w:rsidR="006E6D16">
        <w:t xml:space="preserve">fundamental </w:t>
      </w:r>
      <w:r w:rsidR="00C36339">
        <w:t>risk diversification concept</w:t>
      </w:r>
      <w:r w:rsidR="006E6D16">
        <w:t xml:space="preserve"> in portfolio management</w:t>
      </w:r>
      <w:r w:rsidR="00C36339">
        <w:t>.</w:t>
      </w:r>
      <w:r w:rsidR="006E6D16">
        <w:t xml:space="preserve"> In contrast, only 37% are able to correctly answer </w:t>
      </w:r>
      <w:r w:rsidR="00363D6A">
        <w:t xml:space="preserve">the </w:t>
      </w:r>
      <w:r w:rsidR="006E6D16">
        <w:t xml:space="preserve">more advanced question on interest compounding. Furthermore, respondents demonstrate very limited knowledgeof bond mechanics as </w:t>
      </w:r>
      <w:r w:rsidR="005367A9">
        <w:t xml:space="preserve">only about </w:t>
      </w:r>
      <w:r w:rsidR="00363D6A">
        <w:t>one</w:t>
      </w:r>
      <w:r w:rsidR="00955BB7">
        <w:t>-</w:t>
      </w:r>
      <w:r w:rsidR="005367A9">
        <w:t>third know the relationship betwee</w:t>
      </w:r>
      <w:r w:rsidR="00C36339">
        <w:t>n bond prices and interest rates.</w:t>
      </w:r>
    </w:p>
    <w:p w:rsidR="00E91CAA" w:rsidRDefault="00187955" w:rsidP="004B4742">
      <w:pPr>
        <w:spacing w:after="120" w:line="480" w:lineRule="auto"/>
        <w:ind w:firstLine="720"/>
        <w:mirrorIndents/>
      </w:pPr>
      <w:r>
        <w:rPr>
          <w:noProof/>
        </w:rPr>
        <mc:AlternateContent>
          <mc:Choice Requires="wps">
            <w:drawing>
              <wp:anchor distT="45720" distB="45720" distL="114300" distR="114300" simplePos="0" relativeHeight="251666432" behindDoc="1" locked="0" layoutInCell="1" allowOverlap="1">
                <wp:simplePos x="0" y="0"/>
                <wp:positionH relativeFrom="column">
                  <wp:posOffset>1577975</wp:posOffset>
                </wp:positionH>
                <wp:positionV relativeFrom="paragraph">
                  <wp:posOffset>-76200</wp:posOffset>
                </wp:positionV>
                <wp:extent cx="2545715" cy="391795"/>
                <wp:effectExtent l="0" t="0" r="0" b="8890"/>
                <wp:wrapTight wrapText="bothSides">
                  <wp:wrapPolygon edited="0">
                    <wp:start x="0" y="0"/>
                    <wp:lineTo x="0" y="22091"/>
                    <wp:lineTo x="21536" y="22091"/>
                    <wp:lineTo x="21536"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91795"/>
                        </a:xfrm>
                        <a:prstGeom prst="rect">
                          <a:avLst/>
                        </a:prstGeom>
                        <a:solidFill>
                          <a:srgbClr val="FFFFFF"/>
                        </a:solidFill>
                        <a:ln w="9525">
                          <a:solidFill>
                            <a:srgbClr val="000000"/>
                          </a:solidFill>
                          <a:miter lim="800000"/>
                          <a:headEnd/>
                          <a:tailEnd/>
                        </a:ln>
                      </wps:spPr>
                      <wps:txbx>
                        <w:txbxContent>
                          <w:p w:rsidR="00E61942" w:rsidRDefault="00E61942" w:rsidP="004B4742">
                            <w:pPr>
                              <w:jc w:val="center"/>
                            </w:pPr>
                            <w:r>
                              <w:t>Paste Figure 3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124.25pt;margin-top:-6pt;width:200.45pt;height:30.85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">
                <v:textbox style="mso-fit-shape-to-text:t">
                  <w:txbxContent>
                    <w:p w:rsidR="00E61942" w:rsidRDefault="00E61942" w:rsidP="004B4742">
                      <w:pPr>
                        <w:jc w:val="center"/>
                      </w:pPr>
                      <w:r>
                        <w:t>Paste Figure 3 here</w:t>
                      </w:r>
                    </w:p>
                  </w:txbxContent>
                </v:textbox>
                <w10:wrap type="tight"/>
              </v:shape>
            </w:pict>
          </mc:Fallback>
        </mc:AlternateContent>
      </w:r>
    </w:p>
    <w:p w:rsidR="006E6D16" w:rsidRDefault="00187955" w:rsidP="00226A8E">
      <w:pPr>
        <w:spacing w:after="120" w:line="480" w:lineRule="auto"/>
        <w:ind w:firstLine="720"/>
        <w:mirrorIndents/>
      </w:pPr>
      <w:r>
        <w:rPr>
          <w:noProof/>
        </w:rPr>
        <mc:AlternateContent>
          <mc:Choice Requires="wps">
            <w:drawing>
              <wp:anchor distT="45720" distB="45720" distL="114300" distR="114300" simplePos="0" relativeHeight="251668480" behindDoc="0" locked="0" layoutInCell="1" allowOverlap="1">
                <wp:simplePos x="0" y="0"/>
                <wp:positionH relativeFrom="column">
                  <wp:posOffset>1476375</wp:posOffset>
                </wp:positionH>
                <wp:positionV relativeFrom="paragraph">
                  <wp:posOffset>2345055</wp:posOffset>
                </wp:positionV>
                <wp:extent cx="2545715" cy="391795"/>
                <wp:effectExtent l="0" t="0" r="0" b="889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91795"/>
                        </a:xfrm>
                        <a:prstGeom prst="rect">
                          <a:avLst/>
                        </a:prstGeom>
                        <a:solidFill>
                          <a:srgbClr val="FFFFFF"/>
                        </a:solidFill>
                        <a:ln w="9525">
                          <a:solidFill>
                            <a:srgbClr val="000000"/>
                          </a:solidFill>
                          <a:miter lim="800000"/>
                          <a:headEnd/>
                          <a:tailEnd/>
                        </a:ln>
                      </wps:spPr>
                      <wps:txbx>
                        <w:txbxContent>
                          <w:p w:rsidR="00E61942" w:rsidRDefault="00E61942" w:rsidP="004B4742">
                            <w:pPr>
                              <w:jc w:val="center"/>
                            </w:pPr>
                            <w:r>
                              <w:t>Paste Figure 4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16.25pt;margin-top:184.65pt;width:200.45pt;height:30.8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">
                <v:textbox style="mso-fit-shape-to-text:t">
                  <w:txbxContent>
                    <w:p w:rsidR="00E61942" w:rsidRDefault="00E61942" w:rsidP="004B4742">
                      <w:pPr>
                        <w:jc w:val="center"/>
                      </w:pPr>
                      <w:r>
                        <w:t>Paste Figure 4 here</w:t>
                      </w:r>
                    </w:p>
                  </w:txbxContent>
                </v:textbox>
                <w10:wrap type="square"/>
              </v:shape>
            </w:pict>
          </mc:Fallback>
        </mc:AlternateContent>
      </w:r>
      <w:r w:rsidR="006E6D16">
        <w:t xml:space="preserve">Figure </w:t>
      </w:r>
      <w:r w:rsidR="001D61F9">
        <w:t>4</w:t>
      </w:r>
      <w:r w:rsidR="00955BB7">
        <w:t xml:space="preserve">is a rudimentary test of the research hypothesis. It </w:t>
      </w:r>
      <w:r w:rsidR="006E6D16">
        <w:t xml:space="preserve">reports </w:t>
      </w:r>
      <w:r w:rsidR="00363D6A">
        <w:t xml:space="preserve">a </w:t>
      </w:r>
      <w:r w:rsidR="006E6D16">
        <w:t>financial literacy index (score)</w:t>
      </w:r>
      <w:r w:rsidR="00E972D2">
        <w:t>,</w:t>
      </w:r>
      <w:r w:rsidR="006E6D16">
        <w:t xml:space="preserve"> which</w:t>
      </w:r>
      <w:r w:rsidR="00E972D2">
        <w:t xml:space="preserve"> represents </w:t>
      </w:r>
      <w:r w:rsidR="006E6D16">
        <w:t xml:space="preserve">the number of </w:t>
      </w:r>
      <w:r w:rsidR="00E972D2">
        <w:t xml:space="preserve">correct answers and </w:t>
      </w:r>
      <w:r w:rsidR="006E6D16">
        <w:t>ownership of non-retirement investments in financial market securities</w:t>
      </w:r>
      <w:r w:rsidR="00E972D2">
        <w:t>.</w:t>
      </w:r>
      <w:r w:rsidR="00175833">
        <w:t xml:space="preserve"> It can be noticed that financial markets participation is positively associated with the number of correctly answered question</w:t>
      </w:r>
      <w:r w:rsidR="00363D6A">
        <w:t>s</w:t>
      </w:r>
      <w:r w:rsidR="00175833">
        <w:t xml:space="preserve">. Only </w:t>
      </w:r>
      <w:r w:rsidR="00E972D2">
        <w:t xml:space="preserve">about </w:t>
      </w:r>
      <w:r w:rsidR="00175833">
        <w:t xml:space="preserve">10.5% </w:t>
      </w:r>
      <w:r w:rsidR="00D00744">
        <w:t xml:space="preserve">of </w:t>
      </w:r>
      <w:r w:rsidR="00E972D2">
        <w:lastRenderedPageBreak/>
        <w:t>individuals are able to provide correct answer</w:t>
      </w:r>
      <w:r w:rsidR="00175833">
        <w:t>s</w:t>
      </w:r>
      <w:r w:rsidR="00E972D2">
        <w:t xml:space="preserve"> to all </w:t>
      </w:r>
      <w:r w:rsidR="00363D6A">
        <w:t>the</w:t>
      </w:r>
      <w:r w:rsidR="00E972D2">
        <w:t xml:space="preserve"> questions</w:t>
      </w:r>
      <w:r w:rsidR="00175833">
        <w:t xml:space="preserve">, while </w:t>
      </w:r>
      <w:r w:rsidR="00D00744">
        <w:t xml:space="preserve">63.5% of them have </w:t>
      </w:r>
      <w:r w:rsidR="00175833">
        <w:t>non-reti</w:t>
      </w:r>
      <w:r w:rsidR="00D00744">
        <w:t xml:space="preserve">rement investments. In contrast, 28.1% of individuals that correctly answer </w:t>
      </w:r>
      <w:r w:rsidR="005959C8">
        <w:t xml:space="preserve">only </w:t>
      </w:r>
      <w:r w:rsidR="00D00744">
        <w:t>the</w:t>
      </w:r>
      <w:r w:rsidR="005959C8">
        <w:t xml:space="preserve"> half of the</w:t>
      </w:r>
      <w:r w:rsidR="00D00744">
        <w:t xml:space="preserve"> given questions participate in financial markets. </w:t>
      </w:r>
    </w:p>
    <w:p w:rsidR="0020347F" w:rsidRDefault="0020347F" w:rsidP="00226A8E">
      <w:pPr>
        <w:spacing w:after="120" w:line="480" w:lineRule="auto"/>
        <w:ind w:firstLine="720"/>
        <w:mirrorIndents/>
      </w:pPr>
    </w:p>
    <w:p w:rsidR="00D00744" w:rsidRDefault="00D00744" w:rsidP="00226A8E">
      <w:pPr>
        <w:spacing w:after="120" w:line="480" w:lineRule="auto"/>
        <w:ind w:firstLine="720"/>
        <w:mirrorIndents/>
      </w:pPr>
      <w:r>
        <w:t xml:space="preserve">Figure </w:t>
      </w:r>
      <w:r w:rsidR="001D61F9">
        <w:t>5</w:t>
      </w:r>
      <w:r>
        <w:t xml:space="preserve"> summarizes </w:t>
      </w:r>
      <w:r w:rsidR="005959C8">
        <w:t xml:space="preserve">the </w:t>
      </w:r>
      <w:r>
        <w:t xml:space="preserve">descriptive statistics for the variables that will be used in our econometric model. </w:t>
      </w:r>
    </w:p>
    <w:p w:rsidR="004B4742" w:rsidRDefault="00187955" w:rsidP="00226A8E">
      <w:pPr>
        <w:spacing w:after="200" w:line="480" w:lineRule="auto"/>
      </w:pPr>
      <w:r>
        <w:rPr>
          <w:noProof/>
        </w:rPr>
        <mc:AlternateContent>
          <mc:Choice Requires="wps">
            <w:drawing>
              <wp:anchor distT="45720" distB="45720" distL="114300" distR="114300" simplePos="0" relativeHeight="251670528" behindDoc="0" locked="0" layoutInCell="1" allowOverlap="1">
                <wp:simplePos x="0" y="0"/>
                <wp:positionH relativeFrom="column">
                  <wp:posOffset>1476375</wp:posOffset>
                </wp:positionH>
                <wp:positionV relativeFrom="paragraph">
                  <wp:posOffset>137795</wp:posOffset>
                </wp:positionV>
                <wp:extent cx="2543810" cy="391795"/>
                <wp:effectExtent l="0" t="0" r="0" b="889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91795"/>
                        </a:xfrm>
                        <a:prstGeom prst="rect">
                          <a:avLst/>
                        </a:prstGeom>
                        <a:solidFill>
                          <a:srgbClr val="FFFFFF"/>
                        </a:solidFill>
                        <a:ln w="9525">
                          <a:solidFill>
                            <a:srgbClr val="000000"/>
                          </a:solidFill>
                          <a:miter lim="800000"/>
                          <a:headEnd/>
                          <a:tailEnd/>
                        </a:ln>
                      </wps:spPr>
                      <wps:txbx>
                        <w:txbxContent>
                          <w:p w:rsidR="00E61942" w:rsidRDefault="00E61942" w:rsidP="004B4742">
                            <w:pPr>
                              <w:jc w:val="center"/>
                            </w:pPr>
                            <w:r>
                              <w:t>Paste Figure 5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0" type="#_x0000_t202" style="position:absolute;margin-left:116.25pt;margin-top:10.85pt;width:200.3pt;height:30.8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">
                <v:textbox style="mso-fit-shape-to-text:t">
                  <w:txbxContent>
                    <w:p w:rsidR="00E61942" w:rsidRDefault="00E61942" w:rsidP="004B4742">
                      <w:pPr>
                        <w:jc w:val="center"/>
                      </w:pPr>
                      <w:r>
                        <w:t>Paste Figure 5 here</w:t>
                      </w:r>
                    </w:p>
                  </w:txbxContent>
                </v:textbox>
                <w10:wrap type="square"/>
              </v:shape>
            </w:pict>
          </mc:Fallback>
        </mc:AlternateContent>
      </w:r>
    </w:p>
    <w:p w:rsidR="00EF12BF" w:rsidRDefault="00EF12BF" w:rsidP="00226A8E">
      <w:pPr>
        <w:spacing w:after="200" w:line="480" w:lineRule="auto"/>
      </w:pPr>
    </w:p>
    <w:p w:rsidR="00EF12BF" w:rsidRDefault="00EF12BF" w:rsidP="00226A8E">
      <w:pPr>
        <w:spacing w:after="200" w:line="480" w:lineRule="auto"/>
      </w:pPr>
    </w:p>
    <w:p w:rsidR="00EF12BF" w:rsidRPr="003804AA" w:rsidRDefault="00EF12BF" w:rsidP="00226A8E">
      <w:pPr>
        <w:spacing w:after="200" w:line="480" w:lineRule="auto"/>
      </w:pPr>
    </w:p>
    <w:p w:rsidR="002D2C6B" w:rsidRDefault="00EF2B12" w:rsidP="00226A8E">
      <w:pPr>
        <w:spacing w:after="120" w:line="480" w:lineRule="auto"/>
        <w:mirrorIndents/>
        <w:rPr>
          <w:b/>
        </w:rPr>
      </w:pPr>
      <w:r>
        <w:rPr>
          <w:b/>
        </w:rPr>
        <w:t xml:space="preserve">3.4 </w:t>
      </w:r>
      <w:r w:rsidR="00C33823">
        <w:rPr>
          <w:b/>
        </w:rPr>
        <w:t>Diagnostic tests</w:t>
      </w:r>
    </w:p>
    <w:p w:rsidR="006E21B7" w:rsidRDefault="00EF2B12" w:rsidP="00226A8E">
      <w:pPr>
        <w:spacing w:after="120" w:line="480" w:lineRule="auto"/>
        <w:mirrorIndents/>
        <w:rPr>
          <w:b/>
        </w:rPr>
      </w:pPr>
      <w:r>
        <w:rPr>
          <w:b/>
        </w:rPr>
        <w:t xml:space="preserve">3.4.1 </w:t>
      </w:r>
      <w:r w:rsidR="006E21B7">
        <w:rPr>
          <w:b/>
        </w:rPr>
        <w:t>Functional form</w:t>
      </w:r>
    </w:p>
    <w:p w:rsidR="0072222D" w:rsidRDefault="00187955" w:rsidP="00AF101D">
      <w:pPr>
        <w:spacing w:after="120" w:line="480" w:lineRule="auto"/>
        <w:ind w:firstLine="720"/>
        <w:mirrorIndents/>
      </w:pPr>
      <w:r>
        <w:rPr>
          <w:noProof/>
        </w:rPr>
        <mc:AlternateContent>
          <mc:Choice Requires="wps">
            <w:drawing>
              <wp:anchor distT="45720" distB="45720" distL="114300" distR="114300" simplePos="0" relativeHeight="251672576" behindDoc="1" locked="0" layoutInCell="1" allowOverlap="1">
                <wp:simplePos x="0" y="0"/>
                <wp:positionH relativeFrom="column">
                  <wp:posOffset>1420495</wp:posOffset>
                </wp:positionH>
                <wp:positionV relativeFrom="paragraph">
                  <wp:posOffset>3865880</wp:posOffset>
                </wp:positionV>
                <wp:extent cx="2541905" cy="391795"/>
                <wp:effectExtent l="0" t="0" r="0" b="8890"/>
                <wp:wrapTight wrapText="bothSides">
                  <wp:wrapPolygon edited="0">
                    <wp:start x="0" y="0"/>
                    <wp:lineTo x="0" y="22091"/>
                    <wp:lineTo x="21536" y="22091"/>
                    <wp:lineTo x="21536"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91795"/>
                        </a:xfrm>
                        <a:prstGeom prst="rect">
                          <a:avLst/>
                        </a:prstGeom>
                        <a:solidFill>
                          <a:srgbClr val="FFFFFF"/>
                        </a:solidFill>
                        <a:ln w="9525">
                          <a:solidFill>
                            <a:srgbClr val="000000"/>
                          </a:solidFill>
                          <a:miter lim="800000"/>
                          <a:headEnd/>
                          <a:tailEnd/>
                        </a:ln>
                      </wps:spPr>
                      <wps:txbx>
                        <w:txbxContent>
                          <w:p w:rsidR="00E61942" w:rsidRDefault="00E61942" w:rsidP="004B4742">
                            <w:pPr>
                              <w:jc w:val="center"/>
                            </w:pPr>
                            <w:r>
                              <w:t>Paste Figure 6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1" type="#_x0000_t202" style="position:absolute;left:0;text-align:left;margin-left:111.85pt;margin-top:304.4pt;width:200.15pt;height:30.85pt;z-index:-251643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">
                <v:textbox style="mso-fit-shape-to-text:t">
                  <w:txbxContent>
                    <w:p w:rsidR="00E61942" w:rsidRDefault="00E61942" w:rsidP="004B4742">
                      <w:pPr>
                        <w:jc w:val="center"/>
                      </w:pPr>
                      <w:r>
                        <w:t>Paste Figure 6 here</w:t>
                      </w:r>
                    </w:p>
                  </w:txbxContent>
                </v:textbox>
                <w10:wrap type="tight"/>
              </v:shape>
            </w:pict>
          </mc:Fallback>
        </mc:AlternateContent>
      </w:r>
      <w:r w:rsidR="006E21B7">
        <w:t>All variables in this regression are used in level form</w:t>
      </w:r>
      <w:r w:rsidR="00AC24B4">
        <w:t xml:space="preserve">. This </w:t>
      </w:r>
      <w:r w:rsidR="006E21B7">
        <w:t xml:space="preserve">is dictated by the construct of the data set as most variables in the regression model are binary variables. </w:t>
      </w:r>
      <w:r w:rsidR="00C9586A">
        <w:t xml:space="preserve">Furthermore, </w:t>
      </w:r>
      <w:r w:rsidR="0072222D">
        <w:t xml:space="preserve">the </w:t>
      </w:r>
      <w:r w:rsidR="00C9586A">
        <w:t xml:space="preserve">Regression Specification Error Test (RESET) for general specification proposed by Ramsey (1969) is performed. </w:t>
      </w:r>
      <w:r w:rsidR="006D37B8">
        <w:t>Th</w:t>
      </w:r>
      <w:r w:rsidR="0072222D">
        <w:t>en</w:t>
      </w:r>
      <w:r w:rsidR="006D37B8">
        <w:t xml:space="preserve">ull hypothesis stating that the model is correctly specified is rejected at 1% critical level, which implies possible model misspecification. </w:t>
      </w:r>
      <w:r w:rsidR="0072222D">
        <w:t>The n</w:t>
      </w:r>
      <w:r w:rsidR="00D71BDF">
        <w:t xml:space="preserve">ull hypothesis is rejected if there is measurement error in independent variable or there is an issue of simultaneity or reverse causality. As it will be discussed later, the measure of financial literacy </w:t>
      </w:r>
      <w:r w:rsidR="00AC24B4">
        <w:t xml:space="preserve">potentially </w:t>
      </w:r>
      <w:r w:rsidR="00D71BDF">
        <w:t>suffers from both problems. Furthermore, Ramalho and Ramalho (2012) propose that model</w:t>
      </w:r>
      <w:r w:rsidR="0072222D">
        <w:t>s</w:t>
      </w:r>
      <w:r w:rsidR="00D71BDF">
        <w:t xml:space="preserve"> with </w:t>
      </w:r>
      <w:r w:rsidR="0072222D">
        <w:t xml:space="preserve">a </w:t>
      </w:r>
      <w:r w:rsidR="00D71BDF">
        <w:t xml:space="preserve">binary dependent variable can fail </w:t>
      </w:r>
      <w:r w:rsidR="0072222D">
        <w:t xml:space="preserve">the </w:t>
      </w:r>
      <w:r w:rsidR="00D71BDF">
        <w:t xml:space="preserve">RESET test due to </w:t>
      </w:r>
      <w:r w:rsidR="0072222D">
        <w:t xml:space="preserve">the </w:t>
      </w:r>
      <w:r w:rsidR="00A930DB">
        <w:t xml:space="preserve">presence of heteroscedasticity.RESET test is designed to identify nonlinearities in the model, </w:t>
      </w:r>
      <w:r w:rsidR="00A930DB">
        <w:lastRenderedPageBreak/>
        <w:t>however, the fact that all the controls are in binary form limit</w:t>
      </w:r>
      <w:r w:rsidR="00C33823">
        <w:t>s</w:t>
      </w:r>
      <w:r w:rsidR="00A930DB">
        <w:t xml:space="preserve"> implementation of </w:t>
      </w:r>
      <w:r w:rsidR="00C33823">
        <w:t xml:space="preserve">either </w:t>
      </w:r>
      <w:r w:rsidR="00A930DB">
        <w:t xml:space="preserve">quadratic </w:t>
      </w:r>
      <w:r w:rsidR="00C33823">
        <w:t xml:space="preserve">or </w:t>
      </w:r>
      <w:r w:rsidR="00A930DB">
        <w:t xml:space="preserve">logarithmic functional forms. </w:t>
      </w:r>
    </w:p>
    <w:p w:rsidR="009F6CE1" w:rsidRPr="00AF101D" w:rsidRDefault="009F6CE1" w:rsidP="009F6CE1">
      <w:pPr>
        <w:spacing w:after="120" w:line="480" w:lineRule="auto"/>
        <w:mirrorIndents/>
      </w:pPr>
    </w:p>
    <w:p w:rsidR="00E25259" w:rsidRPr="00C33823" w:rsidRDefault="00EF2B12" w:rsidP="00226A8E">
      <w:pPr>
        <w:spacing w:after="120" w:line="480" w:lineRule="auto"/>
        <w:mirrorIndents/>
        <w:rPr>
          <w:b/>
        </w:rPr>
      </w:pPr>
      <w:r>
        <w:rPr>
          <w:b/>
        </w:rPr>
        <w:t xml:space="preserve">3.4.2 </w:t>
      </w:r>
      <w:r w:rsidR="00C33823" w:rsidRPr="00C33823">
        <w:rPr>
          <w:b/>
        </w:rPr>
        <w:t xml:space="preserve">Heteroscedasticity </w:t>
      </w:r>
    </w:p>
    <w:p w:rsidR="009F6CE1" w:rsidRDefault="00C33823" w:rsidP="008C7EBF">
      <w:pPr>
        <w:spacing w:after="120" w:line="480" w:lineRule="auto"/>
        <w:ind w:firstLine="720"/>
        <w:mirrorIndents/>
      </w:pPr>
      <w:r w:rsidRPr="002D2C6B">
        <w:t xml:space="preserve">Any regression </w:t>
      </w:r>
      <w:r>
        <w:t>model involving</w:t>
      </w:r>
      <w:r w:rsidR="0072222D">
        <w:t xml:space="preserve"> a</w:t>
      </w:r>
      <w:r>
        <w:t>dichotomous</w:t>
      </w:r>
      <w:r w:rsidRPr="002D2C6B">
        <w:t xml:space="preserve"> dependent variable inherently suffer</w:t>
      </w:r>
      <w:r>
        <w:t>s from</w:t>
      </w:r>
      <w:r w:rsidRPr="002D2C6B">
        <w:t xml:space="preserve"> heteroscedasticity</w:t>
      </w:r>
      <w:r>
        <w:t xml:space="preserve"> of residuals. Given that </w:t>
      </w:r>
      <w:r w:rsidR="00AC24B4">
        <w:t xml:space="preserve">the </w:t>
      </w:r>
      <w:r>
        <w:t xml:space="preserve">variance of </w:t>
      </w:r>
      <w:r w:rsidR="0072222D">
        <w:t xml:space="preserve">a </w:t>
      </w:r>
      <w:r>
        <w:t>bivariate variable is p</w:t>
      </w:r>
      <w:r>
        <w:softHyphen/>
      </w:r>
      <w:r w:rsidRPr="003817CA">
        <w:rPr>
          <w:i/>
          <w:sz w:val="16"/>
          <w:szCs w:val="16"/>
        </w:rPr>
        <w:t>x</w:t>
      </w:r>
      <w:r>
        <w:t xml:space="preserve">(1-p), where p - </w:t>
      </w:r>
    </w:p>
    <w:p w:rsidR="00CC5A62" w:rsidRPr="003804AA" w:rsidRDefault="00C33823" w:rsidP="008C7EBF">
      <w:pPr>
        <w:spacing w:after="120" w:line="480" w:lineRule="auto"/>
        <w:ind w:firstLine="720"/>
        <w:mirrorIndents/>
      </w:pPr>
      <w:r>
        <w:t xml:space="preserve">probability of event occurrence, and (1-p) </w:t>
      </w:r>
      <w:r w:rsidR="00AC24B4">
        <w:t>is the</w:t>
      </w:r>
      <w:r>
        <w:t xml:space="preserve"> probability of event nonoccurrence,</w:t>
      </w:r>
      <w:r w:rsidR="0072222D">
        <w:t xml:space="preserve"> the</w:t>
      </w:r>
      <w:r>
        <w:t xml:space="preserve"> homoscedasticity assumption will be violated unless p will be the same for all individuals. </w:t>
      </w:r>
      <w:r w:rsidR="00F508F8">
        <w:t xml:space="preserve">Both </w:t>
      </w:r>
      <w:r>
        <w:t xml:space="preserve">White’s </w:t>
      </w:r>
      <w:r w:rsidR="00F508F8">
        <w:t>and Breusch</w:t>
      </w:r>
      <w:r w:rsidR="00B65E21">
        <w:t>-</w:t>
      </w:r>
      <w:r w:rsidR="00F508F8">
        <w:t xml:space="preserve">Pagan </w:t>
      </w:r>
      <w:r>
        <w:t>test</w:t>
      </w:r>
      <w:r w:rsidR="00F508F8">
        <w:t xml:space="preserve">s confirm the presence of hetersocedasticity. </w:t>
      </w:r>
      <w:r w:rsidR="0072222D">
        <w:t>The n</w:t>
      </w:r>
      <w:r>
        <w:t>ull hypothesis of homoscedastic</w:t>
      </w:r>
      <w:r w:rsidR="00F508F8">
        <w:t xml:space="preserve"> errors</w:t>
      </w:r>
      <w:r>
        <w:t xml:space="preserve"> can be rejected</w:t>
      </w:r>
      <w:r w:rsidR="00F508F8">
        <w:t xml:space="preserve"> at 5% critical level</w:t>
      </w:r>
      <w:r>
        <w:t xml:space="preserve"> (See table below). To account for </w:t>
      </w:r>
      <w:r w:rsidR="009418ED">
        <w:t>the problem of heteroscedasticity of</w:t>
      </w:r>
      <w:r w:rsidR="0072222D">
        <w:t xml:space="preserve"> the</w:t>
      </w:r>
      <w:r w:rsidR="009418ED">
        <w:t xml:space="preserve"> disturbance term</w:t>
      </w:r>
      <w:r w:rsidR="00AC24B4">
        <w:t>,</w:t>
      </w:r>
      <w:r w:rsidR="009418ED">
        <w:t xml:space="preserve"> heteroscedasticity-</w:t>
      </w:r>
      <w:r>
        <w:t xml:space="preserve">consistent robust standard errors will be </w:t>
      </w:r>
      <w:r w:rsidR="00187955">
        <w:rPr>
          <w:noProof/>
        </w:rPr>
        <mc:AlternateContent>
          <mc:Choice Requires="wps">
            <w:drawing>
              <wp:anchor distT="45720" distB="45720" distL="114300" distR="114300" simplePos="0" relativeHeight="251676672" behindDoc="1" locked="0" layoutInCell="1" allowOverlap="1">
                <wp:simplePos x="0" y="0"/>
                <wp:positionH relativeFrom="column">
                  <wp:posOffset>1405890</wp:posOffset>
                </wp:positionH>
                <wp:positionV relativeFrom="paragraph">
                  <wp:posOffset>617855</wp:posOffset>
                </wp:positionV>
                <wp:extent cx="2541905" cy="391795"/>
                <wp:effectExtent l="0" t="0" r="0" b="8890"/>
                <wp:wrapTight wrapText="bothSides">
                  <wp:wrapPolygon edited="0">
                    <wp:start x="0" y="0"/>
                    <wp:lineTo x="0" y="22091"/>
                    <wp:lineTo x="21536" y="22091"/>
                    <wp:lineTo x="21536"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91795"/>
                        </a:xfrm>
                        <a:prstGeom prst="rect">
                          <a:avLst/>
                        </a:prstGeom>
                        <a:solidFill>
                          <a:srgbClr val="FFFFFF"/>
                        </a:solidFill>
                        <a:ln w="9525">
                          <a:solidFill>
                            <a:srgbClr val="000000"/>
                          </a:solidFill>
                          <a:miter lim="800000"/>
                          <a:headEnd/>
                          <a:tailEnd/>
                        </a:ln>
                      </wps:spPr>
                      <wps:txbx>
                        <w:txbxContent>
                          <w:p w:rsidR="00E61942" w:rsidRDefault="00E61942" w:rsidP="009F6CE1">
                            <w:pPr>
                              <w:jc w:val="center"/>
                            </w:pPr>
                            <w:r>
                              <w:t>Paste Figure 7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2" type="#_x0000_t202" style="position:absolute;left:0;text-align:left;margin-left:110.7pt;margin-top:48.65pt;width:200.15pt;height:30.85pt;z-index:-251639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">
                <v:textbox style="mso-fit-shape-to-text:t">
                  <w:txbxContent>
                    <w:p w:rsidR="00E61942" w:rsidRDefault="00E61942" w:rsidP="009F6CE1">
                      <w:pPr>
                        <w:jc w:val="center"/>
                      </w:pPr>
                      <w:r>
                        <w:t>Paste Figure 7 here</w:t>
                      </w:r>
                    </w:p>
                  </w:txbxContent>
                </v:textbox>
                <w10:wrap type="tight"/>
              </v:shape>
            </w:pict>
          </mc:Fallback>
        </mc:AlternateContent>
      </w:r>
      <w:r>
        <w:t xml:space="preserve">used. </w:t>
      </w:r>
    </w:p>
    <w:p w:rsidR="00C00275" w:rsidRPr="00014470" w:rsidRDefault="00C00275" w:rsidP="008C7EBF">
      <w:pPr>
        <w:spacing w:after="120" w:line="480" w:lineRule="auto"/>
        <w:ind w:firstLine="720"/>
        <w:mirrorIndents/>
      </w:pPr>
    </w:p>
    <w:p w:rsidR="00C00275" w:rsidRPr="0072222D" w:rsidRDefault="00C00275" w:rsidP="00C00275">
      <w:pPr>
        <w:spacing w:after="120" w:line="480" w:lineRule="auto"/>
        <w:mirrorIndents/>
        <w:rPr>
          <w:b/>
        </w:rPr>
      </w:pPr>
      <w:r>
        <w:rPr>
          <w:b/>
        </w:rPr>
        <w:t xml:space="preserve">4. </w:t>
      </w:r>
      <w:r w:rsidRPr="0072222D">
        <w:rPr>
          <w:b/>
        </w:rPr>
        <w:t>Results</w:t>
      </w:r>
    </w:p>
    <w:p w:rsidR="00C00275" w:rsidRPr="00014470" w:rsidRDefault="00187955" w:rsidP="00C00275">
      <w:pPr>
        <w:spacing w:after="120" w:line="480" w:lineRule="auto"/>
        <w:ind w:firstLine="720"/>
        <w:mirrorIndents/>
      </w:pPr>
      <w:r>
        <w:rPr>
          <w:b/>
          <w:noProof/>
        </w:rPr>
        <mc:AlternateContent>
          <mc:Choice Requires="wps">
            <w:drawing>
              <wp:anchor distT="45720" distB="45720" distL="114300" distR="114300" simplePos="0" relativeHeight="251677696" behindDoc="1" locked="0" layoutInCell="1" allowOverlap="1">
                <wp:simplePos x="0" y="0"/>
                <wp:positionH relativeFrom="column">
                  <wp:posOffset>1870075</wp:posOffset>
                </wp:positionH>
                <wp:positionV relativeFrom="paragraph">
                  <wp:posOffset>4150995</wp:posOffset>
                </wp:positionV>
                <wp:extent cx="2540000" cy="391795"/>
                <wp:effectExtent l="0" t="0" r="0" b="8890"/>
                <wp:wrapTight wrapText="bothSides">
                  <wp:wrapPolygon edited="0">
                    <wp:start x="0" y="0"/>
                    <wp:lineTo x="0" y="22091"/>
                    <wp:lineTo x="21536" y="22091"/>
                    <wp:lineTo x="21536" y="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91795"/>
                        </a:xfrm>
                        <a:prstGeom prst="rect">
                          <a:avLst/>
                        </a:prstGeom>
                        <a:solidFill>
                          <a:srgbClr val="FFFFFF"/>
                        </a:solidFill>
                        <a:ln w="9525">
                          <a:solidFill>
                            <a:srgbClr val="000000"/>
                          </a:solidFill>
                          <a:miter lim="800000"/>
                          <a:headEnd/>
                          <a:tailEnd/>
                        </a:ln>
                      </wps:spPr>
                      <wps:txbx>
                        <w:txbxContent>
                          <w:p w:rsidR="00E61942" w:rsidRDefault="00E61942" w:rsidP="00C00275">
                            <w:pPr>
                              <w:jc w:val="center"/>
                            </w:pPr>
                            <w:r>
                              <w:t xml:space="preserve">Paste Figure </w:t>
                            </w:r>
                            <w:r>
                              <w:rPr>
                                <w:lang w:val="ru-RU"/>
                              </w:rPr>
                              <w:t>8</w:t>
                            </w:r>
                            <w:r>
                              <w:t xml:space="preserve">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3" type="#_x0000_t202" style="position:absolute;left:0;text-align:left;margin-left:147.25pt;margin-top:326.85pt;width:200pt;height:30.85pt;z-index:-251638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">
                <v:textbox style="mso-fit-shape-to-text:t">
                  <w:txbxContent>
                    <w:p w:rsidR="00E61942" w:rsidRDefault="00E61942" w:rsidP="00C00275">
                      <w:pPr>
                        <w:jc w:val="center"/>
                      </w:pPr>
                      <w:r>
                        <w:t xml:space="preserve">Paste Figure </w:t>
                      </w:r>
                      <w:r>
                        <w:rPr>
                          <w:lang w:val="ru-RU"/>
                        </w:rPr>
                        <w:t>8</w:t>
                      </w:r>
                      <w:r>
                        <w:t xml:space="preserve"> here</w:t>
                      </w:r>
                    </w:p>
                  </w:txbxContent>
                </v:textbox>
                <w10:wrap type="tight"/>
              </v:shape>
            </w:pict>
          </mc:Fallback>
        </mc:AlternateContent>
      </w:r>
      <w:r w:rsidR="00C00275">
        <w:t xml:space="preserve">Figure </w:t>
      </w:r>
      <w:r w:rsidR="00C00275" w:rsidRPr="00C00275">
        <w:t>8</w:t>
      </w:r>
      <w:r w:rsidR="00C00275">
        <w:t xml:space="preserve"> reports results from six OLS regressions and robust standard errors (in parentheses). It is important to note at this point that the analyses performed here report only the relationship between financial market participation and the independent variables. No causal inferences are assumed. From the regression results shown in Column (1) we can observe that financial literacy correlates positively with financial market participation. The absence of additional covariates that are positively correlated with both financial literacy and financial market participation overestimate the magnitude on financial literacy index. In fact, introduction </w:t>
      </w:r>
      <w:r w:rsidR="00C00275">
        <w:lastRenderedPageBreak/>
        <w:t>of income reported in Column (2) significantly reduces the magnitude of the relationship, while the coefficient remains positive and statistically different from zero at a 5% level. Thus, households with higher levels of income have higher probability of holding non-retirement investments. Campbell (2006</w:t>
      </w:r>
      <w:r w:rsidR="00CA6673">
        <w:t>)</w:t>
      </w:r>
      <w:r w:rsidR="00C00275">
        <w:t xml:space="preserve"> provides one explanation for increase in participation with wealth stating that “</w:t>
      </w:r>
      <w:r w:rsidR="00C00275" w:rsidRPr="00E71923">
        <w:t>a larger portfolio is more likely to justify the payment of a fixed cost to increase return</w:t>
      </w:r>
      <w:r w:rsidR="00C00275">
        <w:t>’ such as one-time entry costs.”</w:t>
      </w:r>
    </w:p>
    <w:p w:rsidR="00C00275" w:rsidRPr="00014470" w:rsidRDefault="00C00275" w:rsidP="00C00275">
      <w:pPr>
        <w:spacing w:after="120" w:line="480" w:lineRule="auto"/>
        <w:ind w:firstLine="720"/>
        <w:mirrorIndents/>
      </w:pPr>
    </w:p>
    <w:p w:rsidR="00C00275" w:rsidRDefault="00C00275" w:rsidP="00C00275">
      <w:pPr>
        <w:spacing w:after="120" w:line="480" w:lineRule="auto"/>
        <w:ind w:firstLine="720"/>
        <w:mirrorIndents/>
      </w:pPr>
      <w:r>
        <w:t>Inclusion of additional educational controls in Column (3) further reduces the degree of association of financial literacy and stock market participation. Positive and statistically significant coefficients on education covariates are consistent with the notion that additional years of schooling reduce informational barriers of investing in risky assets such as understanding risk-reward trade-offs, opening accounts and executing trades (Hong et al., 2004), or simply helps “overcoming</w:t>
      </w:r>
      <w:r w:rsidRPr="00614635">
        <w:t xml:space="preserve"> the barrier to stockholding erected by ignorance and misperceptions.” </w:t>
      </w:r>
      <w:r>
        <w:t xml:space="preserve"> (Haliassos and Bertaut, </w:t>
      </w:r>
      <w:r w:rsidRPr="00614635">
        <w:t>1995</w:t>
      </w:r>
      <w:r>
        <w:t>, p. 1122</w:t>
      </w:r>
      <w:r w:rsidRPr="00614635">
        <w:t>)</w:t>
      </w:r>
      <w:r>
        <w:t xml:space="preserve">. </w:t>
      </w:r>
    </w:p>
    <w:p w:rsidR="00C00275" w:rsidRDefault="00C00275" w:rsidP="00C00275">
      <w:pPr>
        <w:spacing w:after="120" w:line="480" w:lineRule="auto"/>
        <w:ind w:firstLine="720"/>
        <w:mirrorIndents/>
      </w:pPr>
      <w:r>
        <w:t>Column (4) includes additional demographic controls.  Before including risk aversion indicators we find evidence of gender gap in financial market participation. Men are 4.9% more likely to hold outside retirement investments than women. However, the coefficient on gender changes to close to zero and loses statistical significance after inclusion of self-reported measures of risk attitudes (See results Column (5))</w:t>
      </w:r>
      <w:r w:rsidRPr="00FD22EF">
        <w:t>.</w:t>
      </w:r>
      <w:r>
        <w:t xml:space="preserve"> This result is consistent </w:t>
      </w:r>
      <w:r w:rsidR="00FE4C51">
        <w:t xml:space="preserve">with </w:t>
      </w:r>
      <w:r>
        <w:t xml:space="preserve">Almenberg and Dreber (2015) who find that gender differences in stock market participation disappear once it is controlled for risk taking. In addition, it follows that individuals who are more willing to take risk are more likely to invest in risky assets. The coefficient on the financial literacy index has decreased by 2 basis points with inclusion of risk aversion measures.  </w:t>
      </w:r>
    </w:p>
    <w:p w:rsidR="00C00275" w:rsidRPr="00EF12BF" w:rsidRDefault="00C00275" w:rsidP="00EF12BF">
      <w:pPr>
        <w:spacing w:after="120" w:line="480" w:lineRule="auto"/>
        <w:ind w:firstLine="720"/>
        <w:mirrorIndents/>
      </w:pPr>
      <w:r>
        <w:lastRenderedPageBreak/>
        <w:t>Column (</w:t>
      </w:r>
      <w:r w:rsidR="001A28DC">
        <w:t>6</w:t>
      </w:r>
      <w:r>
        <w:t xml:space="preserve">) reports the final model which includes an additional set of control variables to capture the time preferences of respondents. The probability of financial market participation is positively associated with time preference. The model shows that individuals who prioritize medium and longer investment horizons have a higher probability of making investments in financial market securities. The coefficient on the financial literacy measure remains statistically significant after controlling for the large set of individual characteristics. This suggests that financial knowledge is one of the important determinants of financial markets participation.   </w:t>
      </w:r>
    </w:p>
    <w:p w:rsidR="00C00275" w:rsidRPr="00861CD4" w:rsidRDefault="00C00275" w:rsidP="00C00275">
      <w:pPr>
        <w:spacing w:after="120" w:line="480" w:lineRule="auto"/>
        <w:mirrorIndents/>
        <w:rPr>
          <w:b/>
        </w:rPr>
      </w:pPr>
      <w:r>
        <w:rPr>
          <w:b/>
        </w:rPr>
        <w:t xml:space="preserve">5. </w:t>
      </w:r>
      <w:r w:rsidRPr="00861CD4">
        <w:rPr>
          <w:b/>
        </w:rPr>
        <w:t>Robustness checks</w:t>
      </w:r>
    </w:p>
    <w:p w:rsidR="00C00275" w:rsidRDefault="00C00275" w:rsidP="00C00275">
      <w:pPr>
        <w:spacing w:after="120" w:line="480" w:lineRule="auto"/>
        <w:mirrorIndents/>
        <w:rPr>
          <w:b/>
        </w:rPr>
      </w:pPr>
      <w:r>
        <w:rPr>
          <w:b/>
        </w:rPr>
        <w:t xml:space="preserve"> 5.1 Sensitivity Analysis</w:t>
      </w:r>
    </w:p>
    <w:p w:rsidR="00C00275" w:rsidRDefault="00C00275" w:rsidP="00C00275">
      <w:pPr>
        <w:spacing w:after="120" w:line="480" w:lineRule="auto"/>
        <w:ind w:firstLine="288"/>
        <w:mirrorIndents/>
      </w:pPr>
      <w:r>
        <w:tab/>
        <w:t xml:space="preserve">In this part, I modify the initial regression model (see Column (6) of Figure </w:t>
      </w:r>
      <w:r w:rsidR="005F1772">
        <w:t>8</w:t>
      </w:r>
      <w:r>
        <w:t xml:space="preserve">) by excluding variables with coefficients that are statistically indistinguishable from zero to examine how the results change. </w:t>
      </w:r>
      <w:r w:rsidR="00CA6673">
        <w:t xml:space="preserve">Column 1 in </w:t>
      </w:r>
      <w:r>
        <w:t xml:space="preserve">Figure </w:t>
      </w:r>
      <w:r w:rsidR="005F1772">
        <w:t>9</w:t>
      </w:r>
      <w:r>
        <w:t xml:space="preserve"> summarizes estimates of the regression when controls for gender and number of financially dependent children are excluded from the original model. Exclusion of statistically insignificant variables has </w:t>
      </w:r>
      <w:r w:rsidR="00FE4C51">
        <w:t xml:space="preserve">an </w:t>
      </w:r>
      <w:r>
        <w:t xml:space="preserve">immaterial effect on </w:t>
      </w:r>
      <w:r w:rsidR="00FE4C51">
        <w:t xml:space="preserve">the </w:t>
      </w:r>
      <w:r>
        <w:t xml:space="preserve">original model results. There is no change in goodness of fit and variables that are significant in the original model are still statistically different from zero at </w:t>
      </w:r>
      <w:r w:rsidR="00FE4C51">
        <w:t xml:space="preserve">a </w:t>
      </w:r>
      <w:r>
        <w:t>5% critical level. Coefficients on financial literacy and time preference covariates have marginally increased by 10 basis points.</w:t>
      </w:r>
    </w:p>
    <w:p w:rsidR="00CA6673" w:rsidRDefault="00187955" w:rsidP="00CA6673">
      <w:pPr>
        <w:spacing w:after="120" w:line="480" w:lineRule="auto"/>
        <w:mirrorIndents/>
      </w:pPr>
      <w:r>
        <w:rPr>
          <w:noProof/>
        </w:rPr>
        <mc:AlternateContent>
          <mc:Choice Requires="wps">
            <w:drawing>
              <wp:anchor distT="45720" distB="45720" distL="114300" distR="114300" simplePos="0" relativeHeight="251678720" behindDoc="1" locked="0" layoutInCell="1" allowOverlap="1">
                <wp:simplePos x="0" y="0"/>
                <wp:positionH relativeFrom="column">
                  <wp:posOffset>1623060</wp:posOffset>
                </wp:positionH>
                <wp:positionV relativeFrom="paragraph">
                  <wp:posOffset>-43815</wp:posOffset>
                </wp:positionV>
                <wp:extent cx="2536190" cy="318770"/>
                <wp:effectExtent l="0" t="0" r="0" b="5080"/>
                <wp:wrapTight wrapText="bothSides">
                  <wp:wrapPolygon edited="0">
                    <wp:start x="0" y="0"/>
                    <wp:lineTo x="0" y="21944"/>
                    <wp:lineTo x="21536" y="21944"/>
                    <wp:lineTo x="21536" y="0"/>
                    <wp:lineTo x="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18770"/>
                        </a:xfrm>
                        <a:prstGeom prst="rect">
                          <a:avLst/>
                        </a:prstGeom>
                        <a:solidFill>
                          <a:srgbClr val="FFFFFF"/>
                        </a:solidFill>
                        <a:ln w="9525">
                          <a:solidFill>
                            <a:srgbClr val="000000"/>
                          </a:solidFill>
                          <a:miter lim="800000"/>
                          <a:headEnd/>
                          <a:tailEnd/>
                        </a:ln>
                      </wps:spPr>
                      <wps:txbx>
                        <w:txbxContent>
                          <w:p w:rsidR="00E61942" w:rsidRDefault="00E61942" w:rsidP="005F1772">
                            <w:pPr>
                              <w:jc w:val="center"/>
                            </w:pPr>
                            <w:r>
                              <w:t>Paste Figure 9 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4" type="#_x0000_t202" style="position:absolute;margin-left:127.8pt;margin-top:-3.45pt;width:199.7pt;height:25.1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fELgIAAFg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">
                <v:textbox>
                  <w:txbxContent>
                    <w:p w:rsidR="00E61942" w:rsidRDefault="00E61942" w:rsidP="005F1772">
                      <w:pPr>
                        <w:jc w:val="center"/>
                      </w:pPr>
                      <w:r>
                        <w:t>Paste Figure 9 here</w:t>
                      </w:r>
                    </w:p>
                  </w:txbxContent>
                </v:textbox>
                <w10:wrap type="tight"/>
              </v:shape>
            </w:pict>
          </mc:Fallback>
        </mc:AlternateContent>
      </w:r>
    </w:p>
    <w:p w:rsidR="00CA6673" w:rsidRDefault="001814CC" w:rsidP="001814CC">
      <w:pPr>
        <w:spacing w:after="120" w:line="480" w:lineRule="auto"/>
        <w:mirrorIndents/>
      </w:pPr>
      <w:r>
        <w:tab/>
      </w:r>
      <w:r w:rsidR="000A0F90">
        <w:t xml:space="preserve">One may reasonably argue that </w:t>
      </w:r>
      <w:r w:rsidR="005663F3">
        <w:t xml:space="preserve">many individuals achieve exposure to financial markets via </w:t>
      </w:r>
      <w:r w:rsidR="000A0F90">
        <w:t xml:space="preserve">employment-based and other retirement accounts </w:t>
      </w:r>
      <w:r w:rsidR="005663F3">
        <w:t>which usually also have tax advantages. Thus, it can be argued that retirement accounts are substitutes to non-retirement accounts. To test this proposition, I include an indicator for possession of retirement accounts provided by employer or other non-</w:t>
      </w:r>
      <w:r w:rsidR="005663F3">
        <w:lastRenderedPageBreak/>
        <w:t xml:space="preserve">employment related retirement accounts, or both (retirement variable). Column 2 in Figure 10 shows regression output where the retirement variable is added to the original model. The coefficient on retirement accountis positive, statistically and economically significant. The model predicts that people who hold retirement accounts are 18.7% more likely to invest in non-retirement accounts, which suggest that retirement investments are a complement to non-retirement investments rather than a substitute. </w:t>
      </w:r>
      <w:r w:rsidR="009B3611">
        <w:t xml:space="preserve">The inclusion of </w:t>
      </w:r>
      <w:r w:rsidR="00FE4C51">
        <w:t xml:space="preserve">the </w:t>
      </w:r>
      <w:r w:rsidR="009B3611">
        <w:t xml:space="preserve">retirement accounts indicator led to </w:t>
      </w:r>
      <w:r w:rsidR="00FE4C51">
        <w:t xml:space="preserve">a </w:t>
      </w:r>
      <w:r w:rsidR="009B3611">
        <w:t xml:space="preserve">slight decrease in the marginal effect of </w:t>
      </w:r>
      <w:r w:rsidR="00FE4C51">
        <w:t xml:space="preserve">the </w:t>
      </w:r>
      <w:r w:rsidR="009B3611">
        <w:t xml:space="preserve">financial literacy index, from 2.8% to 2.3%, while the effect still remains statistically different from zero. Hence, without considering the impact of retirement accounts, the model was overestimating the true effect of financial literacy. This can be explained by the fact that there is a positive correlation between financial literacy and possession of retirement accounts as well as positive correlation between investments via retirement accounts and non-retirement accounts. </w:t>
      </w:r>
    </w:p>
    <w:p w:rsidR="00C00275" w:rsidRDefault="001814CC" w:rsidP="00FE4C51">
      <w:pPr>
        <w:spacing w:after="120" w:line="480" w:lineRule="auto"/>
        <w:ind w:firstLine="720"/>
        <w:mirrorIndents/>
      </w:pPr>
      <w:r>
        <w:t>The survey contains a question: “</w:t>
      </w:r>
      <w:r w:rsidRPr="001814CC">
        <w:t xml:space="preserve">How confident are you that you </w:t>
      </w:r>
      <w:r>
        <w:t xml:space="preserve">could come up with $2,000 if an </w:t>
      </w:r>
      <w:r w:rsidRPr="001814CC">
        <w:t>unexpected need arose within the next month?</w:t>
      </w:r>
      <w:r w:rsidR="00E10EC6">
        <w:t>”.</w:t>
      </w:r>
      <w:r w:rsidR="00632AEF">
        <w:t xml:space="preserve"> The question </w:t>
      </w:r>
      <w:r>
        <w:t>assess</w:t>
      </w:r>
      <w:r w:rsidR="00632AEF">
        <w:t>es</w:t>
      </w:r>
      <w:r>
        <w:t xml:space="preserve"> the financial fragility or buffer funds availability.</w:t>
      </w:r>
      <w:r w:rsidR="00A77063">
        <w:t>Liquidity constrain</w:t>
      </w:r>
      <w:r w:rsidR="00FE4C51">
        <w:t>ts</w:t>
      </w:r>
      <w:r w:rsidR="00A77063">
        <w:t xml:space="preserve"> may halt people from investing </w:t>
      </w:r>
      <w:r w:rsidR="00E10EC6">
        <w:t xml:space="preserve">in </w:t>
      </w:r>
      <w:r w:rsidR="00A77063">
        <w:t xml:space="preserve">risky assets. People may face temporary liquidity constraint irrespective of income or socio-demographic status. </w:t>
      </w:r>
      <w:r>
        <w:t xml:space="preserve">Only 42% of </w:t>
      </w:r>
      <w:r w:rsidR="00632AEF">
        <w:t xml:space="preserve">the </w:t>
      </w:r>
      <w:r>
        <w:t xml:space="preserve">respondents in the full sample </w:t>
      </w:r>
      <w:r w:rsidR="00632AEF">
        <w:t xml:space="preserve">responded that </w:t>
      </w:r>
      <w:r>
        <w:t xml:space="preserve">they </w:t>
      </w:r>
      <w:r w:rsidR="00632AEF">
        <w:t xml:space="preserve">are certain that they can come up $2,000 in the next month. I limit </w:t>
      </w:r>
      <w:r w:rsidR="00FE4C51">
        <w:t xml:space="preserve">the </w:t>
      </w:r>
      <w:r w:rsidR="00632AEF">
        <w:t xml:space="preserve">sample to only these individuals to examine if the effect of financial literacy is affected </w:t>
      </w:r>
      <w:r w:rsidR="00E10EC6">
        <w:t>when</w:t>
      </w:r>
      <w:r w:rsidR="006C76E9">
        <w:t xml:space="preserve"> only individuals with spare money are considered. </w:t>
      </w:r>
      <w:r w:rsidR="000E6B67">
        <w:t>Restricted sample results for the original model and the model with retirement accounts are presented in</w:t>
      </w:r>
      <w:r w:rsidR="006C76E9">
        <w:t xml:space="preserve"> Columns 3 and 4 </w:t>
      </w:r>
      <w:r w:rsidR="000E6B67">
        <w:t xml:space="preserve">of </w:t>
      </w:r>
      <w:r w:rsidR="006C76E9">
        <w:t xml:space="preserve">Figure 9 </w:t>
      </w:r>
      <w:r w:rsidR="000E6B67">
        <w:t>respectively.</w:t>
      </w:r>
      <w:r w:rsidR="001A28DC">
        <w:t>In column 3, t</w:t>
      </w:r>
      <w:r w:rsidR="00E10EC6">
        <w:t xml:space="preserve">he effect of financial literacy index on financial market participation decreases to 2.6% compared to 2.8% in initial model, the marginal impacts of risk aversion increases coefficients increases, while the effects of investment horizon declines. Introduction of retirement investments to the restricted model (Column 4) leads to reduction of the marginal effect of financial </w:t>
      </w:r>
      <w:r w:rsidR="00E10EC6">
        <w:lastRenderedPageBreak/>
        <w:t>literacy to 2.2%</w:t>
      </w:r>
      <w:r w:rsidR="001A28DC">
        <w:t xml:space="preserve"> while the retirement investments enter equation with positive and statistically significant effect (20.6%).  There is a modest decline in the coefficients of the variables capturing risk aversion and investment horizon effects compared to the restricted model without retirement account, but marginal effects are still higher compared to the original model (Column 6 in Figure 8). One possible explanation for these results might be that individual investment related characteristics such as risk aversion and investment horizon </w:t>
      </w:r>
      <w:r w:rsidR="00081EDA">
        <w:t xml:space="preserve">are more important for investors that do not face liquidity constraints.  </w:t>
      </w:r>
    </w:p>
    <w:p w:rsidR="00C00275" w:rsidRPr="00866F0C" w:rsidRDefault="00C00275" w:rsidP="00C00275">
      <w:pPr>
        <w:spacing w:after="120" w:line="480" w:lineRule="auto"/>
        <w:mirrorIndents/>
        <w:rPr>
          <w:b/>
        </w:rPr>
      </w:pPr>
      <w:r>
        <w:rPr>
          <w:b/>
        </w:rPr>
        <w:t xml:space="preserve">5.2 </w:t>
      </w:r>
      <w:r w:rsidRPr="00866F0C">
        <w:rPr>
          <w:b/>
        </w:rPr>
        <w:t>Tackling Endogeneity: IV Approach</w:t>
      </w:r>
    </w:p>
    <w:p w:rsidR="00C00275" w:rsidRDefault="00C00275" w:rsidP="00C00275">
      <w:pPr>
        <w:spacing w:after="120" w:line="480" w:lineRule="auto"/>
        <w:ind w:firstLine="720"/>
        <w:mirrorIndents/>
      </w:pPr>
      <w:r w:rsidRPr="00B879D9">
        <w:t xml:space="preserve">One of the major </w:t>
      </w:r>
      <w:r>
        <w:t>challenges</w:t>
      </w:r>
      <w:r w:rsidRPr="00B879D9">
        <w:t xml:space="preserve"> that researchers </w:t>
      </w:r>
      <w:r>
        <w:t xml:space="preserve">facewhen studying the effect of financial literacy on stock ownership is endogeneity due to both reverse causality and measurement error problem. First, while it is believed that financially literate people are more likely to invest in stocks, it is also true to say that experience obtained from participation in the stock market as well as degree of participation conditional on participation will enhance financial literacy of investors. Second, construction of a financial literacy index from correct answers to survey questions is inheritably noisy as some correct answers might be due to simple guessing. Hence, in the presence of the endogeneity the coefficient on financial literacy index is biased and no causal inferences can be made. </w:t>
      </w:r>
    </w:p>
    <w:p w:rsidR="00C00275" w:rsidRDefault="00C00275" w:rsidP="00C00275">
      <w:pPr>
        <w:spacing w:after="120" w:line="480" w:lineRule="auto"/>
        <w:ind w:firstLine="720"/>
        <w:contextualSpacing/>
        <w:mirrorIndents/>
      </w:pPr>
      <w:r>
        <w:t>To address this problem I employ Two-Stage Least Squares Instrumental Variables estimation (2SLS IV), where instrumental variable Z should meet the following two criteria:</w:t>
      </w:r>
    </w:p>
    <w:p w:rsidR="00C00275" w:rsidRDefault="00C00275" w:rsidP="00C00275">
      <w:pPr>
        <w:pStyle w:val="ListParagraph"/>
        <w:numPr>
          <w:ilvl w:val="0"/>
          <w:numId w:val="2"/>
        </w:numPr>
        <w:spacing w:after="120" w:line="480" w:lineRule="auto"/>
        <w:ind w:left="0" w:firstLine="288"/>
        <w:mirrorIndents/>
        <w:rPr>
          <w:rFonts w:ascii="Times New Roman" w:hAnsi="Times New Roman" w:cs="Times New Roman"/>
          <w:sz w:val="24"/>
          <w:szCs w:val="24"/>
        </w:rPr>
      </w:pPr>
      <w:r>
        <w:rPr>
          <w:rFonts w:ascii="Times New Roman" w:hAnsi="Times New Roman" w:cs="Times New Roman"/>
          <w:i/>
          <w:sz w:val="24"/>
          <w:szCs w:val="24"/>
        </w:rPr>
        <w:t xml:space="preserve">Must be </w:t>
      </w:r>
      <w:r w:rsidRPr="00B958A6">
        <w:rPr>
          <w:rFonts w:ascii="Times New Roman" w:hAnsi="Times New Roman" w:cs="Times New Roman"/>
          <w:i/>
          <w:sz w:val="24"/>
          <w:szCs w:val="24"/>
        </w:rPr>
        <w:t>exogenous</w:t>
      </w:r>
      <w:r>
        <w:rPr>
          <w:rFonts w:ascii="Times New Roman" w:hAnsi="Times New Roman" w:cs="Times New Roman"/>
          <w:i/>
          <w:sz w:val="24"/>
          <w:szCs w:val="24"/>
        </w:rPr>
        <w:t xml:space="preserve">:Cov(Z,ϵ) = 0. </w:t>
      </w:r>
      <w:r>
        <w:rPr>
          <w:rFonts w:ascii="Times New Roman" w:hAnsi="Times New Roman" w:cs="Times New Roman"/>
          <w:sz w:val="24"/>
          <w:szCs w:val="24"/>
        </w:rPr>
        <w:t xml:space="preserve">That is,the instrumental variable should </w:t>
      </w:r>
      <w:r w:rsidRPr="00B958A6">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Pr="00B958A6">
        <w:rPr>
          <w:rFonts w:ascii="Times New Roman" w:hAnsi="Times New Roman" w:cs="Times New Roman"/>
          <w:sz w:val="24"/>
          <w:szCs w:val="24"/>
        </w:rPr>
        <w:t xml:space="preserve">correlated (or correlated via its effect on financial literacy) </w:t>
      </w:r>
      <w:r>
        <w:rPr>
          <w:rFonts w:ascii="Times New Roman" w:hAnsi="Times New Roman" w:cs="Times New Roman"/>
          <w:sz w:val="24"/>
          <w:szCs w:val="24"/>
        </w:rPr>
        <w:t>with financial market participation;</w:t>
      </w:r>
    </w:p>
    <w:p w:rsidR="00C00275" w:rsidRPr="00B958A6" w:rsidRDefault="00C00275" w:rsidP="00C00275">
      <w:pPr>
        <w:pStyle w:val="ListParagraph"/>
        <w:numPr>
          <w:ilvl w:val="0"/>
          <w:numId w:val="2"/>
        </w:numPr>
        <w:spacing w:after="120" w:line="480" w:lineRule="auto"/>
        <w:ind w:left="0" w:firstLine="288"/>
        <w:mirrorIndents/>
        <w:rPr>
          <w:rFonts w:ascii="Times New Roman" w:hAnsi="Times New Roman" w:cs="Times New Roman"/>
          <w:sz w:val="24"/>
          <w:szCs w:val="24"/>
        </w:rPr>
      </w:pPr>
      <w:r>
        <w:rPr>
          <w:rFonts w:ascii="Times New Roman" w:hAnsi="Times New Roman" w:cs="Times New Roman"/>
          <w:i/>
          <w:sz w:val="24"/>
          <w:szCs w:val="24"/>
        </w:rPr>
        <w:lastRenderedPageBreak/>
        <w:t>Must be correlated with the endogenous variable (financial literacy)</w:t>
      </w:r>
      <w:r w:rsidRPr="00B958A6">
        <w:rPr>
          <w:rFonts w:ascii="Times New Roman" w:hAnsi="Times New Roman" w:cs="Times New Roman"/>
          <w:sz w:val="24"/>
          <w:szCs w:val="24"/>
        </w:rPr>
        <w:t>:</w:t>
      </w:r>
      <w:r>
        <w:rPr>
          <w:rFonts w:ascii="Times New Roman" w:hAnsi="Times New Roman" w:cs="Times New Roman"/>
          <w:i/>
          <w:sz w:val="24"/>
          <w:szCs w:val="24"/>
        </w:rPr>
        <w:t>Cov(Z,Financial Literacy) ≠ 0</w:t>
      </w:r>
      <w:r>
        <w:rPr>
          <w:rFonts w:ascii="Times New Roman" w:hAnsi="Times New Roman" w:cs="Times New Roman"/>
          <w:sz w:val="24"/>
          <w:szCs w:val="24"/>
        </w:rPr>
        <w:t xml:space="preserve"> . That is, the instrumental variable should have a </w:t>
      </w:r>
      <w:r w:rsidRPr="00B958A6">
        <w:rPr>
          <w:rFonts w:ascii="Times New Roman" w:hAnsi="Times New Roman" w:cs="Times New Roman"/>
          <w:sz w:val="24"/>
          <w:szCs w:val="24"/>
        </w:rPr>
        <w:t>strong statistical relationship with financial literacy</w:t>
      </w:r>
    </w:p>
    <w:p w:rsidR="00C00275" w:rsidRDefault="00C00275" w:rsidP="00C00275">
      <w:pPr>
        <w:spacing w:after="120" w:line="480" w:lineRule="auto"/>
        <w:ind w:firstLine="720"/>
        <w:contextualSpacing/>
        <w:mirrorIndents/>
      </w:pPr>
      <w:r>
        <w:t xml:space="preserve">Several studies find that personal finance education mandates in the U.S. high schools lead to improved financial decision-making. Bernheim et al. (2001) find that exposure to high school financial curricula stimulates personal saving behavior. Brown et al. (2014) apply a difference-in-difference study on three states (Idaho, Georgia and Texas) where personal finance mandates were implemented. They discover that young people who are exposed to such mandates have improved credit behavior given by better credit scores and lower delinquency rates on credit cards. </w:t>
      </w:r>
    </w:p>
    <w:p w:rsidR="00C00275" w:rsidRDefault="00C00275" w:rsidP="00C00275">
      <w:pPr>
        <w:spacing w:after="120" w:line="480" w:lineRule="auto"/>
        <w:ind w:firstLine="720"/>
        <w:contextualSpacing/>
        <w:mirrorIndents/>
      </w:pPr>
      <w:r>
        <w:t xml:space="preserve">Motivated by these studies I attempt to instrument the financial literacy index using high school mandates. First, it is believed that enactment of personal finance mandates are driven by pure political motives rather than being dictated by the needs of the general public(Bernheim et al., 2001). Therefore, it is plausible to assume that personal finance mandates are exogenous and not correlated with financial market participation. Second, I expect that exposure to financial curriculum in high school should enhance overall financial knowledge, although the effect of the mandates is expected to decline as people age.  </w:t>
      </w:r>
    </w:p>
    <w:p w:rsidR="00C00275" w:rsidRDefault="00C00275" w:rsidP="00C00275">
      <w:pPr>
        <w:spacing w:after="120" w:line="480" w:lineRule="auto"/>
        <w:ind w:firstLine="720"/>
        <w:contextualSpacing/>
        <w:mirrorIndents/>
      </w:pPr>
      <w:r>
        <w:t xml:space="preserve">Personal finance mandates in the U.S. take two basic forms. One type of mandate is when a state requires schools to offer personal finance classes, and second when a state requires students to take personal finance classes. In either case many states allow incorporation of personal finance curriculum into another related class such as economics or business. Cole et al. (2015) find no relationship between course offering requirements and financial decision-making. I will use the indicator for a stricter mandate, which requires students to take standalone personal finance class, or a class that incorporates personal finance education. </w:t>
      </w:r>
    </w:p>
    <w:p w:rsidR="007D7DB1" w:rsidRDefault="00C00275" w:rsidP="00C00275">
      <w:pPr>
        <w:spacing w:after="120" w:line="480" w:lineRule="auto"/>
        <w:ind w:firstLine="720"/>
        <w:contextualSpacing/>
        <w:mirrorIndents/>
      </w:pPr>
      <w:r>
        <w:lastRenderedPageBreak/>
        <w:t xml:space="preserve">To construct an instrument I will use a recently compiled database by FINRA (2015) on state-mandated personal finance education, which contains statistics from 1970 to 2014. Since the data set provides with no information about the state where respondents have received high school education I will be assuming that the state of current residence is the same as the state where they have graduated high school. I will match the personal finance mandate in place at the state when respondents were 18 and exclude respondents without high school education from the sample. Following this approach exposure to personal finance requirement at school can be derived for respondents up to age 62.  Furthermore, additional information from the data set has been used to attempt to correct measurement error from assuming that state of residence is the same as the place where the respondent obtained high school degree. Specifically, the survey asks respondents whether they have been offered any financial education in high school, college or workplace. If they answer yes, further follow-up questions are asked to determine where they have received financial education. Figure 9 combines relevant survey questions and personal finance mandates adjusting to match respondent age and state of potential high school graduation. Accuracy of the instrument can be approximately measured by the percentage of responses that are consistent with the personal finance mandate. That is, if the personal finance class is required to be taken, we should expect individuals to answer yes to the question about attainment of financial education during high school. However, only 449 out of 2,226 individuals predicted by the instrument (20.2%) responded that they have received financial education in high school. In contrast, in states where personal finance mandate is not required, the match is 86.3% (11,618/13,456). In the former case mismatch can be attributed to the fact that individuals are more likely to forget and answer that they have not taken a high school class on personal finance. In the latter case it can simply be explained by the fact that students might have taken an </w:t>
      </w:r>
      <w:r>
        <w:lastRenderedPageBreak/>
        <w:t xml:space="preserve">elective class covering finance in high school in states without personal finance requirement. It is also possible that the assumption that a person’s current state of residence approximates the state where high school was attended may not be valid, and creates additional noise and measurement error. Furthermore, there is no possibility check if cells that have matched state mandate predictions with survey response truly represent personal finance requirement treatment or not treatment, or simply coincidence. For example, respondents who have received financial education in high school do not necessarily have to be in the states that have personal finance mandate in place as they can take such class if it was offered but not mandated. Respondents who have taken a personal finance class when it was not required by state or they forget that such class has been taken are not going to representative of the effect of true high school mandate. To account for this, I will exclude observations where there is a mismatch between the instrument’s prediction and survey response question and hence final sample for 2SLS IV estimation will consist of 12,067 </w:t>
      </w:r>
      <w:r w:rsidR="00187955">
        <w:rPr>
          <w:noProof/>
        </w:rPr>
        <mc:AlternateContent>
          <mc:Choice Requires="wps">
            <w:drawing>
              <wp:anchor distT="45720" distB="45720" distL="114300" distR="114300" simplePos="0" relativeHeight="251679744" behindDoc="1" locked="0" layoutInCell="1" allowOverlap="1">
                <wp:simplePos x="0" y="0"/>
                <wp:positionH relativeFrom="column">
                  <wp:posOffset>1631950</wp:posOffset>
                </wp:positionH>
                <wp:positionV relativeFrom="paragraph">
                  <wp:posOffset>6929755</wp:posOffset>
                </wp:positionV>
                <wp:extent cx="2536190" cy="318770"/>
                <wp:effectExtent l="0" t="0" r="0" b="5080"/>
                <wp:wrapTight wrapText="bothSides">
                  <wp:wrapPolygon edited="0">
                    <wp:start x="0" y="0"/>
                    <wp:lineTo x="0" y="21944"/>
                    <wp:lineTo x="21536" y="21944"/>
                    <wp:lineTo x="21536" y="0"/>
                    <wp:lineTo x="0"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18770"/>
                        </a:xfrm>
                        <a:prstGeom prst="rect">
                          <a:avLst/>
                        </a:prstGeom>
                        <a:solidFill>
                          <a:srgbClr val="FFFFFF"/>
                        </a:solidFill>
                        <a:ln w="9525">
                          <a:solidFill>
                            <a:srgbClr val="000000"/>
                          </a:solidFill>
                          <a:miter lim="800000"/>
                          <a:headEnd/>
                          <a:tailEnd/>
                        </a:ln>
                      </wps:spPr>
                      <wps:txbx>
                        <w:txbxContent>
                          <w:p w:rsidR="00E61942" w:rsidRDefault="00E61942" w:rsidP="007D7DB1">
                            <w:pPr>
                              <w:jc w:val="center"/>
                            </w:pPr>
                            <w:r>
                              <w:t>Paste Figure 10 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35" type="#_x0000_t202" style="position:absolute;left:0;text-align:left;margin-left:128.5pt;margin-top:545.65pt;width:199.7pt;height:25.1pt;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afLgIAAFg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">
                <v:textbox>
                  <w:txbxContent>
                    <w:p w:rsidR="00E61942" w:rsidRDefault="00E61942" w:rsidP="007D7DB1">
                      <w:pPr>
                        <w:jc w:val="center"/>
                      </w:pPr>
                      <w:r>
                        <w:t>Paste Figure 10 here</w:t>
                      </w:r>
                    </w:p>
                  </w:txbxContent>
                </v:textbox>
                <w10:wrap type="tight"/>
              </v:shape>
            </w:pict>
          </mc:Fallback>
        </mc:AlternateContent>
      </w:r>
      <w:r>
        <w:t>observations</w:t>
      </w:r>
      <w:r w:rsidR="007D7DB1">
        <w:t>(see table below)</w:t>
      </w:r>
      <w:r>
        <w:t>.</w:t>
      </w:r>
    </w:p>
    <w:p w:rsidR="00C00275" w:rsidRDefault="00C00275" w:rsidP="001814CC">
      <w:pPr>
        <w:spacing w:after="120" w:line="480" w:lineRule="auto"/>
        <w:contextualSpacing/>
        <w:mirrorIndents/>
      </w:pPr>
    </w:p>
    <w:p w:rsidR="00C00275" w:rsidRDefault="00187955" w:rsidP="00C00275">
      <w:pPr>
        <w:spacing w:after="120" w:line="480" w:lineRule="auto"/>
        <w:ind w:firstLine="720"/>
        <w:mirrorIndents/>
      </w:pPr>
      <w:r>
        <w:rPr>
          <w:noProof/>
        </w:rPr>
        <mc:AlternateContent>
          <mc:Choice Requires="wps">
            <w:drawing>
              <wp:anchor distT="45720" distB="45720" distL="114300" distR="114300" simplePos="0" relativeHeight="251680768" behindDoc="1" locked="0" layoutInCell="1" allowOverlap="1">
                <wp:simplePos x="0" y="0"/>
                <wp:positionH relativeFrom="column">
                  <wp:posOffset>1607185</wp:posOffset>
                </wp:positionH>
                <wp:positionV relativeFrom="paragraph">
                  <wp:posOffset>1016635</wp:posOffset>
                </wp:positionV>
                <wp:extent cx="2541905" cy="318770"/>
                <wp:effectExtent l="0" t="0" r="0" b="5080"/>
                <wp:wrapTight wrapText="bothSides">
                  <wp:wrapPolygon edited="0">
                    <wp:start x="0" y="0"/>
                    <wp:lineTo x="0" y="21944"/>
                    <wp:lineTo x="21536" y="21944"/>
                    <wp:lineTo x="21536"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18770"/>
                        </a:xfrm>
                        <a:prstGeom prst="rect">
                          <a:avLst/>
                        </a:prstGeom>
                        <a:solidFill>
                          <a:srgbClr val="FFFFFF"/>
                        </a:solidFill>
                        <a:ln w="9525">
                          <a:solidFill>
                            <a:srgbClr val="000000"/>
                          </a:solidFill>
                          <a:miter lim="800000"/>
                          <a:headEnd/>
                          <a:tailEnd/>
                        </a:ln>
                      </wps:spPr>
                      <wps:txbx>
                        <w:txbxContent>
                          <w:p w:rsidR="00E61942" w:rsidRDefault="00E61942" w:rsidP="007D7DB1">
                            <w:pPr>
                              <w:jc w:val="center"/>
                            </w:pPr>
                            <w:r>
                              <w:t>Paste Figure 11 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6" type="#_x0000_t202" style="position:absolute;left:0;text-align:left;margin-left:126.55pt;margin-top:80.05pt;width:200.15pt;height:25.1pt;z-index:-251635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">
                <v:textbox>
                  <w:txbxContent>
                    <w:p w:rsidR="00E61942" w:rsidRDefault="00E61942" w:rsidP="007D7DB1">
                      <w:pPr>
                        <w:jc w:val="center"/>
                      </w:pPr>
                      <w:r>
                        <w:t>Paste Figure 11 here</w:t>
                      </w:r>
                    </w:p>
                  </w:txbxContent>
                </v:textbox>
                <w10:wrap type="tight"/>
              </v:shape>
            </w:pict>
          </mc:Fallback>
        </mc:AlternateContent>
      </w:r>
      <w:r w:rsidR="00C00275">
        <w:t>Figure 1</w:t>
      </w:r>
      <w:r w:rsidR="007D7DB1">
        <w:t>1</w:t>
      </w:r>
      <w:r w:rsidR="00C00275">
        <w:t xml:space="preserve"> reports 2SLS IV results both when only personal finance mandate is used as an instrument (Model 1) and when both personal finance mandate and its interaction with age are included as instruments (Model 2). </w:t>
      </w:r>
    </w:p>
    <w:p w:rsidR="007D7DB1" w:rsidRDefault="007D7DB1" w:rsidP="00C00275">
      <w:pPr>
        <w:spacing w:after="120" w:line="480" w:lineRule="auto"/>
        <w:ind w:firstLine="720"/>
        <w:mirrorIndents/>
      </w:pPr>
    </w:p>
    <w:p w:rsidR="00C00275" w:rsidRDefault="00C00275" w:rsidP="00C00275">
      <w:pPr>
        <w:spacing w:before="120" w:after="120" w:line="480" w:lineRule="auto"/>
        <w:ind w:firstLine="720"/>
        <w:mirrorIndents/>
      </w:pPr>
      <w:r>
        <w:t xml:space="preserve">In Model 1, the coefficient on personal finance education in the first stage regression is positive and statistically significant, while the second stage results show that financial literacy has a strong and statistically significant effect on financial market participation. Inclusion of an additional instrument in Model 2 improves the R squared of the first regression from almost zero to 0.108. Interaction of personal finance mandate with age has a statistically significant negative effect of financial literacy, </w:t>
      </w:r>
      <w:r>
        <w:lastRenderedPageBreak/>
        <w:t>while the impact of state personal finance requirement has almost tripled holding age and other factors constant. The marginal effect of financial literacy on financial market participation is lower compared to Model 1 results, however, it is still positive, statistically significant and considerably larger than the OLS estimate. These results are consistent with the findings of other studies that have obtained IV financial knowledge estimates that are significantly larger than OLS estimates (see Christiansen et</w:t>
      </w:r>
      <w:r w:rsidRPr="0018034F">
        <w:t xml:space="preserve"> al. (2008), Lusardi and Mitchell (2008), Fornero and</w:t>
      </w:r>
      <w:r>
        <w:t xml:space="preserve"> Monticone (2012), van Rooij et al. (2012), Behrman et</w:t>
      </w:r>
      <w:r w:rsidRPr="0018034F">
        <w:t xml:space="preserve"> al. (2012)).</w:t>
      </w:r>
      <w:r>
        <w:t xml:space="preserve"> Lusardi and Mitchell (2014) explain that attainment of larger than OLS estimate when employing IV approach may suggest that individuals who are exposed to instruments might have larger response rates or indicate measurement error. Alternatively, Lusardi and Mitchell claim that it may simply mean that OLS estimates underestimate the ‘true’ effect of financial literacy.     </w:t>
      </w:r>
    </w:p>
    <w:p w:rsidR="00C00275" w:rsidRPr="00EF12BF" w:rsidRDefault="00C00275" w:rsidP="00EF12BF">
      <w:pPr>
        <w:spacing w:after="120" w:line="480" w:lineRule="auto"/>
        <w:ind w:firstLine="720"/>
        <w:mirrorIndents/>
      </w:pPr>
      <w:r>
        <w:t xml:space="preserve">In Model 1, </w:t>
      </w:r>
      <w:r w:rsidR="00FE4C51">
        <w:t xml:space="preserve">the </w:t>
      </w:r>
      <w:r>
        <w:t xml:space="preserve">first stage regression </w:t>
      </w:r>
      <w:r w:rsidRPr="00122A8C">
        <w:t xml:space="preserve">Kleinbergen-Paap </w:t>
      </w:r>
      <w:r>
        <w:t xml:space="preserve">F-statistic which is used in the presence of heterscedasticity robust standard errors is greater than 10 which is above the threshold recommended by Staiger and Stock (1997) to avoid weak instruments bias. In Model 2, however, </w:t>
      </w:r>
      <w:r w:rsidR="00FE4C51">
        <w:t xml:space="preserve">the </w:t>
      </w:r>
      <w:r w:rsidRPr="00122A8C">
        <w:t xml:space="preserve">Kleinbergen-Paap </w:t>
      </w:r>
      <w:r>
        <w:t xml:space="preserve">F-statistic is 9.92 which given critical values estimated by Stock and Yogo (2005) can only </w:t>
      </w:r>
      <w:r w:rsidRPr="00122A8C">
        <w:t xml:space="preserve">reject the null hypothesis that the maximum relative bias due to weak instruments is </w:t>
      </w:r>
      <w:r>
        <w:t>2</w:t>
      </w:r>
      <w:r w:rsidRPr="00122A8C">
        <w:t>0%</w:t>
      </w:r>
      <w:r>
        <w:t xml:space="preserve">. On the other hand, inclusion of two instruments in Model 2 allows testing for exogeneity of instrument condition. Hansen J-test indicate that over-identifying restrictions cannot be rejected, which implies that personal finance mandates are exogenous and do not correlate with financial market participation. Hausman (1978) suggest that OLS and 2SLS estimates can be compared to find if differences are significant to conclude that the instrumented variable is in fact endogenous. In Model 2, the null hypothesis from the endogeneity test cannot </w:t>
      </w:r>
      <w:r>
        <w:lastRenderedPageBreak/>
        <w:t>be rejected at 5% critical level, which suggests that both OLS and IV estimates are consistent, but the IV estimate is inefficient.</w:t>
      </w:r>
    </w:p>
    <w:p w:rsidR="00C00275" w:rsidRPr="006D3B6F" w:rsidRDefault="00C00275" w:rsidP="00C00275">
      <w:pPr>
        <w:spacing w:after="120" w:line="480" w:lineRule="auto"/>
        <w:mirrorIndents/>
        <w:rPr>
          <w:b/>
        </w:rPr>
      </w:pPr>
      <w:r>
        <w:rPr>
          <w:b/>
        </w:rPr>
        <w:t xml:space="preserve">5.3 </w:t>
      </w:r>
      <w:r w:rsidRPr="006D3B6F">
        <w:rPr>
          <w:b/>
        </w:rPr>
        <w:t>Alternative Models: Logit and Probit</w:t>
      </w:r>
    </w:p>
    <w:p w:rsidR="00C00275" w:rsidRDefault="00187955" w:rsidP="00C00275">
      <w:pPr>
        <w:spacing w:after="120" w:line="480" w:lineRule="auto"/>
        <w:ind w:firstLine="720"/>
        <w:mirrorIndents/>
      </w:pPr>
      <w:r>
        <w:rPr>
          <w:noProof/>
        </w:rPr>
        <mc:AlternateContent>
          <mc:Choice Requires="wps">
            <w:drawing>
              <wp:anchor distT="45720" distB="45720" distL="114300" distR="114300" simplePos="0" relativeHeight="251681792" behindDoc="1" locked="0" layoutInCell="1" allowOverlap="1">
                <wp:simplePos x="0" y="0"/>
                <wp:positionH relativeFrom="column">
                  <wp:posOffset>1544320</wp:posOffset>
                </wp:positionH>
                <wp:positionV relativeFrom="paragraph">
                  <wp:posOffset>3368675</wp:posOffset>
                </wp:positionV>
                <wp:extent cx="2540000" cy="318770"/>
                <wp:effectExtent l="0" t="0" r="0" b="5080"/>
                <wp:wrapTight wrapText="bothSides">
                  <wp:wrapPolygon edited="0">
                    <wp:start x="0" y="0"/>
                    <wp:lineTo x="0" y="21944"/>
                    <wp:lineTo x="21536" y="21944"/>
                    <wp:lineTo x="21536"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18770"/>
                        </a:xfrm>
                        <a:prstGeom prst="rect">
                          <a:avLst/>
                        </a:prstGeom>
                        <a:solidFill>
                          <a:srgbClr val="FFFFFF"/>
                        </a:solidFill>
                        <a:ln w="9525">
                          <a:solidFill>
                            <a:srgbClr val="000000"/>
                          </a:solidFill>
                          <a:miter lim="800000"/>
                          <a:headEnd/>
                          <a:tailEnd/>
                        </a:ln>
                      </wps:spPr>
                      <wps:txbx>
                        <w:txbxContent>
                          <w:p w:rsidR="00E61942" w:rsidRDefault="00E61942" w:rsidP="00B45CC3">
                            <w:pPr>
                              <w:jc w:val="center"/>
                            </w:pPr>
                            <w:r>
                              <w:t>Paste Figure 12 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7" type="#_x0000_t202" style="position:absolute;left:0;text-align:left;margin-left:121.6pt;margin-top:265.25pt;width:200pt;height:25.1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">
                <v:textbox>
                  <w:txbxContent>
                    <w:p w:rsidR="00E61942" w:rsidRDefault="00E61942" w:rsidP="00B45CC3">
                      <w:pPr>
                        <w:jc w:val="center"/>
                      </w:pPr>
                      <w:r>
                        <w:t>Paste Figure 12 here</w:t>
                      </w:r>
                    </w:p>
                  </w:txbxContent>
                </v:textbox>
                <w10:wrap type="tight"/>
              </v:shape>
            </w:pict>
          </mc:Fallback>
        </mc:AlternateContent>
      </w:r>
      <w:r w:rsidR="00C00275">
        <w:t>The OLS has three major shortcomings. First, predictions or fitted values are not bound by 0 and 1. Second, as it has already been mentioned residuals are heteroscedastic by construct unless the probability of owning non-retirement accounts is the same for all individuals, which is probably not the case. Third, the OLS assumes that marginal effects are the same for all values of independent variables.  Logit and Probit models can be used to overcome these disadvantages of the OLS estimation. Figure 1</w:t>
      </w:r>
      <w:r w:rsidR="00B45CC3">
        <w:t>2</w:t>
      </w:r>
      <w:r w:rsidR="00C00275">
        <w:t xml:space="preserve"> below presents average marginal effects from Logit and Probit models. Marginal effects of financial literacy on financial market participation from both Logit and Probit models are similar and slightly larger than estimate obtained from comparable OLS regression (Column 6 in Figure </w:t>
      </w:r>
      <w:r w:rsidR="00B45CC3">
        <w:t>8</w:t>
      </w:r>
      <w:r w:rsidR="00C00275">
        <w:t xml:space="preserve">). Control variables in both Logit and Probit models have the same sign and statistical significance as in OLS model. </w:t>
      </w:r>
    </w:p>
    <w:p w:rsidR="00B45CC3" w:rsidRDefault="00B45CC3" w:rsidP="00C00275">
      <w:pPr>
        <w:spacing w:after="120" w:line="480" w:lineRule="auto"/>
        <w:ind w:firstLine="720"/>
        <w:mirrorIndents/>
      </w:pPr>
    </w:p>
    <w:p w:rsidR="00C00275" w:rsidRDefault="00C00275" w:rsidP="00C00275">
      <w:pPr>
        <w:spacing w:after="120" w:line="480" w:lineRule="auto"/>
        <w:ind w:firstLine="720"/>
        <w:mirrorIndents/>
      </w:pPr>
      <w:r>
        <w:t xml:space="preserve">Furthermore, goodness of fit measured by pseudo R squared from Logit and Probit regressions is similar up to three decimal points. Another measure of goodness of fit for models with dichotomous outcome variables </w:t>
      </w:r>
      <w:r w:rsidRPr="00660E0B">
        <w:rPr>
          <w:i/>
        </w:rPr>
        <w:t>percentage of correct predictions</w:t>
      </w:r>
      <w:r>
        <w:t xml:space="preserve"> is only marginally different in OLS, Logit and Probit models and equal to 73.36%, 73.31% and 73.34%.  </w:t>
      </w:r>
    </w:p>
    <w:p w:rsidR="00C00275" w:rsidRDefault="00C00275" w:rsidP="00C00275">
      <w:pPr>
        <w:spacing w:after="120" w:line="480" w:lineRule="auto"/>
        <w:ind w:firstLine="720"/>
        <w:mirrorIndents/>
      </w:pPr>
      <w:r>
        <w:t xml:space="preserve">Hence, it can be concluded that both Logit and Probit regression results are not significantly different from OLS results and estimates are still biased without controlling for endogeneity of financial literacy measure.  </w:t>
      </w:r>
    </w:p>
    <w:p w:rsidR="00C00275" w:rsidRPr="00FD22EF" w:rsidRDefault="00C00275" w:rsidP="00C00275">
      <w:pPr>
        <w:spacing w:after="120" w:line="480" w:lineRule="auto"/>
        <w:mirrorIndents/>
        <w:rPr>
          <w:b/>
        </w:rPr>
      </w:pPr>
      <w:r>
        <w:rPr>
          <w:b/>
        </w:rPr>
        <w:t xml:space="preserve">6. </w:t>
      </w:r>
      <w:r w:rsidRPr="00FD22EF">
        <w:rPr>
          <w:b/>
        </w:rPr>
        <w:t>Summary</w:t>
      </w:r>
    </w:p>
    <w:p w:rsidR="00C00275" w:rsidRDefault="00C00275" w:rsidP="00C00275">
      <w:pPr>
        <w:spacing w:after="120" w:line="480" w:lineRule="auto"/>
        <w:ind w:firstLine="720"/>
        <w:mirrorIndents/>
      </w:pPr>
      <w:r>
        <w:lastRenderedPageBreak/>
        <w:t>In this paper I found that that financial knowledge is positively associated with financial market participation. No causal claims about the effect of financial knowledge are made because the financial knowledge measure is potentially endogenous. Nevertheless, we can still make causal inferences about the impact of risk aversion and time preferences on financial market participation. Irrespective of the estimation approach I find that investors with longer investment time horizons are more likely to invest in financial market securities. Furthermore, in line with standard portfolio theory I find that probability to invest in financial market securities is positively associated with willingness to bear investment risks. Logit and Probit estimates do not differ significantly from OLS regression results, and cannot be used as a measure to account for potential endogeneity problem. 2SLS IV estimation results are mixed at best. Inclusion of two instruments significantly improves goodness of fit and allows testing instrument exogeneity. But there is potential weak instrument bias suggesting that OLS and 2SLS estimates are not significantly different.  Furthermore, adjustments to personal finance mandate measure to account for mismatch between actual data and insights from relevant survey questions as well as the assumption that respondents are living in the states where they have graduated high school casts plausible doubts about the validity of the instrument.</w:t>
      </w:r>
    </w:p>
    <w:p w:rsidR="00C00275" w:rsidRDefault="00C00275" w:rsidP="00B45CC3">
      <w:pPr>
        <w:spacing w:after="120" w:line="480" w:lineRule="auto"/>
        <w:ind w:firstLine="720"/>
        <w:mirrorIndents/>
      </w:pPr>
      <w:r>
        <w:t>Although the data set that has been used has a rich set of explanatory variables, it should also be stated almost all variables are dichotomous, limiting variability of the data. Further research can be focused to properly address the endogeneity problem associated with the measure of financial knowledge. High school mandates on personal finance education can be a good instrument for financial literacy if it would be possible to accurately differentiate individuals that were affected by the state mandate.</w:t>
      </w:r>
    </w:p>
    <w:p w:rsidR="00A2027E" w:rsidRPr="00C00275" w:rsidRDefault="00EB7718" w:rsidP="00EB7718">
      <w:pPr>
        <w:spacing w:after="120" w:line="480" w:lineRule="auto"/>
        <w:ind w:firstLine="720"/>
        <w:mirrorIndents/>
      </w:pPr>
      <w:r>
        <w:lastRenderedPageBreak/>
        <w:t xml:space="preserve">The results from obtained in this study have major policy implications. Government should stimulate educational programs aimed at enhancing consumer financial literacy as well as make current and prospective investors aware of the equity premium. </w:t>
      </w:r>
    </w:p>
    <w:p w:rsidR="00FE5AF8" w:rsidRDefault="00FE5AF8">
      <w:pPr>
        <w:rPr>
          <w:b/>
        </w:rPr>
      </w:pPr>
      <w:r>
        <w:rPr>
          <w:b/>
        </w:rPr>
        <w:br w:type="page"/>
      </w:r>
    </w:p>
    <w:p w:rsidR="00B165A8" w:rsidRDefault="00D51188" w:rsidP="00226A8E">
      <w:pPr>
        <w:spacing w:after="120" w:line="480" w:lineRule="auto"/>
        <w:mirrorIndents/>
        <w:rPr>
          <w:b/>
        </w:rPr>
      </w:pPr>
      <w:r w:rsidRPr="00EF2B12">
        <w:rPr>
          <w:b/>
        </w:rPr>
        <w:lastRenderedPageBreak/>
        <w:t>References</w:t>
      </w:r>
    </w:p>
    <w:p w:rsidR="00D12F2D" w:rsidRPr="0019081D" w:rsidRDefault="00D12F2D" w:rsidP="00D12F2D">
      <w:pPr>
        <w:spacing w:after="120" w:line="360" w:lineRule="auto"/>
        <w:ind w:firstLine="288"/>
        <w:mirrorIndents/>
      </w:pPr>
      <w:r>
        <w:t>Arrondel, L., Debbich, M., &amp; Savigna</w:t>
      </w:r>
      <w:r w:rsidR="0019081D">
        <w:t xml:space="preserve">k, F. (2015). Stockholding in France: the role of financial literacy and information. </w:t>
      </w:r>
      <w:r w:rsidR="0019081D" w:rsidRPr="0019081D">
        <w:rPr>
          <w:i/>
        </w:rPr>
        <w:t>Applied Economics Letters</w:t>
      </w:r>
      <w:r w:rsidR="0019081D">
        <w:t xml:space="preserve">, </w:t>
      </w:r>
      <w:r w:rsidR="0019081D" w:rsidRPr="0019081D">
        <w:rPr>
          <w:i/>
        </w:rPr>
        <w:t>22</w:t>
      </w:r>
      <w:r w:rsidR="0019081D">
        <w:t>(16), 1315-1319, doi: http://dx.doi.org/10.1080/13504851.2015.1026578</w:t>
      </w:r>
    </w:p>
    <w:p w:rsidR="00B4401C" w:rsidRDefault="00B4401C" w:rsidP="00226A8E">
      <w:pPr>
        <w:spacing w:after="120" w:line="360" w:lineRule="auto"/>
        <w:ind w:firstLine="288"/>
        <w:mirrorIndents/>
      </w:pPr>
      <w:r>
        <w:t xml:space="preserve">Balloch, A., Nicolae A., &amp; Philip, D. (2014). Stock market literacy, trust and participation. </w:t>
      </w:r>
      <w:r>
        <w:rPr>
          <w:i/>
        </w:rPr>
        <w:t>Review of Finance</w:t>
      </w:r>
      <w:r>
        <w:t xml:space="preserve">, </w:t>
      </w:r>
      <w:r>
        <w:rPr>
          <w:i/>
        </w:rPr>
        <w:t>19</w:t>
      </w:r>
      <w:r>
        <w:t xml:space="preserve">(5). </w:t>
      </w:r>
      <w:r w:rsidR="0019081D">
        <w:t>doi:</w:t>
      </w:r>
      <w:r w:rsidRPr="00B7329C">
        <w:t>10.1093/rof/rfu040</w:t>
      </w:r>
    </w:p>
    <w:p w:rsidR="00B4401C" w:rsidRDefault="00B4401C" w:rsidP="00226A8E">
      <w:pPr>
        <w:spacing w:after="120" w:line="360" w:lineRule="auto"/>
        <w:ind w:firstLine="288"/>
        <w:mirrorIndents/>
      </w:pPr>
      <w:r>
        <w:t xml:space="preserve">Barnea, A., Cronqvist, H., &amp; Siegel, S. (2010). Nature or Nurture: What determines investor behavior. </w:t>
      </w:r>
      <w:r w:rsidRPr="00F66A49">
        <w:rPr>
          <w:i/>
        </w:rPr>
        <w:t>Journal of Financial Economics</w:t>
      </w:r>
      <w:r>
        <w:t xml:space="preserve">, </w:t>
      </w:r>
      <w:r w:rsidRPr="00F66A49">
        <w:rPr>
          <w:i/>
        </w:rPr>
        <w:t>98</w:t>
      </w:r>
      <w:r>
        <w:t xml:space="preserve">, 583-604. </w:t>
      </w:r>
      <w:r w:rsidRPr="00F66A49">
        <w:t>doi:10.1016/j.jﬁneco.2010.08.001</w:t>
      </w:r>
    </w:p>
    <w:p w:rsidR="00B4401C" w:rsidRDefault="00B4401C" w:rsidP="00226A8E">
      <w:pPr>
        <w:spacing w:after="120" w:line="360" w:lineRule="auto"/>
        <w:ind w:firstLine="288"/>
        <w:mirrorIndents/>
      </w:pPr>
      <w:r w:rsidRPr="0018034F">
        <w:t>Behrman, J</w:t>
      </w:r>
      <w:r>
        <w:t>.,</w:t>
      </w:r>
      <w:r w:rsidRPr="0018034F">
        <w:t xml:space="preserve"> Mitchell,</w:t>
      </w:r>
      <w:r>
        <w:t xml:space="preserve"> O.,</w:t>
      </w:r>
      <w:r w:rsidRPr="0018034F">
        <w:t xml:space="preserve"> Soo,</w:t>
      </w:r>
      <w:r>
        <w:t xml:space="preserve"> C.,&amp;Bravo, D.(</w:t>
      </w:r>
      <w:r w:rsidRPr="0018034F">
        <w:t>2012</w:t>
      </w:r>
      <w:r>
        <w:t xml:space="preserve">). </w:t>
      </w:r>
      <w:r w:rsidRPr="0018034F">
        <w:t>How Financial Literacy Affects</w:t>
      </w:r>
      <w:r>
        <w:t xml:space="preserve"> Household Wealth Accumulation.</w:t>
      </w:r>
      <w:r w:rsidRPr="00B4401C">
        <w:rPr>
          <w:i/>
        </w:rPr>
        <w:t>American Economic Review</w:t>
      </w:r>
      <w:r>
        <w:rPr>
          <w:i/>
        </w:rPr>
        <w:t>,</w:t>
      </w:r>
      <w:r w:rsidRPr="00B4401C">
        <w:rPr>
          <w:i/>
        </w:rPr>
        <w:t>102</w:t>
      </w:r>
      <w:r>
        <w:t xml:space="preserve"> (3),</w:t>
      </w:r>
      <w:r w:rsidRPr="0018034F">
        <w:t xml:space="preserve"> 300–304.</w:t>
      </w:r>
    </w:p>
    <w:p w:rsidR="00B4401C" w:rsidRDefault="00B4401C" w:rsidP="00226A8E">
      <w:pPr>
        <w:spacing w:after="120" w:line="360" w:lineRule="auto"/>
        <w:ind w:firstLine="288"/>
        <w:mirrorIndents/>
      </w:pPr>
      <w:r w:rsidRPr="00F66A49">
        <w:t>Bernheim,D.,Garrett,</w:t>
      </w:r>
      <w:r>
        <w:t xml:space="preserve"> D., &amp;</w:t>
      </w:r>
      <w:r w:rsidRPr="00F66A49">
        <w:t>Maki</w:t>
      </w:r>
      <w:r>
        <w:t>, D. (</w:t>
      </w:r>
      <w:r w:rsidRPr="00F66A49">
        <w:t>2001</w:t>
      </w:r>
      <w:r>
        <w:t>)</w:t>
      </w:r>
      <w:r w:rsidRPr="00F66A49">
        <w:t xml:space="preserve">.Educationandsaving:Thelong-termeffectsofhighschoolﬁnancial curriculum mandates. </w:t>
      </w:r>
      <w:r w:rsidRPr="00F66A49">
        <w:rPr>
          <w:i/>
        </w:rPr>
        <w:t>Journal of Public Economics</w:t>
      </w:r>
      <w:r>
        <w:t xml:space="preserve">, 80, </w:t>
      </w:r>
      <w:r w:rsidRPr="00F66A49">
        <w:t>435–65.</w:t>
      </w:r>
    </w:p>
    <w:p w:rsidR="00767979" w:rsidRDefault="00767979" w:rsidP="00226A8E">
      <w:pPr>
        <w:spacing w:after="120" w:line="360" w:lineRule="auto"/>
        <w:ind w:firstLine="288"/>
        <w:mirrorIndents/>
      </w:pPr>
      <w:r>
        <w:t xml:space="preserve">Bianchi, M. (2017). Financial Literacy and Portfolio dynamics. </w:t>
      </w:r>
      <w:r w:rsidRPr="00767979">
        <w:rPr>
          <w:i/>
        </w:rPr>
        <w:t>Forthcoming in Journal of Finance</w:t>
      </w:r>
      <w:r>
        <w:t>.</w:t>
      </w:r>
    </w:p>
    <w:p w:rsidR="00B4401C" w:rsidRDefault="00B4401C" w:rsidP="00226A8E">
      <w:pPr>
        <w:spacing w:after="120" w:line="360" w:lineRule="auto"/>
        <w:ind w:firstLine="288"/>
        <w:mirrorIndents/>
        <w:rPr>
          <w:i/>
        </w:rPr>
      </w:pPr>
      <w:r w:rsidRPr="00B7329C">
        <w:t xml:space="preserve">Brown,A., Collins, </w:t>
      </w:r>
      <w:r>
        <w:t xml:space="preserve">J. M, </w:t>
      </w:r>
      <w:r w:rsidRPr="00B7329C">
        <w:t>Schmeiser,M.</w:t>
      </w:r>
      <w:r>
        <w:t xml:space="preserve">,&amp;Urban, </w:t>
      </w:r>
      <w:r w:rsidRPr="00B7329C">
        <w:t xml:space="preserve">C. </w:t>
      </w:r>
      <w:r>
        <w:t>(</w:t>
      </w:r>
      <w:r w:rsidRPr="00B7329C">
        <w:t>2014</w:t>
      </w:r>
      <w:r>
        <w:t>)</w:t>
      </w:r>
      <w:r w:rsidRPr="00B7329C">
        <w:t xml:space="preserve">. State mandated </w:t>
      </w:r>
      <w:r>
        <w:t xml:space="preserve">financial </w:t>
      </w:r>
      <w:r w:rsidRPr="00B7329C">
        <w:t xml:space="preserve">education and the credit behavior of the young. </w:t>
      </w:r>
      <w:r>
        <w:rPr>
          <w:i/>
        </w:rPr>
        <w:t>Manuscript,</w:t>
      </w:r>
      <w:r w:rsidRPr="00B7329C">
        <w:rPr>
          <w:i/>
        </w:rPr>
        <w:t xml:space="preserve"> Federal Reserve Board of Governors.</w:t>
      </w:r>
    </w:p>
    <w:p w:rsidR="00B4401C" w:rsidRPr="00C803F1" w:rsidRDefault="00B4401C" w:rsidP="00226A8E">
      <w:pPr>
        <w:spacing w:after="120" w:line="360" w:lineRule="auto"/>
        <w:ind w:firstLine="288"/>
        <w:mirrorIndents/>
      </w:pPr>
      <w:r w:rsidRPr="0018034F">
        <w:t xml:space="preserve">Bucher-Koenen, </w:t>
      </w:r>
      <w:r>
        <w:t>T.</w:t>
      </w:r>
      <w:r w:rsidRPr="0018034F">
        <w:t>, Lusardi</w:t>
      </w:r>
      <w:r>
        <w:t xml:space="preserve"> A.</w:t>
      </w:r>
      <w:r w:rsidRPr="0018034F">
        <w:t>, Alessie,</w:t>
      </w:r>
      <w:r>
        <w:t xml:space="preserve"> R.,&amp;van Rooij, M.(</w:t>
      </w:r>
      <w:r w:rsidRPr="0018034F">
        <w:t>2012</w:t>
      </w:r>
      <w:r>
        <w:t xml:space="preserve">). </w:t>
      </w:r>
      <w:r w:rsidRPr="0018034F">
        <w:t>How Financially Literate Are Women? Some New Persp</w:t>
      </w:r>
      <w:r>
        <w:t>ectives on the Gender Gap.</w:t>
      </w:r>
      <w:r w:rsidRPr="00B4401C">
        <w:rPr>
          <w:i/>
        </w:rPr>
        <w:t>Network for Studies on Pensions, Aging and Retirement Panel Paper 31</w:t>
      </w:r>
    </w:p>
    <w:p w:rsidR="00B4401C" w:rsidRDefault="00B4401C" w:rsidP="00226A8E">
      <w:pPr>
        <w:spacing w:after="120" w:line="360" w:lineRule="auto"/>
        <w:ind w:firstLine="288"/>
        <w:mirrorIndents/>
      </w:pPr>
      <w:r w:rsidRPr="003E13B1">
        <w:t xml:space="preserve">Campbell, J. Y. (2006). Household ﬁnance. </w:t>
      </w:r>
      <w:r w:rsidRPr="003E13B1">
        <w:rPr>
          <w:i/>
        </w:rPr>
        <w:t>The Journal of Finance</w:t>
      </w:r>
      <w:r w:rsidRPr="003E13B1">
        <w:t xml:space="preserve">, </w:t>
      </w:r>
      <w:r w:rsidRPr="003E13B1">
        <w:rPr>
          <w:i/>
        </w:rPr>
        <w:t>61</w:t>
      </w:r>
      <w:r w:rsidRPr="003E13B1">
        <w:t>(4), 1553–1604.</w:t>
      </w:r>
    </w:p>
    <w:p w:rsidR="00B4401C" w:rsidRDefault="00B4401C" w:rsidP="00226A8E">
      <w:pPr>
        <w:spacing w:after="120" w:line="360" w:lineRule="auto"/>
        <w:ind w:firstLine="288"/>
        <w:mirrorIndents/>
      </w:pPr>
      <w:r w:rsidRPr="0018034F">
        <w:t>Christi</w:t>
      </w:r>
      <w:r>
        <w:t>ansen,C.</w:t>
      </w:r>
      <w:r w:rsidRPr="0018034F">
        <w:t>, Joensen,</w:t>
      </w:r>
      <w:r>
        <w:t xml:space="preserve"> J. &amp;Rangvid, J.(</w:t>
      </w:r>
      <w:r w:rsidRPr="0018034F">
        <w:t>2008</w:t>
      </w:r>
      <w:r>
        <w:t xml:space="preserve">). </w:t>
      </w:r>
      <w:r w:rsidRPr="0018034F">
        <w:t>Are Economists More Likely to Hold Stocks?</w:t>
      </w:r>
      <w:r w:rsidRPr="00B4401C">
        <w:rPr>
          <w:i/>
        </w:rPr>
        <w:t>Review of Finance</w:t>
      </w:r>
      <w:r>
        <w:rPr>
          <w:i/>
        </w:rPr>
        <w:t>,</w:t>
      </w:r>
      <w:r w:rsidRPr="00B4401C">
        <w:rPr>
          <w:i/>
        </w:rPr>
        <w:t>12</w:t>
      </w:r>
      <w:r>
        <w:t xml:space="preserve"> (3),</w:t>
      </w:r>
      <w:r w:rsidRPr="0018034F">
        <w:t xml:space="preserve"> 465–96</w:t>
      </w:r>
    </w:p>
    <w:p w:rsidR="00B4401C" w:rsidRDefault="00B4401C" w:rsidP="00226A8E">
      <w:pPr>
        <w:spacing w:after="120" w:line="360" w:lineRule="auto"/>
        <w:ind w:firstLine="288"/>
        <w:mirrorIndents/>
      </w:pPr>
      <w:r w:rsidRPr="003E13B1">
        <w:t xml:space="preserve">Cocco, J. F., Gomes, F. J., &amp; Maenhout, P. J. (2005). Consumption and portfolio choice over the life cycle. </w:t>
      </w:r>
      <w:r w:rsidRPr="003E13B1">
        <w:rPr>
          <w:i/>
        </w:rPr>
        <w:t>Review of Financial Studies</w:t>
      </w:r>
      <w:r w:rsidRPr="003E13B1">
        <w:t>,</w:t>
      </w:r>
      <w:r w:rsidRPr="003E13B1">
        <w:rPr>
          <w:i/>
        </w:rPr>
        <w:t xml:space="preserve"> 18</w:t>
      </w:r>
      <w:r w:rsidRPr="003E13B1">
        <w:t>, 491–533.</w:t>
      </w:r>
    </w:p>
    <w:p w:rsidR="00B4401C" w:rsidRDefault="00B4401C" w:rsidP="00226A8E">
      <w:pPr>
        <w:spacing w:after="120" w:line="360" w:lineRule="auto"/>
        <w:ind w:firstLine="288"/>
        <w:mirrorIndents/>
      </w:pPr>
      <w:r w:rsidRPr="00F66A49">
        <w:t>Cole,S.,Paulson,</w:t>
      </w:r>
      <w:r>
        <w:t xml:space="preserve"> A., &amp;</w:t>
      </w:r>
      <w:r w:rsidRPr="00F66A49">
        <w:t>Shastry</w:t>
      </w:r>
      <w:r>
        <w:t xml:space="preserve">., </w:t>
      </w:r>
      <w:r w:rsidRPr="00F66A49">
        <w:t>G.</w:t>
      </w:r>
      <w:r>
        <w:t xml:space="preserve"> (</w:t>
      </w:r>
      <w:r w:rsidRPr="00F66A49">
        <w:t>2015</w:t>
      </w:r>
      <w:r>
        <w:t>)</w:t>
      </w:r>
      <w:r w:rsidRPr="00F66A49">
        <w:t xml:space="preserve">. High school curriculum and </w:t>
      </w:r>
      <w:r>
        <w:t xml:space="preserve">financial </w:t>
      </w:r>
      <w:r w:rsidRPr="00F66A49">
        <w:t xml:space="preserve">outcomes: The impact of mandated personal </w:t>
      </w:r>
      <w:r>
        <w:t>finance</w:t>
      </w:r>
      <w:r w:rsidRPr="00F66A49">
        <w:t xml:space="preserve"> and </w:t>
      </w:r>
      <w:r>
        <w:t xml:space="preserve">mathematics </w:t>
      </w:r>
      <w:r w:rsidRPr="00F66A49">
        <w:t xml:space="preserve">courses. </w:t>
      </w:r>
      <w:r w:rsidRPr="00B7329C">
        <w:rPr>
          <w:i/>
        </w:rPr>
        <w:t>The Journal of Human Resources</w:t>
      </w:r>
      <w:r>
        <w:t xml:space="preserve">, </w:t>
      </w:r>
      <w:r>
        <w:rPr>
          <w:i/>
        </w:rPr>
        <w:t>51</w:t>
      </w:r>
      <w:r>
        <w:t xml:space="preserve">(3), 656-698. </w:t>
      </w:r>
      <w:r w:rsidRPr="00B7329C">
        <w:t>DOI: 10.3368/jhr.51.3.0113-5410R1</w:t>
      </w:r>
    </w:p>
    <w:p w:rsidR="00B4401C" w:rsidRPr="00B7329C" w:rsidRDefault="00B4401C" w:rsidP="00226A8E">
      <w:pPr>
        <w:spacing w:after="120" w:line="360" w:lineRule="auto"/>
        <w:ind w:firstLine="288"/>
        <w:mirrorIndents/>
      </w:pPr>
      <w:r w:rsidRPr="00440D3C">
        <w:lastRenderedPageBreak/>
        <w:t xml:space="preserve">FINRA Investor Education Foundation. </w:t>
      </w:r>
      <w:r>
        <w:t>(</w:t>
      </w:r>
      <w:r w:rsidRPr="00440D3C">
        <w:t>2016</w:t>
      </w:r>
      <w:r>
        <w:t>)</w:t>
      </w:r>
      <w:r w:rsidRPr="00440D3C">
        <w:t xml:space="preserve">. “Financial Capability in the United States-2016 National Financial Capability Study.” </w:t>
      </w:r>
    </w:p>
    <w:p w:rsidR="00B4401C" w:rsidRDefault="00B4401C" w:rsidP="00226A8E">
      <w:pPr>
        <w:spacing w:after="120" w:line="360" w:lineRule="auto"/>
        <w:ind w:firstLine="288"/>
        <w:mirrorIndents/>
      </w:pPr>
      <w:r w:rsidRPr="0018034F">
        <w:t xml:space="preserve">Fornero, </w:t>
      </w:r>
      <w:r>
        <w:t>E.</w:t>
      </w:r>
      <w:r w:rsidRPr="0018034F">
        <w:t xml:space="preserve">, </w:t>
      </w:r>
      <w:r>
        <w:t>&amp;</w:t>
      </w:r>
      <w:r w:rsidRPr="0018034F">
        <w:t xml:space="preserve"> Monticone</w:t>
      </w:r>
      <w:r>
        <w:t>, C</w:t>
      </w:r>
      <w:r w:rsidRPr="0018034F">
        <w:t xml:space="preserve">. </w:t>
      </w:r>
      <w:r>
        <w:t>(</w:t>
      </w:r>
      <w:r w:rsidRPr="0018034F">
        <w:t>2011</w:t>
      </w:r>
      <w:r>
        <w:t xml:space="preserve">). </w:t>
      </w:r>
      <w:r w:rsidRPr="0018034F">
        <w:t>Financial Literacy and Pensi</w:t>
      </w:r>
      <w:r>
        <w:t>on Plan Participation in Italy.</w:t>
      </w:r>
      <w:r w:rsidRPr="00B4401C">
        <w:rPr>
          <w:i/>
        </w:rPr>
        <w:t>Journal of Pension Economics and Finance</w:t>
      </w:r>
      <w:r>
        <w:t>,</w:t>
      </w:r>
      <w:r w:rsidRPr="00B4401C">
        <w:rPr>
          <w:i/>
        </w:rPr>
        <w:t>10</w:t>
      </w:r>
      <w:r>
        <w:t xml:space="preserve"> (4),</w:t>
      </w:r>
      <w:r w:rsidRPr="0018034F">
        <w:t xml:space="preserve"> 547–64.</w:t>
      </w:r>
    </w:p>
    <w:p w:rsidR="00B4401C" w:rsidRDefault="00B4401C" w:rsidP="00226A8E">
      <w:pPr>
        <w:spacing w:after="120" w:line="360" w:lineRule="auto"/>
        <w:ind w:firstLine="288"/>
        <w:mirrorIndents/>
      </w:pPr>
      <w:r w:rsidRPr="00380CA5">
        <w:t xml:space="preserve">Grinblatt, </w:t>
      </w:r>
      <w:r>
        <w:t>M.,</w:t>
      </w:r>
      <w:r w:rsidRPr="00380CA5">
        <w:t xml:space="preserve"> Matti </w:t>
      </w:r>
      <w:r>
        <w:t>K.</w:t>
      </w:r>
      <w:r w:rsidRPr="00380CA5">
        <w:t xml:space="preserve">, </w:t>
      </w:r>
      <w:r>
        <w:t>&amp; Juhan, L</w:t>
      </w:r>
      <w:r w:rsidRPr="00380CA5">
        <w:t xml:space="preserve">. </w:t>
      </w:r>
      <w:r>
        <w:t>(</w:t>
      </w:r>
      <w:r w:rsidRPr="00380CA5">
        <w:t>2011</w:t>
      </w:r>
      <w:r>
        <w:t>)</w:t>
      </w:r>
      <w:r w:rsidRPr="00380CA5">
        <w:t>. IQ and St</w:t>
      </w:r>
      <w:r>
        <w:t>ock Market Participation.</w:t>
      </w:r>
      <w:r w:rsidRPr="00B165A8">
        <w:rPr>
          <w:i/>
        </w:rPr>
        <w:t>Journal of Finance</w:t>
      </w:r>
      <w:r>
        <w:t>,</w:t>
      </w:r>
      <w:r w:rsidRPr="00B165A8">
        <w:rPr>
          <w:i/>
        </w:rPr>
        <w:t>66</w:t>
      </w:r>
      <w:r>
        <w:t xml:space="preserve">(6), </w:t>
      </w:r>
      <w:r w:rsidRPr="00380CA5">
        <w:t>2121–64</w:t>
      </w:r>
      <w:r>
        <w:t>.</w:t>
      </w:r>
    </w:p>
    <w:p w:rsidR="00B4401C" w:rsidRDefault="00B4401C" w:rsidP="00226A8E">
      <w:pPr>
        <w:spacing w:after="120" w:line="360" w:lineRule="auto"/>
        <w:ind w:firstLine="288"/>
        <w:mirrorIndents/>
      </w:pPr>
      <w:r w:rsidRPr="003E13B1">
        <w:t xml:space="preserve">Guiso, </w:t>
      </w:r>
      <w:r>
        <w:t>L.</w:t>
      </w:r>
      <w:r w:rsidRPr="003E13B1">
        <w:t>, Paola S</w:t>
      </w:r>
      <w:r>
        <w:t>.</w:t>
      </w:r>
      <w:r w:rsidRPr="003E13B1">
        <w:t xml:space="preserve">, </w:t>
      </w:r>
      <w:r>
        <w:t>&amp;</w:t>
      </w:r>
      <w:r w:rsidRPr="003E13B1">
        <w:t xml:space="preserve">Luigi </w:t>
      </w:r>
      <w:r>
        <w:t>Z. (</w:t>
      </w:r>
      <w:r w:rsidRPr="003E13B1">
        <w:t>2008</w:t>
      </w:r>
      <w:r>
        <w:t>). Trusting the stock market.</w:t>
      </w:r>
      <w:r w:rsidRPr="003E13B1">
        <w:rPr>
          <w:i/>
        </w:rPr>
        <w:t>Journal of Finance</w:t>
      </w:r>
      <w:r>
        <w:t xml:space="preserve">, </w:t>
      </w:r>
      <w:r w:rsidRPr="003E13B1">
        <w:rPr>
          <w:i/>
        </w:rPr>
        <w:t>63</w:t>
      </w:r>
      <w:r w:rsidRPr="003E13B1">
        <w:t>, 2557–2600.</w:t>
      </w:r>
    </w:p>
    <w:p w:rsidR="00B4401C" w:rsidRDefault="00B4401C" w:rsidP="00226A8E">
      <w:pPr>
        <w:spacing w:after="120" w:line="360" w:lineRule="auto"/>
        <w:ind w:firstLine="288"/>
        <w:mirrorIndents/>
      </w:pPr>
      <w:r w:rsidRPr="00D51188">
        <w:t xml:space="preserve">Haliassos, M. </w:t>
      </w:r>
      <w:r>
        <w:t>&amp;</w:t>
      </w:r>
      <w:r w:rsidRPr="00D51188">
        <w:t xml:space="preserve">Bertaut,C. </w:t>
      </w:r>
      <w:r>
        <w:t>(1995). Why do so few hold stocks?</w:t>
      </w:r>
      <w:r w:rsidRPr="00B165A8">
        <w:rPr>
          <w:i/>
        </w:rPr>
        <w:t>Economic Journal</w:t>
      </w:r>
      <w:r w:rsidRPr="00D51188">
        <w:t xml:space="preserve">, 105, 1110-1129. </w:t>
      </w:r>
    </w:p>
    <w:p w:rsidR="00B4401C" w:rsidRDefault="00B4401C" w:rsidP="00226A8E">
      <w:pPr>
        <w:spacing w:after="120" w:line="360" w:lineRule="auto"/>
        <w:ind w:firstLine="288"/>
        <w:mirrorIndents/>
      </w:pPr>
      <w:r>
        <w:t xml:space="preserve">Hausman, J. A. (1978).  Specification tests in econometrics.  </w:t>
      </w:r>
      <w:r w:rsidRPr="006A7401">
        <w:rPr>
          <w:i/>
        </w:rPr>
        <w:t>Econometrica</w:t>
      </w:r>
      <w:r>
        <w:t xml:space="preserve">, </w:t>
      </w:r>
      <w:r w:rsidRPr="006A7401">
        <w:rPr>
          <w:i/>
        </w:rPr>
        <w:t>46</w:t>
      </w:r>
      <w:r>
        <w:t>, 1251-1271.</w:t>
      </w:r>
    </w:p>
    <w:p w:rsidR="00B4401C" w:rsidRDefault="00B4401C" w:rsidP="00226A8E">
      <w:pPr>
        <w:spacing w:after="120" w:line="360" w:lineRule="auto"/>
        <w:ind w:firstLine="288"/>
        <w:mirrorIndents/>
      </w:pPr>
      <w:r>
        <w:t xml:space="preserve">Heaton, J., &amp; Lucas, D. (2000). Portfolio choice and asset prices: the importance of entrepreneurial risk. </w:t>
      </w:r>
      <w:r w:rsidRPr="00E524E0">
        <w:rPr>
          <w:i/>
        </w:rPr>
        <w:t>Journal of Finance</w:t>
      </w:r>
      <w:r>
        <w:t xml:space="preserve">, </w:t>
      </w:r>
      <w:r w:rsidRPr="00E524E0">
        <w:rPr>
          <w:i/>
        </w:rPr>
        <w:t>55</w:t>
      </w:r>
      <w:r>
        <w:t>, 1163-1198.</w:t>
      </w:r>
    </w:p>
    <w:p w:rsidR="00B4401C" w:rsidRDefault="00B4401C" w:rsidP="00226A8E">
      <w:pPr>
        <w:spacing w:after="120" w:line="360" w:lineRule="auto"/>
        <w:ind w:firstLine="288"/>
        <w:mirrorIndents/>
      </w:pPr>
      <w:r w:rsidRPr="003E13B1">
        <w:t xml:space="preserve">Hong, H., Kubik, J. D., &amp; Stein, J. C. (2004). Social interaction and stock-market participation. </w:t>
      </w:r>
      <w:r w:rsidRPr="003E13B1">
        <w:rPr>
          <w:i/>
        </w:rPr>
        <w:t>The Journal of Finance</w:t>
      </w:r>
      <w:r w:rsidRPr="003E13B1">
        <w:t xml:space="preserve">, </w:t>
      </w:r>
      <w:r w:rsidRPr="003E13B1">
        <w:rPr>
          <w:i/>
        </w:rPr>
        <w:t>60</w:t>
      </w:r>
      <w:r w:rsidRPr="003E13B1">
        <w:t>(1), 137–163.</w:t>
      </w:r>
    </w:p>
    <w:p w:rsidR="00B4401C" w:rsidRDefault="00B4401C" w:rsidP="00226A8E">
      <w:pPr>
        <w:spacing w:after="120" w:line="360" w:lineRule="auto"/>
        <w:ind w:firstLine="288"/>
        <w:mirrorIndents/>
      </w:pPr>
      <w:r w:rsidRPr="003E13B1">
        <w:t xml:space="preserve">Kaustia, M., &amp; Torstila, S. (2011). Stock market aversion? Political preferences and stock market participation. </w:t>
      </w:r>
      <w:r w:rsidRPr="003E13B1">
        <w:rPr>
          <w:i/>
        </w:rPr>
        <w:t>Journal of Financial Economics</w:t>
      </w:r>
      <w:r w:rsidRPr="003E13B1">
        <w:t xml:space="preserve">, </w:t>
      </w:r>
      <w:r w:rsidRPr="003E13B1">
        <w:rPr>
          <w:i/>
        </w:rPr>
        <w:t>100</w:t>
      </w:r>
      <w:r w:rsidRPr="003E13B1">
        <w:t>, 98–112.</w:t>
      </w:r>
    </w:p>
    <w:p w:rsidR="00B4401C" w:rsidRDefault="00B4401C" w:rsidP="00226A8E">
      <w:pPr>
        <w:spacing w:after="120" w:line="360" w:lineRule="auto"/>
        <w:ind w:firstLine="288"/>
        <w:mirrorIndents/>
      </w:pPr>
      <w:r w:rsidRPr="00ED00A7">
        <w:t xml:space="preserve">Klapper, </w:t>
      </w:r>
      <w:r>
        <w:t>L.</w:t>
      </w:r>
      <w:r w:rsidRPr="00ED00A7">
        <w:t xml:space="preserve"> F</w:t>
      </w:r>
      <w:r>
        <w:t xml:space="preserve">., </w:t>
      </w:r>
      <w:r w:rsidRPr="00ED00A7">
        <w:t>Lusardi</w:t>
      </w:r>
      <w:r>
        <w:t>. A., and Panos, G. A.(</w:t>
      </w:r>
      <w:r w:rsidRPr="00ED00A7">
        <w:t>2012</w:t>
      </w:r>
      <w:r>
        <w:t xml:space="preserve">). </w:t>
      </w:r>
      <w:r w:rsidRPr="00ED00A7">
        <w:t xml:space="preserve">Financial Literacy and the Financial Crisis. </w:t>
      </w:r>
      <w:r w:rsidRPr="00E524E0">
        <w:rPr>
          <w:i/>
        </w:rPr>
        <w:t>National Bureau of Economic Research Working Paper 17930</w:t>
      </w:r>
      <w:r w:rsidRPr="00ED00A7">
        <w:t>.</w:t>
      </w:r>
    </w:p>
    <w:p w:rsidR="00B4401C" w:rsidRDefault="00B4401C" w:rsidP="00226A8E">
      <w:pPr>
        <w:spacing w:after="120" w:line="360" w:lineRule="auto"/>
        <w:ind w:firstLine="288"/>
        <w:mirrorIndents/>
      </w:pPr>
      <w:r>
        <w:t xml:space="preserve">Lusardi, A., &amp; Mitchell O. S. (2014). The economic importance of financial literacy: Theory and evidence. </w:t>
      </w:r>
      <w:r w:rsidRPr="00E524E0">
        <w:rPr>
          <w:i/>
        </w:rPr>
        <w:t>Journal of Economic Literature</w:t>
      </w:r>
      <w:r>
        <w:t xml:space="preserve">, </w:t>
      </w:r>
      <w:r w:rsidRPr="00ED00A7">
        <w:rPr>
          <w:i/>
        </w:rPr>
        <w:t>52</w:t>
      </w:r>
      <w:r>
        <w:t xml:space="preserve">(1), 5-44. </w:t>
      </w:r>
      <w:r w:rsidRPr="00ED00A7">
        <w:t>DOI: 10.1257/jel.52.1.5</w:t>
      </w:r>
    </w:p>
    <w:p w:rsidR="00B4401C" w:rsidRDefault="00B4401C" w:rsidP="00226A8E">
      <w:pPr>
        <w:spacing w:after="120" w:line="360" w:lineRule="auto"/>
        <w:ind w:firstLine="288"/>
        <w:mirrorIndents/>
      </w:pPr>
      <w:r w:rsidRPr="0018034F">
        <w:t xml:space="preserve">Lusardi, </w:t>
      </w:r>
      <w:r>
        <w:t>A.</w:t>
      </w:r>
      <w:r w:rsidRPr="0018034F">
        <w:t xml:space="preserve">, </w:t>
      </w:r>
      <w:r>
        <w:t>&amp; Mitchell, O.(</w:t>
      </w:r>
      <w:r w:rsidRPr="0018034F">
        <w:t>2008</w:t>
      </w:r>
      <w:r>
        <w:t>)</w:t>
      </w:r>
      <w:r w:rsidRPr="0018034F">
        <w:t xml:space="preserve">. </w:t>
      </w:r>
      <w:r w:rsidRPr="00B4401C">
        <w:t>Planning and Financial Literacy: How Do Women Fare</w:t>
      </w:r>
      <w:r w:rsidRPr="0018034F">
        <w:t xml:space="preserve">? </w:t>
      </w:r>
      <w:r w:rsidRPr="00B4401C">
        <w:rPr>
          <w:i/>
        </w:rPr>
        <w:t>American Economic Review</w:t>
      </w:r>
      <w:r>
        <w:t xml:space="preserve">, </w:t>
      </w:r>
      <w:r w:rsidRPr="00B4401C">
        <w:rPr>
          <w:i/>
        </w:rPr>
        <w:t>98</w:t>
      </w:r>
      <w:r>
        <w:t xml:space="preserve"> (2),</w:t>
      </w:r>
      <w:r w:rsidRPr="0018034F">
        <w:t xml:space="preserve"> 413–17.</w:t>
      </w:r>
    </w:p>
    <w:p w:rsidR="00B4401C" w:rsidRPr="006E21B7" w:rsidRDefault="00B4401C" w:rsidP="00226A8E">
      <w:pPr>
        <w:spacing w:after="120" w:line="360" w:lineRule="auto"/>
        <w:ind w:firstLine="288"/>
        <w:mirrorIndents/>
      </w:pPr>
      <w:r w:rsidRPr="006D37B8">
        <w:t xml:space="preserve">Ramalho, E. A. </w:t>
      </w:r>
      <w:r>
        <w:t>&amp; Ramalho, J. J. S. (2012).</w:t>
      </w:r>
      <w:r w:rsidRPr="006D37B8">
        <w:t xml:space="preserve"> Alternative Versions of the RESET Test for Binary Response In</w:t>
      </w:r>
      <w:r>
        <w:t>dex Models: A Comparative Study</w:t>
      </w:r>
      <w:r w:rsidRPr="006D37B8">
        <w:t xml:space="preserve">. </w:t>
      </w:r>
      <w:r w:rsidRPr="00B165A8">
        <w:rPr>
          <w:i/>
        </w:rPr>
        <w:t>Oxford Bulletin of Economics and Statistics</w:t>
      </w:r>
      <w:r>
        <w:t xml:space="preserve">, </w:t>
      </w:r>
      <w:r w:rsidRPr="003E13B1">
        <w:rPr>
          <w:i/>
        </w:rPr>
        <w:t>74</w:t>
      </w:r>
      <w:r>
        <w:t>,</w:t>
      </w:r>
      <w:r w:rsidRPr="006D37B8">
        <w:t xml:space="preserve"> 107–130. doi:10.1111/j.1468-0084.2011.00654.x</w:t>
      </w:r>
    </w:p>
    <w:p w:rsidR="00B4401C" w:rsidRPr="009418ED" w:rsidRDefault="00B4401C" w:rsidP="00226A8E">
      <w:pPr>
        <w:spacing w:after="120" w:line="360" w:lineRule="auto"/>
        <w:ind w:firstLine="288"/>
        <w:mirrorIndents/>
      </w:pPr>
      <w:r>
        <w:t xml:space="preserve">Ramsey, J.B. (1969). </w:t>
      </w:r>
      <w:r w:rsidRPr="009418ED">
        <w:t>Tests for specification errors in classical linear le</w:t>
      </w:r>
      <w:r>
        <w:t>ast-squares regression analysis.</w:t>
      </w:r>
      <w:r w:rsidRPr="00B165A8">
        <w:rPr>
          <w:i/>
        </w:rPr>
        <w:t>Journal of the Royal Statistical Society</w:t>
      </w:r>
      <w:r w:rsidRPr="009418ED">
        <w:t xml:space="preserve">, </w:t>
      </w:r>
      <w:r w:rsidRPr="003E13B1">
        <w:rPr>
          <w:i/>
        </w:rPr>
        <w:t>31</w:t>
      </w:r>
      <w:r w:rsidRPr="009418ED">
        <w:t>(2), 350-371.</w:t>
      </w:r>
    </w:p>
    <w:p w:rsidR="00B4401C" w:rsidRDefault="00B4401C" w:rsidP="00226A8E">
      <w:pPr>
        <w:spacing w:after="120" w:line="360" w:lineRule="auto"/>
        <w:ind w:firstLine="288"/>
        <w:mirrorIndents/>
      </w:pPr>
      <w:r w:rsidRPr="006A7401">
        <w:lastRenderedPageBreak/>
        <w:t xml:space="preserve">Staiger, D., &amp; Stock, J. (1997). Instrumental Variables Regression with Weak Instruments. </w:t>
      </w:r>
      <w:r w:rsidRPr="006A7401">
        <w:rPr>
          <w:i/>
        </w:rPr>
        <w:t>Econometrica</w:t>
      </w:r>
      <w:r w:rsidRPr="006A7401">
        <w:t>, 65, 557-586.</w:t>
      </w:r>
    </w:p>
    <w:p w:rsidR="00225735" w:rsidRDefault="00225735" w:rsidP="00226A8E">
      <w:pPr>
        <w:spacing w:after="120" w:line="360" w:lineRule="auto"/>
        <w:ind w:firstLine="288"/>
        <w:mirrorIndents/>
      </w:pPr>
      <w:r>
        <w:t>Stock, J.H. and Yogo, M.  (2005). Testing for Weak Instruments in Linear IV Regression. In D.W.K. Andrews and J.H. Stock, eds. Identification and Inference for Econometric Models: Essays in Honor of Thomas Rothenberg. Cambridge: Ca</w:t>
      </w:r>
      <w:r w:rsidR="000F18E4">
        <w:t xml:space="preserve">mbridge University </w:t>
      </w:r>
      <w:r>
        <w:t xml:space="preserve">Press, 2005, pp. 80-108.  : </w:t>
      </w:r>
      <w:r w:rsidRPr="00225735">
        <w:rPr>
          <w:i/>
        </w:rPr>
        <w:t>NBER Technical Working Paper 284</w:t>
      </w:r>
      <w:r>
        <w:t>.  http://www.nber.org/papers/T0284.</w:t>
      </w:r>
    </w:p>
    <w:p w:rsidR="009F6CE1" w:rsidRDefault="009F6CE1" w:rsidP="00226A8E">
      <w:pPr>
        <w:spacing w:after="120" w:line="360" w:lineRule="auto"/>
        <w:ind w:firstLine="288"/>
        <w:mirrorIndents/>
      </w:pPr>
      <w:r>
        <w:t xml:space="preserve">Urban C., </w:t>
      </w:r>
      <w:r w:rsidR="004E77C4">
        <w:t xml:space="preserve">(2015), </w:t>
      </w:r>
      <w:r w:rsidRPr="009F6CE1">
        <w:t>State Mandated Financial Education</w:t>
      </w:r>
      <w:r w:rsidR="004E77C4">
        <w:t xml:space="preserve">, Montana State University, retrieved from </w:t>
      </w:r>
      <w:r w:rsidR="004E77C4" w:rsidRPr="004E77C4">
        <w:t>http://www.montana.edu/urban/financial-edu-database.html</w:t>
      </w:r>
    </w:p>
    <w:p w:rsidR="00B7329C" w:rsidRDefault="00B4401C" w:rsidP="00D03F50">
      <w:pPr>
        <w:spacing w:after="120" w:line="360" w:lineRule="auto"/>
        <w:ind w:firstLine="288"/>
        <w:mirrorIndents/>
      </w:pPr>
      <w:r w:rsidRPr="003E13B1">
        <w:t xml:space="preserve">Van Rooij, M., Lusardi, A., &amp; Alessie, R. (2011). Financial literacy and stock market participation. </w:t>
      </w:r>
      <w:r w:rsidRPr="003E13B1">
        <w:rPr>
          <w:i/>
        </w:rPr>
        <w:t>Journal of Financial Economics</w:t>
      </w:r>
      <w:r w:rsidRPr="003E13B1">
        <w:t xml:space="preserve">, </w:t>
      </w:r>
      <w:r w:rsidRPr="003E13B1">
        <w:rPr>
          <w:i/>
        </w:rPr>
        <w:t>101</w:t>
      </w:r>
      <w:r w:rsidRPr="003E13B1">
        <w:t>(2), 449–472.</w:t>
      </w:r>
    </w:p>
    <w:p w:rsidR="004B4742" w:rsidRDefault="004B4742">
      <w:r>
        <w:br w:type="page"/>
      </w:r>
    </w:p>
    <w:p w:rsidR="009F6CE1" w:rsidRDefault="00D03F50" w:rsidP="009F6CE1">
      <w:pPr>
        <w:spacing w:after="120" w:line="360" w:lineRule="auto"/>
        <w:ind w:firstLine="288"/>
        <w:mirrorIndents/>
        <w:rPr>
          <w:b/>
          <w:sz w:val="28"/>
          <w:szCs w:val="28"/>
        </w:rPr>
      </w:pPr>
      <w:r w:rsidRPr="00D03F50">
        <w:rPr>
          <w:b/>
          <w:sz w:val="28"/>
          <w:szCs w:val="28"/>
        </w:rPr>
        <w:lastRenderedPageBreak/>
        <w:t>Appendix</w:t>
      </w:r>
    </w:p>
    <w:tbl>
      <w:tblPr>
        <w:tblW w:w="920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866"/>
        <w:gridCol w:w="3005"/>
      </w:tblGrid>
      <w:tr w:rsidR="009F6CE1" w:rsidRPr="009F6CE1" w:rsidTr="009F6CE1">
        <w:trPr>
          <w:trHeight w:val="300"/>
        </w:trPr>
        <w:tc>
          <w:tcPr>
            <w:tcW w:w="9205" w:type="dxa"/>
            <w:gridSpan w:val="3"/>
            <w:shd w:val="clear" w:color="auto" w:fill="D9D9D9" w:themeFill="background1" w:themeFillShade="D9"/>
            <w:noWrap/>
            <w:vAlign w:val="bottom"/>
            <w:hideMark/>
          </w:tcPr>
          <w:p w:rsidR="009F6CE1" w:rsidRPr="009F6CE1" w:rsidRDefault="009F6CE1" w:rsidP="009F6CE1">
            <w:pPr>
              <w:spacing w:after="0" w:line="240" w:lineRule="auto"/>
              <w:rPr>
                <w:color w:val="000000"/>
              </w:rPr>
            </w:pPr>
            <w:r>
              <w:rPr>
                <w:color w:val="000000"/>
              </w:rPr>
              <w:t xml:space="preserve">Figure 1. </w:t>
            </w:r>
            <w:r w:rsidRPr="009F6CE1">
              <w:rPr>
                <w:color w:val="000000"/>
              </w:rPr>
              <w:t>State-mandate personal finance and economics course offering requirements from 1970 to 2014, by state.</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p>
        </w:tc>
        <w:tc>
          <w:tcPr>
            <w:tcW w:w="2866" w:type="dxa"/>
            <w:shd w:val="clear" w:color="auto" w:fill="F2F2F2" w:themeFill="background1" w:themeFillShade="F2"/>
            <w:noWrap/>
            <w:vAlign w:val="bottom"/>
            <w:hideMark/>
          </w:tcPr>
          <w:p w:rsidR="009F6CE1" w:rsidRPr="009F6CE1" w:rsidRDefault="009F6CE1" w:rsidP="009F6CE1">
            <w:pPr>
              <w:spacing w:after="0" w:line="240" w:lineRule="auto"/>
              <w:jc w:val="center"/>
              <w:rPr>
                <w:color w:val="000000"/>
              </w:rPr>
            </w:pPr>
            <w:r w:rsidRPr="009F6CE1">
              <w:rPr>
                <w:color w:val="000000"/>
              </w:rPr>
              <w:t>Personal Finance</w:t>
            </w:r>
          </w:p>
        </w:tc>
        <w:tc>
          <w:tcPr>
            <w:tcW w:w="3005" w:type="dxa"/>
            <w:shd w:val="clear" w:color="auto" w:fill="F2F2F2" w:themeFill="background1" w:themeFillShade="F2"/>
            <w:noWrap/>
            <w:vAlign w:val="bottom"/>
            <w:hideMark/>
          </w:tcPr>
          <w:p w:rsidR="009F6CE1" w:rsidRPr="009F6CE1" w:rsidRDefault="009F6CE1" w:rsidP="009F6CE1">
            <w:pPr>
              <w:spacing w:after="0" w:line="240" w:lineRule="auto"/>
              <w:jc w:val="center"/>
              <w:rPr>
                <w:color w:val="000000"/>
              </w:rPr>
            </w:pPr>
            <w:r w:rsidRPr="009F6CE1">
              <w:rPr>
                <w:color w:val="000000"/>
              </w:rPr>
              <w:t>Economics</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Alabama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1989</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Alaska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1997</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Arizona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Arkansas</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California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None</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1989</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Colorado</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2009</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2009</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Connecticut</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Delaware</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Florida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2014</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1986</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Georgia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2007</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1976</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Hawaii</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Idaho</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2007</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2001</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Illinois</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&lt;1970</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Indiana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2008</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2008</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Iowa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Kansas</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2012</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2006</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Kentucky</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None</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Louisiana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Maine</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&lt;1970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Maryland</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Massachusetts</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1997</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Michigan</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1998</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1997</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Minnesota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Mississippi</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Missouri</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2010</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2007</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Montana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1998</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Nebraska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2003</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Nevada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1999</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New Hampshire</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1993</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1993</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New Jersey</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New Mexico</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&lt;1970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New York</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1996</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1988</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North Carolina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2007</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2003</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North Dakota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2002</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Ohio</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Oklahoma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2014</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lastRenderedPageBreak/>
              <w:t>Oregon</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2013</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1997</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Pennsylvania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2008</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Rhode Island</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1980</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South Carolina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2009</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South Dakota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2006</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2006</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Tennessee</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2011</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1989</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Texas</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2007</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2005</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Utah</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2008</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Vermont</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2010</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Virginia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2014</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2014</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Washington</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2000</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West Virginia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Wisconsin</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1998</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Wyoming</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2002</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2002</w:t>
            </w:r>
          </w:p>
        </w:tc>
      </w:tr>
      <w:tr w:rsidR="009F6CE1" w:rsidRPr="009F6CE1" w:rsidTr="009F6CE1">
        <w:trPr>
          <w:trHeight w:val="300"/>
        </w:trPr>
        <w:tc>
          <w:tcPr>
            <w:tcW w:w="3334" w:type="dxa"/>
            <w:shd w:val="clear" w:color="auto" w:fill="F2F2F2" w:themeFill="background1" w:themeFillShade="F2"/>
            <w:noWrap/>
            <w:vAlign w:val="bottom"/>
            <w:hideMark/>
          </w:tcPr>
          <w:p w:rsidR="009F6CE1" w:rsidRPr="009F6CE1" w:rsidRDefault="009F6CE1" w:rsidP="009F6CE1">
            <w:pPr>
              <w:spacing w:after="0" w:line="240" w:lineRule="auto"/>
              <w:rPr>
                <w:color w:val="000000"/>
              </w:rPr>
            </w:pPr>
            <w:r w:rsidRPr="009F6CE1">
              <w:rPr>
                <w:color w:val="000000"/>
              </w:rPr>
              <w:t>District of Columbia</w:t>
            </w:r>
          </w:p>
        </w:tc>
        <w:tc>
          <w:tcPr>
            <w:tcW w:w="2866"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c>
          <w:tcPr>
            <w:tcW w:w="3005" w:type="dxa"/>
            <w:shd w:val="clear" w:color="auto" w:fill="auto"/>
            <w:noWrap/>
            <w:vAlign w:val="bottom"/>
            <w:hideMark/>
          </w:tcPr>
          <w:p w:rsidR="009F6CE1" w:rsidRPr="009F6CE1" w:rsidRDefault="009F6CE1" w:rsidP="009F6CE1">
            <w:pPr>
              <w:spacing w:after="0" w:line="240" w:lineRule="auto"/>
              <w:jc w:val="center"/>
              <w:rPr>
                <w:color w:val="000000"/>
              </w:rPr>
            </w:pPr>
            <w:r w:rsidRPr="009F6CE1">
              <w:rPr>
                <w:color w:val="000000"/>
              </w:rPr>
              <w:t>No Policy</w:t>
            </w:r>
          </w:p>
        </w:tc>
      </w:tr>
      <w:tr w:rsidR="009F6CE1" w:rsidRPr="009F6CE1" w:rsidTr="009F6CE1">
        <w:trPr>
          <w:trHeight w:val="386"/>
        </w:trPr>
        <w:tc>
          <w:tcPr>
            <w:tcW w:w="9205" w:type="dxa"/>
            <w:gridSpan w:val="3"/>
            <w:shd w:val="clear" w:color="auto" w:fill="F2F2F2" w:themeFill="background1" w:themeFillShade="F2"/>
            <w:noWrap/>
            <w:vAlign w:val="center"/>
            <w:hideMark/>
          </w:tcPr>
          <w:p w:rsidR="009F6CE1" w:rsidRPr="009F6CE1" w:rsidRDefault="009F6CE1" w:rsidP="004E77C4">
            <w:pPr>
              <w:spacing w:after="0" w:line="240" w:lineRule="auto"/>
              <w:rPr>
                <w:color w:val="000000"/>
              </w:rPr>
            </w:pPr>
            <w:r>
              <w:rPr>
                <w:color w:val="000000"/>
              </w:rPr>
              <w:t>Source: Urban , C. (201</w:t>
            </w:r>
            <w:r w:rsidR="004E77C4">
              <w:rPr>
                <w:color w:val="000000"/>
              </w:rPr>
              <w:t>5</w:t>
            </w:r>
            <w:r>
              <w:rPr>
                <w:color w:val="000000"/>
              </w:rPr>
              <w:t xml:space="preserve">), </w:t>
            </w:r>
            <w:r w:rsidRPr="009F6CE1">
              <w:rPr>
                <w:color w:val="000000"/>
              </w:rPr>
              <w:t>State Mandated Financial Education</w:t>
            </w:r>
            <w:r>
              <w:rPr>
                <w:color w:val="000000"/>
              </w:rPr>
              <w:t>, Montana State University</w:t>
            </w:r>
          </w:p>
        </w:tc>
      </w:tr>
    </w:tbl>
    <w:p w:rsidR="009F6CE1" w:rsidRDefault="009F6CE1">
      <w:pPr>
        <w:rPr>
          <w:b/>
          <w:sz w:val="28"/>
          <w:szCs w:val="28"/>
        </w:rPr>
      </w:pPr>
      <w:r>
        <w:rPr>
          <w:b/>
          <w:sz w:val="28"/>
          <w:szCs w:val="28"/>
        </w:rPr>
        <w:br w:type="page"/>
      </w:r>
    </w:p>
    <w:p w:rsidR="009F6CE1" w:rsidRDefault="00187955" w:rsidP="004B4742">
      <w:pPr>
        <w:spacing w:after="120" w:line="360" w:lineRule="auto"/>
        <w:ind w:firstLine="288"/>
        <w:mirrorIndents/>
        <w:rPr>
          <w:b/>
          <w:sz w:val="28"/>
          <w:szCs w:val="28"/>
        </w:rPr>
      </w:pPr>
      <w:r>
        <w:rPr>
          <w:noProof/>
        </w:rPr>
        <w:lastRenderedPageBreak/>
        <mc:AlternateContent>
          <mc:Choice Requires="wps">
            <w:drawing>
              <wp:anchor distT="0" distB="0" distL="114300" distR="114300" simplePos="0" relativeHeight="251664384" behindDoc="0" locked="0" layoutInCell="1" allowOverlap="1">
                <wp:simplePos x="0" y="0"/>
                <wp:positionH relativeFrom="margin">
                  <wp:posOffset>-15875</wp:posOffset>
                </wp:positionH>
                <wp:positionV relativeFrom="paragraph">
                  <wp:posOffset>-94615</wp:posOffset>
                </wp:positionV>
                <wp:extent cx="5920740" cy="4051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05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942" w:rsidRPr="00351A25" w:rsidRDefault="00E61942" w:rsidP="00922908">
                            <w:pPr>
                              <w:shd w:val="clear" w:color="auto" w:fill="F2F2F2" w:themeFill="background1" w:themeFillShade="F2"/>
                              <w:spacing w:after="0"/>
                              <w:jc w:val="both"/>
                              <w:rPr>
                                <w:sz w:val="20"/>
                                <w:szCs w:val="20"/>
                              </w:rPr>
                            </w:pPr>
                            <w:r w:rsidRPr="00351A25">
                              <w:rPr>
                                <w:b/>
                                <w:sz w:val="20"/>
                                <w:szCs w:val="20"/>
                              </w:rPr>
                              <w:t>Figure 1</w:t>
                            </w:r>
                            <w:r w:rsidRPr="00351A25">
                              <w:rPr>
                                <w:sz w:val="20"/>
                                <w:szCs w:val="20"/>
                              </w:rPr>
                              <w:t xml:space="preserve">  Financial Literacy Questions </w:t>
                            </w:r>
                          </w:p>
                          <w:p w:rsidR="00E61942" w:rsidRDefault="00E61942" w:rsidP="004B4742">
                            <w:pPr>
                              <w:shd w:val="clear" w:color="auto" w:fill="F2F2F2" w:themeFill="background1" w:themeFillShade="F2"/>
                              <w:jc w:val="both"/>
                              <w:rPr>
                                <w:sz w:val="20"/>
                                <w:szCs w:val="20"/>
                              </w:rPr>
                            </w:pPr>
                            <w:r>
                              <w:rPr>
                                <w:b/>
                                <w:sz w:val="20"/>
                                <w:szCs w:val="20"/>
                              </w:rPr>
                              <w:t>Interest Compounding I</w:t>
                            </w:r>
                            <w:r w:rsidRPr="00A5190C">
                              <w:rPr>
                                <w:b/>
                                <w:sz w:val="20"/>
                                <w:szCs w:val="20"/>
                              </w:rPr>
                              <w:t xml:space="preserve">: </w:t>
                            </w:r>
                            <w:r w:rsidRPr="00A5190C">
                              <w:rPr>
                                <w:i/>
                                <w:sz w:val="20"/>
                                <w:szCs w:val="20"/>
                              </w:rPr>
                              <w:t xml:space="preserve">Suppose you had $100 in a savings account and the interest rate was 2% per year. After 5 years, how much do you think you would have in the account if you left the money to grow?          </w:t>
                            </w:r>
                            <w:r>
                              <w:rPr>
                                <w:i/>
                                <w:sz w:val="20"/>
                                <w:szCs w:val="20"/>
                              </w:rPr>
                              <w:br/>
                            </w:r>
                            <w:r w:rsidRPr="00A5190C">
                              <w:rPr>
                                <w:sz w:val="20"/>
                                <w:szCs w:val="20"/>
                              </w:rPr>
                              <w:t>(1) More than $102; (2) Exactly $102; (3) Less than $102; (98) Don’t know; (99) Prefer not to say.</w:t>
                            </w:r>
                          </w:p>
                          <w:p w:rsidR="00E61942" w:rsidRPr="003A355A" w:rsidRDefault="00E61942" w:rsidP="004B4742">
                            <w:pPr>
                              <w:shd w:val="clear" w:color="auto" w:fill="F2F2F2" w:themeFill="background1" w:themeFillShade="F2"/>
                              <w:rPr>
                                <w:sz w:val="20"/>
                                <w:szCs w:val="20"/>
                              </w:rPr>
                            </w:pPr>
                            <w:r w:rsidRPr="00A5190C">
                              <w:rPr>
                                <w:b/>
                                <w:sz w:val="20"/>
                                <w:szCs w:val="20"/>
                              </w:rPr>
                              <w:t xml:space="preserve">Interest Compounding II: </w:t>
                            </w:r>
                            <w:r w:rsidRPr="00A5190C">
                              <w:rPr>
                                <w:i/>
                                <w:sz w:val="20"/>
                                <w:szCs w:val="20"/>
                              </w:rPr>
                              <w:t>Suppose you owe $1,000 on a loan and th</w:t>
                            </w:r>
                            <w:r>
                              <w:rPr>
                                <w:i/>
                                <w:sz w:val="20"/>
                                <w:szCs w:val="20"/>
                              </w:rPr>
                              <w:t xml:space="preserve">e interest rate you are charged </w:t>
                            </w:r>
                            <w:r w:rsidRPr="00A5190C">
                              <w:rPr>
                                <w:i/>
                                <w:sz w:val="20"/>
                                <w:szCs w:val="20"/>
                              </w:rPr>
                              <w:t>is 20% per year compounded annually. If you didn’t pay anything off, at this interest rate, how many years would it take</w:t>
                            </w:r>
                            <w:r>
                              <w:rPr>
                                <w:i/>
                                <w:sz w:val="20"/>
                                <w:szCs w:val="20"/>
                              </w:rPr>
                              <w:t xml:space="preserve"> for the amount you </w:t>
                            </w:r>
                            <w:r w:rsidRPr="00A5190C">
                              <w:rPr>
                                <w:i/>
                                <w:sz w:val="20"/>
                                <w:szCs w:val="20"/>
                              </w:rPr>
                              <w:t xml:space="preserve">owe </w:t>
                            </w:r>
                            <w:r>
                              <w:rPr>
                                <w:i/>
                                <w:sz w:val="20"/>
                                <w:szCs w:val="20"/>
                              </w:rPr>
                              <w:t xml:space="preserve">to </w:t>
                            </w:r>
                            <w:r w:rsidRPr="00A5190C">
                              <w:rPr>
                                <w:i/>
                                <w:sz w:val="20"/>
                                <w:szCs w:val="20"/>
                              </w:rPr>
                              <w:t>double?</w:t>
                            </w:r>
                            <w:r>
                              <w:rPr>
                                <w:i/>
                                <w:sz w:val="20"/>
                                <w:szCs w:val="20"/>
                              </w:rPr>
                              <w:br/>
                            </w:r>
                            <w:r w:rsidRPr="00A5190C">
                              <w:rPr>
                                <w:sz w:val="20"/>
                                <w:szCs w:val="20"/>
                              </w:rPr>
                              <w:t xml:space="preserve">(1) </w:t>
                            </w:r>
                            <w:r>
                              <w:rPr>
                                <w:sz w:val="20"/>
                                <w:szCs w:val="20"/>
                              </w:rPr>
                              <w:t>Less than 2 years</w:t>
                            </w:r>
                            <w:r w:rsidRPr="00A5190C">
                              <w:rPr>
                                <w:sz w:val="20"/>
                                <w:szCs w:val="20"/>
                              </w:rPr>
                              <w:t xml:space="preserve">; (2) </w:t>
                            </w:r>
                            <w:r>
                              <w:rPr>
                                <w:sz w:val="20"/>
                                <w:szCs w:val="20"/>
                              </w:rPr>
                              <w:t>At least 2 years but less than 5 years</w:t>
                            </w:r>
                            <w:r w:rsidRPr="00A5190C">
                              <w:rPr>
                                <w:sz w:val="20"/>
                                <w:szCs w:val="20"/>
                              </w:rPr>
                              <w:t xml:space="preserve">; (3) </w:t>
                            </w:r>
                            <w:r>
                              <w:rPr>
                                <w:sz w:val="20"/>
                                <w:szCs w:val="20"/>
                              </w:rPr>
                              <w:t>At least 5 years but less than 10 years</w:t>
                            </w:r>
                            <w:r w:rsidRPr="00A5190C">
                              <w:rPr>
                                <w:sz w:val="20"/>
                                <w:szCs w:val="20"/>
                              </w:rPr>
                              <w:t xml:space="preserve">; </w:t>
                            </w:r>
                            <w:r>
                              <w:rPr>
                                <w:sz w:val="20"/>
                                <w:szCs w:val="20"/>
                              </w:rPr>
                              <w:br/>
                              <w:t xml:space="preserve">(4) At least 10 years; </w:t>
                            </w:r>
                            <w:r w:rsidRPr="00A5190C">
                              <w:rPr>
                                <w:sz w:val="20"/>
                                <w:szCs w:val="20"/>
                              </w:rPr>
                              <w:t>(98) Don’t know; (99) Prefer not to say.</w:t>
                            </w:r>
                          </w:p>
                          <w:p w:rsidR="00E61942" w:rsidRPr="003A355A" w:rsidRDefault="00E61942" w:rsidP="004B4742">
                            <w:pPr>
                              <w:shd w:val="clear" w:color="auto" w:fill="F2F2F2" w:themeFill="background1" w:themeFillShade="F2"/>
                              <w:jc w:val="both"/>
                              <w:rPr>
                                <w:b/>
                                <w:sz w:val="20"/>
                                <w:szCs w:val="20"/>
                              </w:rPr>
                            </w:pPr>
                            <w:r w:rsidRPr="00A5190C">
                              <w:rPr>
                                <w:b/>
                                <w:sz w:val="20"/>
                                <w:szCs w:val="20"/>
                              </w:rPr>
                              <w:t xml:space="preserve">Inflation: </w:t>
                            </w:r>
                            <w:r w:rsidRPr="00A5190C">
                              <w:rPr>
                                <w:i/>
                                <w:sz w:val="20"/>
                                <w:szCs w:val="20"/>
                              </w:rPr>
                              <w:t>Imagine that the interest rate on your savings account was 1% per year and inflation was 2% per year. After 1 year, how much would you be able to buy with the money in this account?</w:t>
                            </w:r>
                            <w:r w:rsidRPr="00A5190C">
                              <w:rPr>
                                <w:sz w:val="20"/>
                                <w:szCs w:val="20"/>
                              </w:rPr>
                              <w:br/>
                            </w:r>
                            <w:r>
                              <w:rPr>
                                <w:sz w:val="20"/>
                                <w:szCs w:val="20"/>
                              </w:rPr>
                              <w:t>(</w:t>
                            </w:r>
                            <w:r w:rsidRPr="00A5190C">
                              <w:rPr>
                                <w:sz w:val="20"/>
                                <w:szCs w:val="20"/>
                              </w:rPr>
                              <w:t>1) More than today; (2) Exactly the same; (3) Less than today; (98) Don’t know; (99) Prefer not to say</w:t>
                            </w:r>
                            <w:r>
                              <w:rPr>
                                <w:sz w:val="20"/>
                                <w:szCs w:val="20"/>
                              </w:rPr>
                              <w:t>.</w:t>
                            </w:r>
                          </w:p>
                          <w:p w:rsidR="00E61942" w:rsidRPr="003A355A" w:rsidRDefault="00E61942" w:rsidP="004B4742">
                            <w:pPr>
                              <w:shd w:val="clear" w:color="auto" w:fill="F2F2F2" w:themeFill="background1" w:themeFillShade="F2"/>
                              <w:rPr>
                                <w:sz w:val="20"/>
                                <w:szCs w:val="20"/>
                              </w:rPr>
                            </w:pPr>
                            <w:r>
                              <w:rPr>
                                <w:b/>
                                <w:sz w:val="20"/>
                                <w:szCs w:val="20"/>
                              </w:rPr>
                              <w:t>Mortgage</w:t>
                            </w:r>
                            <w:r w:rsidRPr="003A355A">
                              <w:rPr>
                                <w:b/>
                                <w:sz w:val="20"/>
                                <w:szCs w:val="20"/>
                              </w:rPr>
                              <w:t xml:space="preserve">: </w:t>
                            </w:r>
                            <w:r w:rsidRPr="003A355A">
                              <w:rPr>
                                <w:i/>
                                <w:sz w:val="20"/>
                                <w:szCs w:val="20"/>
                              </w:rPr>
                              <w:t>A 15-year mortgage typically requires higher monthly payments than a 30-year mortgage, but the total interest paid over the life of the loan will be less.</w:t>
                            </w:r>
                            <w:r>
                              <w:rPr>
                                <w:i/>
                                <w:sz w:val="20"/>
                                <w:szCs w:val="20"/>
                              </w:rPr>
                              <w:br/>
                            </w:r>
                            <w:r w:rsidRPr="00A5190C">
                              <w:rPr>
                                <w:sz w:val="20"/>
                                <w:szCs w:val="20"/>
                              </w:rPr>
                              <w:t xml:space="preserve">(1) </w:t>
                            </w:r>
                            <w:r>
                              <w:rPr>
                                <w:sz w:val="20"/>
                                <w:szCs w:val="20"/>
                              </w:rPr>
                              <w:t>True</w:t>
                            </w:r>
                            <w:r w:rsidRPr="00A5190C">
                              <w:rPr>
                                <w:sz w:val="20"/>
                                <w:szCs w:val="20"/>
                              </w:rPr>
                              <w:t xml:space="preserve">; (2) </w:t>
                            </w:r>
                            <w:r>
                              <w:rPr>
                                <w:sz w:val="20"/>
                                <w:szCs w:val="20"/>
                              </w:rPr>
                              <w:t>False</w:t>
                            </w:r>
                            <w:r w:rsidRPr="00A5190C">
                              <w:rPr>
                                <w:sz w:val="20"/>
                                <w:szCs w:val="20"/>
                              </w:rPr>
                              <w:t>; (98) Don’t know; (99) Prefer not to say.</w:t>
                            </w:r>
                          </w:p>
                          <w:p w:rsidR="00E61942" w:rsidRDefault="00E61942" w:rsidP="004B4742">
                            <w:pPr>
                              <w:shd w:val="clear" w:color="auto" w:fill="F2F2F2" w:themeFill="background1" w:themeFillShade="F2"/>
                              <w:jc w:val="both"/>
                              <w:rPr>
                                <w:sz w:val="20"/>
                                <w:szCs w:val="20"/>
                              </w:rPr>
                            </w:pPr>
                            <w:r w:rsidRPr="00A5190C">
                              <w:rPr>
                                <w:b/>
                                <w:sz w:val="20"/>
                                <w:szCs w:val="20"/>
                              </w:rPr>
                              <w:t>Bond mechanics:</w:t>
                            </w:r>
                            <w:r w:rsidRPr="00A5190C">
                              <w:rPr>
                                <w:i/>
                                <w:sz w:val="20"/>
                                <w:szCs w:val="20"/>
                              </w:rPr>
                              <w:t>If interest rates rise, what will typically happen to bond prices?</w:t>
                            </w:r>
                            <w:r>
                              <w:rPr>
                                <w:sz w:val="20"/>
                                <w:szCs w:val="20"/>
                              </w:rPr>
                              <w:br/>
                              <w:t>(</w:t>
                            </w:r>
                            <w:r w:rsidRPr="00A5190C">
                              <w:rPr>
                                <w:sz w:val="20"/>
                                <w:szCs w:val="20"/>
                              </w:rPr>
                              <w:t xml:space="preserve">1) </w:t>
                            </w:r>
                            <w:r>
                              <w:rPr>
                                <w:sz w:val="20"/>
                                <w:szCs w:val="20"/>
                              </w:rPr>
                              <w:t>They will rise</w:t>
                            </w:r>
                            <w:r w:rsidRPr="00A5190C">
                              <w:rPr>
                                <w:sz w:val="20"/>
                                <w:szCs w:val="20"/>
                              </w:rPr>
                              <w:t xml:space="preserve">; (2) </w:t>
                            </w:r>
                            <w:r>
                              <w:rPr>
                                <w:sz w:val="20"/>
                                <w:szCs w:val="20"/>
                              </w:rPr>
                              <w:t>They will fall</w:t>
                            </w:r>
                            <w:r w:rsidRPr="00A5190C">
                              <w:rPr>
                                <w:sz w:val="20"/>
                                <w:szCs w:val="20"/>
                              </w:rPr>
                              <w:t xml:space="preserve">; (3) </w:t>
                            </w:r>
                            <w:r>
                              <w:rPr>
                                <w:sz w:val="20"/>
                                <w:szCs w:val="20"/>
                              </w:rPr>
                              <w:t>They will stay the same (4) There is no relationship between bond prices and the interest rates</w:t>
                            </w:r>
                            <w:r w:rsidRPr="00A5190C">
                              <w:rPr>
                                <w:sz w:val="20"/>
                                <w:szCs w:val="20"/>
                              </w:rPr>
                              <w:t>; (98) Don’t know; (99) Prefer not to say</w:t>
                            </w:r>
                            <w:r>
                              <w:rPr>
                                <w:sz w:val="20"/>
                                <w:szCs w:val="20"/>
                              </w:rPr>
                              <w:t>.</w:t>
                            </w:r>
                          </w:p>
                          <w:p w:rsidR="00E61942" w:rsidRPr="003A355A" w:rsidRDefault="00E61942" w:rsidP="004B4742">
                            <w:pPr>
                              <w:shd w:val="clear" w:color="auto" w:fill="F2F2F2" w:themeFill="background1" w:themeFillShade="F2"/>
                              <w:jc w:val="both"/>
                              <w:rPr>
                                <w:b/>
                                <w:sz w:val="20"/>
                                <w:szCs w:val="20"/>
                              </w:rPr>
                            </w:pPr>
                            <w:r w:rsidRPr="003A355A">
                              <w:rPr>
                                <w:b/>
                                <w:sz w:val="20"/>
                                <w:szCs w:val="20"/>
                              </w:rPr>
                              <w:t>Risk diversification</w:t>
                            </w:r>
                            <w:r w:rsidRPr="003A355A">
                              <w:rPr>
                                <w:i/>
                                <w:sz w:val="20"/>
                                <w:szCs w:val="20"/>
                              </w:rPr>
                              <w:t xml:space="preserve">: Buying a single company's stock usually provides a safer return than a </w:t>
                            </w:r>
                            <w:r>
                              <w:rPr>
                                <w:i/>
                                <w:sz w:val="20"/>
                                <w:szCs w:val="20"/>
                              </w:rPr>
                              <w:t>stock mutual fund?</w:t>
                            </w:r>
                            <w:r w:rsidRPr="00A5190C">
                              <w:rPr>
                                <w:sz w:val="20"/>
                                <w:szCs w:val="20"/>
                              </w:rPr>
                              <w:t xml:space="preserve">(1) </w:t>
                            </w:r>
                            <w:r>
                              <w:rPr>
                                <w:sz w:val="20"/>
                                <w:szCs w:val="20"/>
                              </w:rPr>
                              <w:t>True</w:t>
                            </w:r>
                            <w:r w:rsidRPr="00A5190C">
                              <w:rPr>
                                <w:sz w:val="20"/>
                                <w:szCs w:val="20"/>
                              </w:rPr>
                              <w:t xml:space="preserve">; (2) </w:t>
                            </w:r>
                            <w:r>
                              <w:rPr>
                                <w:sz w:val="20"/>
                                <w:szCs w:val="20"/>
                              </w:rPr>
                              <w:t>False</w:t>
                            </w:r>
                            <w:r w:rsidRPr="00A5190C">
                              <w:rPr>
                                <w:sz w:val="20"/>
                                <w:szCs w:val="20"/>
                              </w:rPr>
                              <w:t>; (98) Don’t know; (99) Prefer not to 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5pt;margin-top:-7.45pt;width:466.2pt;height:3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" stroked="f">
                <v:textbox>
                  <w:txbxContent>
                    <w:p w:rsidR="00E61942" w:rsidRPr="00351A25" w:rsidRDefault="00E61942" w:rsidP="00922908">
                      <w:pPr>
                        <w:shd w:val="clear" w:color="auto" w:fill="F2F2F2" w:themeFill="background1" w:themeFillShade="F2"/>
                        <w:spacing w:after="0"/>
                        <w:jc w:val="both"/>
                        <w:rPr>
                          <w:sz w:val="20"/>
                          <w:szCs w:val="20"/>
                        </w:rPr>
                      </w:pPr>
                      <w:r w:rsidRPr="00351A25">
                        <w:rPr>
                          <w:b/>
                          <w:sz w:val="20"/>
                          <w:szCs w:val="20"/>
                        </w:rPr>
                        <w:t>Figure 1</w:t>
                      </w:r>
                      <w:r w:rsidRPr="00351A25">
                        <w:rPr>
                          <w:sz w:val="20"/>
                          <w:szCs w:val="20"/>
                        </w:rPr>
                        <w:t xml:space="preserve">  Financial Literacy Questions </w:t>
                      </w:r>
                    </w:p>
                    <w:p w:rsidR="00E61942" w:rsidRDefault="00E61942" w:rsidP="004B4742">
                      <w:pPr>
                        <w:shd w:val="clear" w:color="auto" w:fill="F2F2F2" w:themeFill="background1" w:themeFillShade="F2"/>
                        <w:jc w:val="both"/>
                        <w:rPr>
                          <w:sz w:val="20"/>
                          <w:szCs w:val="20"/>
                        </w:rPr>
                      </w:pPr>
                      <w:r>
                        <w:rPr>
                          <w:b/>
                          <w:sz w:val="20"/>
                          <w:szCs w:val="20"/>
                        </w:rPr>
                        <w:t>Interest Compounding I</w:t>
                      </w:r>
                      <w:r w:rsidRPr="00A5190C">
                        <w:rPr>
                          <w:b/>
                          <w:sz w:val="20"/>
                          <w:szCs w:val="20"/>
                        </w:rPr>
                        <w:t xml:space="preserve">: </w:t>
                      </w:r>
                      <w:r w:rsidRPr="00A5190C">
                        <w:rPr>
                          <w:i/>
                          <w:sz w:val="20"/>
                          <w:szCs w:val="20"/>
                        </w:rPr>
                        <w:t xml:space="preserve">Suppose you had $100 in a savings account and the interest rate was 2% per year. After 5 years, how much do you think you would have in the account if you left the money to grow?          </w:t>
                      </w:r>
                      <w:r>
                        <w:rPr>
                          <w:i/>
                          <w:sz w:val="20"/>
                          <w:szCs w:val="20"/>
                        </w:rPr>
                        <w:br/>
                      </w:r>
                      <w:r w:rsidRPr="00A5190C">
                        <w:rPr>
                          <w:sz w:val="20"/>
                          <w:szCs w:val="20"/>
                        </w:rPr>
                        <w:t>(1) More than $102; (2) Exactly $102; (3) Less than $102; (98) Don’t know; (99) Prefer not to say.</w:t>
                      </w:r>
                    </w:p>
                    <w:p w:rsidR="00E61942" w:rsidRPr="003A355A" w:rsidRDefault="00E61942" w:rsidP="004B4742">
                      <w:pPr>
                        <w:shd w:val="clear" w:color="auto" w:fill="F2F2F2" w:themeFill="background1" w:themeFillShade="F2"/>
                        <w:rPr>
                          <w:sz w:val="20"/>
                          <w:szCs w:val="20"/>
                        </w:rPr>
                      </w:pPr>
                      <w:r w:rsidRPr="00A5190C">
                        <w:rPr>
                          <w:b/>
                          <w:sz w:val="20"/>
                          <w:szCs w:val="20"/>
                        </w:rPr>
                        <w:t xml:space="preserve">Interest Compounding II: </w:t>
                      </w:r>
                      <w:r w:rsidRPr="00A5190C">
                        <w:rPr>
                          <w:i/>
                          <w:sz w:val="20"/>
                          <w:szCs w:val="20"/>
                        </w:rPr>
                        <w:t>Suppose you owe $1,000 on a loan and th</w:t>
                      </w:r>
                      <w:r>
                        <w:rPr>
                          <w:i/>
                          <w:sz w:val="20"/>
                          <w:szCs w:val="20"/>
                        </w:rPr>
                        <w:t xml:space="preserve">e interest rate you are charged </w:t>
                      </w:r>
                      <w:r w:rsidRPr="00A5190C">
                        <w:rPr>
                          <w:i/>
                          <w:sz w:val="20"/>
                          <w:szCs w:val="20"/>
                        </w:rPr>
                        <w:t>is 20% per year compounded annually. If you didn’t pay anything off, at this interest rate, how many years would it take</w:t>
                      </w:r>
                      <w:r>
                        <w:rPr>
                          <w:i/>
                          <w:sz w:val="20"/>
                          <w:szCs w:val="20"/>
                        </w:rPr>
                        <w:t xml:space="preserve"> for the amount you </w:t>
                      </w:r>
                      <w:r w:rsidRPr="00A5190C">
                        <w:rPr>
                          <w:i/>
                          <w:sz w:val="20"/>
                          <w:szCs w:val="20"/>
                        </w:rPr>
                        <w:t xml:space="preserve">owe </w:t>
                      </w:r>
                      <w:r>
                        <w:rPr>
                          <w:i/>
                          <w:sz w:val="20"/>
                          <w:szCs w:val="20"/>
                        </w:rPr>
                        <w:t xml:space="preserve">to </w:t>
                      </w:r>
                      <w:r w:rsidRPr="00A5190C">
                        <w:rPr>
                          <w:i/>
                          <w:sz w:val="20"/>
                          <w:szCs w:val="20"/>
                        </w:rPr>
                        <w:t>double?</w:t>
                      </w:r>
                      <w:r>
                        <w:rPr>
                          <w:i/>
                          <w:sz w:val="20"/>
                          <w:szCs w:val="20"/>
                        </w:rPr>
                        <w:br/>
                      </w:r>
                      <w:r w:rsidRPr="00A5190C">
                        <w:rPr>
                          <w:sz w:val="20"/>
                          <w:szCs w:val="20"/>
                        </w:rPr>
                        <w:t xml:space="preserve">(1) </w:t>
                      </w:r>
                      <w:r>
                        <w:rPr>
                          <w:sz w:val="20"/>
                          <w:szCs w:val="20"/>
                        </w:rPr>
                        <w:t>Less than 2 years</w:t>
                      </w:r>
                      <w:r w:rsidRPr="00A5190C">
                        <w:rPr>
                          <w:sz w:val="20"/>
                          <w:szCs w:val="20"/>
                        </w:rPr>
                        <w:t xml:space="preserve">; (2) </w:t>
                      </w:r>
                      <w:r>
                        <w:rPr>
                          <w:sz w:val="20"/>
                          <w:szCs w:val="20"/>
                        </w:rPr>
                        <w:t>At least 2 years but less than 5 years</w:t>
                      </w:r>
                      <w:r w:rsidRPr="00A5190C">
                        <w:rPr>
                          <w:sz w:val="20"/>
                          <w:szCs w:val="20"/>
                        </w:rPr>
                        <w:t xml:space="preserve">; (3) </w:t>
                      </w:r>
                      <w:r>
                        <w:rPr>
                          <w:sz w:val="20"/>
                          <w:szCs w:val="20"/>
                        </w:rPr>
                        <w:t>At least 5 years but less than 10 years</w:t>
                      </w:r>
                      <w:r w:rsidRPr="00A5190C">
                        <w:rPr>
                          <w:sz w:val="20"/>
                          <w:szCs w:val="20"/>
                        </w:rPr>
                        <w:t xml:space="preserve">; </w:t>
                      </w:r>
                      <w:r>
                        <w:rPr>
                          <w:sz w:val="20"/>
                          <w:szCs w:val="20"/>
                        </w:rPr>
                        <w:br/>
                        <w:t xml:space="preserve">(4) At least 10 years; </w:t>
                      </w:r>
                      <w:r w:rsidRPr="00A5190C">
                        <w:rPr>
                          <w:sz w:val="20"/>
                          <w:szCs w:val="20"/>
                        </w:rPr>
                        <w:t>(98) Don’t know; (99) Prefer not to say.</w:t>
                      </w:r>
                    </w:p>
                    <w:p w:rsidR="00E61942" w:rsidRPr="003A355A" w:rsidRDefault="00E61942" w:rsidP="004B4742">
                      <w:pPr>
                        <w:shd w:val="clear" w:color="auto" w:fill="F2F2F2" w:themeFill="background1" w:themeFillShade="F2"/>
                        <w:jc w:val="both"/>
                        <w:rPr>
                          <w:b/>
                          <w:sz w:val="20"/>
                          <w:szCs w:val="20"/>
                        </w:rPr>
                      </w:pPr>
                      <w:r w:rsidRPr="00A5190C">
                        <w:rPr>
                          <w:b/>
                          <w:sz w:val="20"/>
                          <w:szCs w:val="20"/>
                        </w:rPr>
                        <w:t xml:space="preserve">Inflation: </w:t>
                      </w:r>
                      <w:r w:rsidRPr="00A5190C">
                        <w:rPr>
                          <w:i/>
                          <w:sz w:val="20"/>
                          <w:szCs w:val="20"/>
                        </w:rPr>
                        <w:t>Imagine that the interest rate on your savings account was 1% per year and inflation was 2% per year. After 1 year, how much would you be able to buy with the money in this account?</w:t>
                      </w:r>
                      <w:r w:rsidRPr="00A5190C">
                        <w:rPr>
                          <w:sz w:val="20"/>
                          <w:szCs w:val="20"/>
                        </w:rPr>
                        <w:br/>
                      </w:r>
                      <w:r>
                        <w:rPr>
                          <w:sz w:val="20"/>
                          <w:szCs w:val="20"/>
                        </w:rPr>
                        <w:t>(</w:t>
                      </w:r>
                      <w:r w:rsidRPr="00A5190C">
                        <w:rPr>
                          <w:sz w:val="20"/>
                          <w:szCs w:val="20"/>
                        </w:rPr>
                        <w:t>1) More than today; (2) Exactly the same; (3) Less than today; (98) Don’t know; (99) Prefer not to say</w:t>
                      </w:r>
                      <w:r>
                        <w:rPr>
                          <w:sz w:val="20"/>
                          <w:szCs w:val="20"/>
                        </w:rPr>
                        <w:t>.</w:t>
                      </w:r>
                    </w:p>
                    <w:p w:rsidR="00E61942" w:rsidRPr="003A355A" w:rsidRDefault="00E61942" w:rsidP="004B4742">
                      <w:pPr>
                        <w:shd w:val="clear" w:color="auto" w:fill="F2F2F2" w:themeFill="background1" w:themeFillShade="F2"/>
                        <w:rPr>
                          <w:sz w:val="20"/>
                          <w:szCs w:val="20"/>
                        </w:rPr>
                      </w:pPr>
                      <w:r>
                        <w:rPr>
                          <w:b/>
                          <w:sz w:val="20"/>
                          <w:szCs w:val="20"/>
                        </w:rPr>
                        <w:t>Mortgage</w:t>
                      </w:r>
                      <w:r w:rsidRPr="003A355A">
                        <w:rPr>
                          <w:b/>
                          <w:sz w:val="20"/>
                          <w:szCs w:val="20"/>
                        </w:rPr>
                        <w:t xml:space="preserve">: </w:t>
                      </w:r>
                      <w:r w:rsidRPr="003A355A">
                        <w:rPr>
                          <w:i/>
                          <w:sz w:val="20"/>
                          <w:szCs w:val="20"/>
                        </w:rPr>
                        <w:t>A 15-year mortgage typically requires higher monthly payments than a 30-year mortgage, but the total interest paid over the life of the loan will be less.</w:t>
                      </w:r>
                      <w:r>
                        <w:rPr>
                          <w:i/>
                          <w:sz w:val="20"/>
                          <w:szCs w:val="20"/>
                        </w:rPr>
                        <w:br/>
                      </w:r>
                      <w:r w:rsidRPr="00A5190C">
                        <w:rPr>
                          <w:sz w:val="20"/>
                          <w:szCs w:val="20"/>
                        </w:rPr>
                        <w:t xml:space="preserve">(1) </w:t>
                      </w:r>
                      <w:r>
                        <w:rPr>
                          <w:sz w:val="20"/>
                          <w:szCs w:val="20"/>
                        </w:rPr>
                        <w:t>True</w:t>
                      </w:r>
                      <w:r w:rsidRPr="00A5190C">
                        <w:rPr>
                          <w:sz w:val="20"/>
                          <w:szCs w:val="20"/>
                        </w:rPr>
                        <w:t xml:space="preserve">; (2) </w:t>
                      </w:r>
                      <w:r>
                        <w:rPr>
                          <w:sz w:val="20"/>
                          <w:szCs w:val="20"/>
                        </w:rPr>
                        <w:t>False</w:t>
                      </w:r>
                      <w:r w:rsidRPr="00A5190C">
                        <w:rPr>
                          <w:sz w:val="20"/>
                          <w:szCs w:val="20"/>
                        </w:rPr>
                        <w:t>; (98) Don’t know; (99) Prefer not to say.</w:t>
                      </w:r>
                    </w:p>
                    <w:p w:rsidR="00E61942" w:rsidRDefault="00E61942" w:rsidP="004B4742">
                      <w:pPr>
                        <w:shd w:val="clear" w:color="auto" w:fill="F2F2F2" w:themeFill="background1" w:themeFillShade="F2"/>
                        <w:jc w:val="both"/>
                        <w:rPr>
                          <w:sz w:val="20"/>
                          <w:szCs w:val="20"/>
                        </w:rPr>
                      </w:pPr>
                      <w:r w:rsidRPr="00A5190C">
                        <w:rPr>
                          <w:b/>
                          <w:sz w:val="20"/>
                          <w:szCs w:val="20"/>
                        </w:rPr>
                        <w:t>Bond mechanics:</w:t>
                      </w:r>
                      <w:r w:rsidRPr="00A5190C">
                        <w:rPr>
                          <w:i/>
                          <w:sz w:val="20"/>
                          <w:szCs w:val="20"/>
                        </w:rPr>
                        <w:t>If interest rates rise, what will typically happen to bond prices?</w:t>
                      </w:r>
                      <w:r>
                        <w:rPr>
                          <w:sz w:val="20"/>
                          <w:szCs w:val="20"/>
                        </w:rPr>
                        <w:br/>
                        <w:t>(</w:t>
                      </w:r>
                      <w:r w:rsidRPr="00A5190C">
                        <w:rPr>
                          <w:sz w:val="20"/>
                          <w:szCs w:val="20"/>
                        </w:rPr>
                        <w:t xml:space="preserve">1) </w:t>
                      </w:r>
                      <w:r>
                        <w:rPr>
                          <w:sz w:val="20"/>
                          <w:szCs w:val="20"/>
                        </w:rPr>
                        <w:t>They will rise</w:t>
                      </w:r>
                      <w:r w:rsidRPr="00A5190C">
                        <w:rPr>
                          <w:sz w:val="20"/>
                          <w:szCs w:val="20"/>
                        </w:rPr>
                        <w:t xml:space="preserve">; (2) </w:t>
                      </w:r>
                      <w:r>
                        <w:rPr>
                          <w:sz w:val="20"/>
                          <w:szCs w:val="20"/>
                        </w:rPr>
                        <w:t>They will fall</w:t>
                      </w:r>
                      <w:r w:rsidRPr="00A5190C">
                        <w:rPr>
                          <w:sz w:val="20"/>
                          <w:szCs w:val="20"/>
                        </w:rPr>
                        <w:t xml:space="preserve">; (3) </w:t>
                      </w:r>
                      <w:r>
                        <w:rPr>
                          <w:sz w:val="20"/>
                          <w:szCs w:val="20"/>
                        </w:rPr>
                        <w:t>They will stay the same (4) There is no relationship between bond prices and the interest rates</w:t>
                      </w:r>
                      <w:r w:rsidRPr="00A5190C">
                        <w:rPr>
                          <w:sz w:val="20"/>
                          <w:szCs w:val="20"/>
                        </w:rPr>
                        <w:t>; (98) Don’t know; (99) Prefer not to say</w:t>
                      </w:r>
                      <w:r>
                        <w:rPr>
                          <w:sz w:val="20"/>
                          <w:szCs w:val="20"/>
                        </w:rPr>
                        <w:t>.</w:t>
                      </w:r>
                    </w:p>
                    <w:p w:rsidR="00E61942" w:rsidRPr="003A355A" w:rsidRDefault="00E61942" w:rsidP="004B4742">
                      <w:pPr>
                        <w:shd w:val="clear" w:color="auto" w:fill="F2F2F2" w:themeFill="background1" w:themeFillShade="F2"/>
                        <w:jc w:val="both"/>
                        <w:rPr>
                          <w:b/>
                          <w:sz w:val="20"/>
                          <w:szCs w:val="20"/>
                        </w:rPr>
                      </w:pPr>
                      <w:r w:rsidRPr="003A355A">
                        <w:rPr>
                          <w:b/>
                          <w:sz w:val="20"/>
                          <w:szCs w:val="20"/>
                        </w:rPr>
                        <w:t>Risk diversification</w:t>
                      </w:r>
                      <w:r w:rsidRPr="003A355A">
                        <w:rPr>
                          <w:i/>
                          <w:sz w:val="20"/>
                          <w:szCs w:val="20"/>
                        </w:rPr>
                        <w:t xml:space="preserve">: Buying a single company's stock usually provides a safer return than a </w:t>
                      </w:r>
                      <w:r>
                        <w:rPr>
                          <w:i/>
                          <w:sz w:val="20"/>
                          <w:szCs w:val="20"/>
                        </w:rPr>
                        <w:t>stock mutual fund?</w:t>
                      </w:r>
                      <w:r w:rsidRPr="00A5190C">
                        <w:rPr>
                          <w:sz w:val="20"/>
                          <w:szCs w:val="20"/>
                        </w:rPr>
                        <w:t xml:space="preserve">(1) </w:t>
                      </w:r>
                      <w:r>
                        <w:rPr>
                          <w:sz w:val="20"/>
                          <w:szCs w:val="20"/>
                        </w:rPr>
                        <w:t>True</w:t>
                      </w:r>
                      <w:r w:rsidRPr="00A5190C">
                        <w:rPr>
                          <w:sz w:val="20"/>
                          <w:szCs w:val="20"/>
                        </w:rPr>
                        <w:t xml:space="preserve">; (2) </w:t>
                      </w:r>
                      <w:r>
                        <w:rPr>
                          <w:sz w:val="20"/>
                          <w:szCs w:val="20"/>
                        </w:rPr>
                        <w:t>False</w:t>
                      </w:r>
                      <w:r w:rsidRPr="00A5190C">
                        <w:rPr>
                          <w:sz w:val="20"/>
                          <w:szCs w:val="20"/>
                        </w:rPr>
                        <w:t>; (98) Don’t know; (99) Prefer not to say.</w:t>
                      </w:r>
                    </w:p>
                  </w:txbxContent>
                </v:textbox>
                <w10:wrap anchorx="margin"/>
              </v:shape>
            </w:pict>
          </mc:Fallback>
        </mc:AlternateContent>
      </w:r>
    </w:p>
    <w:p w:rsidR="009F6CE1" w:rsidRDefault="009F6CE1" w:rsidP="004B4742">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tbl>
      <w:tblPr>
        <w:tblpPr w:leftFromText="180" w:rightFromText="180" w:vertAnchor="text" w:horzAnchor="margin" w:tblpY="246"/>
        <w:tblW w:w="10161" w:type="dxa"/>
        <w:shd w:val="clear" w:color="auto" w:fill="F2F2F2" w:themeFill="background1" w:themeFillShade="F2"/>
        <w:tblLook w:val="04A0" w:firstRow="1" w:lastRow="0" w:firstColumn="1" w:lastColumn="0" w:noHBand="0" w:noVBand="1"/>
      </w:tblPr>
      <w:tblGrid>
        <w:gridCol w:w="2151"/>
        <w:gridCol w:w="1536"/>
        <w:gridCol w:w="1704"/>
        <w:gridCol w:w="1080"/>
        <w:gridCol w:w="1080"/>
        <w:gridCol w:w="1083"/>
        <w:gridCol w:w="1527"/>
      </w:tblGrid>
      <w:tr w:rsidR="00E61942" w:rsidRPr="00BA60C9" w:rsidTr="00E61942">
        <w:trPr>
          <w:trHeight w:val="285"/>
        </w:trPr>
        <w:tc>
          <w:tcPr>
            <w:tcW w:w="10161" w:type="dxa"/>
            <w:gridSpan w:val="7"/>
            <w:tcBorders>
              <w:top w:val="nil"/>
              <w:left w:val="nil"/>
              <w:bottom w:val="nil"/>
              <w:right w:val="nil"/>
            </w:tcBorders>
            <w:shd w:val="clear" w:color="auto" w:fill="F2F2F2" w:themeFill="background1" w:themeFillShade="F2"/>
            <w:noWrap/>
            <w:vAlign w:val="bottom"/>
            <w:hideMark/>
          </w:tcPr>
          <w:p w:rsidR="00E61942" w:rsidRPr="00BA60C9" w:rsidRDefault="00E61942" w:rsidP="00E61942">
            <w:pPr>
              <w:spacing w:after="120" w:line="480" w:lineRule="auto"/>
              <w:mirrorIndents/>
              <w:rPr>
                <w:color w:val="000000"/>
                <w:sz w:val="20"/>
                <w:szCs w:val="20"/>
              </w:rPr>
            </w:pPr>
            <w:r w:rsidRPr="00BA60C9">
              <w:rPr>
                <w:color w:val="000000"/>
                <w:sz w:val="20"/>
                <w:szCs w:val="20"/>
              </w:rPr>
              <w:t xml:space="preserve">Figure </w:t>
            </w:r>
            <w:r>
              <w:rPr>
                <w:color w:val="000000"/>
                <w:sz w:val="20"/>
                <w:szCs w:val="20"/>
              </w:rPr>
              <w:t>2</w:t>
            </w:r>
            <w:r w:rsidRPr="00BA60C9">
              <w:rPr>
                <w:color w:val="000000"/>
                <w:sz w:val="20"/>
                <w:szCs w:val="20"/>
              </w:rPr>
              <w:t xml:space="preserve">. </w:t>
            </w:r>
            <w:r w:rsidRPr="005D3C62">
              <w:rPr>
                <w:color w:val="000000"/>
                <w:sz w:val="20"/>
                <w:szCs w:val="20"/>
              </w:rPr>
              <w:t>Percentage of correct answers to financial literacy questions</w:t>
            </w:r>
          </w:p>
        </w:tc>
      </w:tr>
      <w:tr w:rsidR="00E61942" w:rsidRPr="00BA60C9" w:rsidTr="00E61942">
        <w:trPr>
          <w:trHeight w:val="855"/>
        </w:trPr>
        <w:tc>
          <w:tcPr>
            <w:tcW w:w="2151"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120" w:line="480" w:lineRule="auto"/>
              <w:ind w:firstLine="720"/>
              <w:mirrorIndents/>
              <w:rPr>
                <w:color w:val="000000"/>
                <w:sz w:val="16"/>
                <w:szCs w:val="16"/>
              </w:rPr>
            </w:pPr>
            <w:r w:rsidRPr="00BA60C9">
              <w:rPr>
                <w:color w:val="000000"/>
                <w:sz w:val="16"/>
                <w:szCs w:val="16"/>
              </w:rPr>
              <w:t> </w:t>
            </w:r>
          </w:p>
        </w:tc>
        <w:tc>
          <w:tcPr>
            <w:tcW w:w="1536"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ind w:firstLine="720"/>
              <w:mirrorIndents/>
              <w:rPr>
                <w:color w:val="000000"/>
                <w:sz w:val="20"/>
                <w:szCs w:val="20"/>
              </w:rPr>
            </w:pPr>
            <w:r w:rsidRPr="00BA60C9">
              <w:rPr>
                <w:color w:val="000000"/>
                <w:sz w:val="20"/>
                <w:szCs w:val="20"/>
              </w:rPr>
              <w:t>Interest Compounding I</w:t>
            </w:r>
          </w:p>
        </w:tc>
        <w:tc>
          <w:tcPr>
            <w:tcW w:w="1704"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ind w:firstLine="720"/>
              <w:mirrorIndents/>
              <w:rPr>
                <w:color w:val="000000"/>
                <w:sz w:val="20"/>
                <w:szCs w:val="20"/>
              </w:rPr>
            </w:pPr>
            <w:r w:rsidRPr="00BA60C9">
              <w:rPr>
                <w:color w:val="000000"/>
                <w:sz w:val="20"/>
                <w:szCs w:val="20"/>
              </w:rPr>
              <w:t>Interest Compounding II</w:t>
            </w:r>
          </w:p>
        </w:tc>
        <w:tc>
          <w:tcPr>
            <w:tcW w:w="1080"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mirrorIndents/>
              <w:rPr>
                <w:color w:val="000000"/>
                <w:sz w:val="20"/>
                <w:szCs w:val="20"/>
              </w:rPr>
            </w:pPr>
            <w:r w:rsidRPr="00BA60C9">
              <w:rPr>
                <w:color w:val="000000"/>
                <w:sz w:val="20"/>
                <w:szCs w:val="20"/>
              </w:rPr>
              <w:t>Inflation</w:t>
            </w:r>
          </w:p>
        </w:tc>
        <w:tc>
          <w:tcPr>
            <w:tcW w:w="1080"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mirrorIndents/>
              <w:rPr>
                <w:color w:val="000000"/>
                <w:sz w:val="20"/>
                <w:szCs w:val="20"/>
              </w:rPr>
            </w:pPr>
            <w:r w:rsidRPr="00BA60C9">
              <w:rPr>
                <w:color w:val="000000"/>
                <w:sz w:val="20"/>
                <w:szCs w:val="20"/>
              </w:rPr>
              <w:t>Mortgage</w:t>
            </w:r>
          </w:p>
        </w:tc>
        <w:tc>
          <w:tcPr>
            <w:tcW w:w="1083"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mirrorIndents/>
              <w:rPr>
                <w:color w:val="000000"/>
                <w:sz w:val="20"/>
                <w:szCs w:val="20"/>
              </w:rPr>
            </w:pPr>
            <w:r>
              <w:rPr>
                <w:color w:val="000000"/>
                <w:sz w:val="20"/>
                <w:szCs w:val="20"/>
              </w:rPr>
              <w:t xml:space="preserve">Bond </w:t>
            </w:r>
            <w:r w:rsidRPr="00BA60C9">
              <w:rPr>
                <w:color w:val="000000"/>
                <w:sz w:val="20"/>
                <w:szCs w:val="20"/>
              </w:rPr>
              <w:t>Mechanics</w:t>
            </w:r>
          </w:p>
        </w:tc>
        <w:tc>
          <w:tcPr>
            <w:tcW w:w="1527" w:type="dxa"/>
            <w:tcBorders>
              <w:top w:val="nil"/>
              <w:left w:val="nil"/>
              <w:bottom w:val="single" w:sz="8" w:space="0" w:color="auto"/>
              <w:right w:val="nil"/>
            </w:tcBorders>
            <w:shd w:val="clear" w:color="auto" w:fill="D9D9D9" w:themeFill="background1" w:themeFillShade="D9"/>
            <w:noWrap/>
            <w:vAlign w:val="bottom"/>
            <w:hideMark/>
          </w:tcPr>
          <w:p w:rsidR="00E61942" w:rsidRPr="00BA60C9" w:rsidRDefault="00E61942" w:rsidP="00E61942">
            <w:pPr>
              <w:spacing w:after="0" w:line="480" w:lineRule="auto"/>
              <w:ind w:firstLine="720"/>
              <w:mirrorIndents/>
              <w:rPr>
                <w:color w:val="000000"/>
                <w:sz w:val="20"/>
                <w:szCs w:val="20"/>
              </w:rPr>
            </w:pPr>
            <w:r w:rsidRPr="00BA60C9">
              <w:rPr>
                <w:color w:val="000000"/>
                <w:sz w:val="20"/>
                <w:szCs w:val="20"/>
              </w:rPr>
              <w:t>Risk Diversification</w:t>
            </w:r>
          </w:p>
        </w:tc>
      </w:tr>
      <w:tr w:rsidR="00E61942" w:rsidRPr="00BA60C9" w:rsidTr="00E61942">
        <w:trPr>
          <w:trHeight w:val="457"/>
        </w:trPr>
        <w:tc>
          <w:tcPr>
            <w:tcW w:w="2151"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mirrorIndents/>
              <w:rPr>
                <w:color w:val="000000"/>
                <w:sz w:val="20"/>
                <w:szCs w:val="20"/>
              </w:rPr>
            </w:pPr>
            <w:r>
              <w:rPr>
                <w:color w:val="000000"/>
                <w:sz w:val="20"/>
                <w:szCs w:val="20"/>
              </w:rPr>
              <w:t xml:space="preserve">Percent correct </w:t>
            </w:r>
            <w:r w:rsidRPr="00BA60C9">
              <w:rPr>
                <w:color w:val="000000"/>
                <w:sz w:val="20"/>
                <w:szCs w:val="20"/>
              </w:rPr>
              <w:t>answers</w:t>
            </w:r>
          </w:p>
        </w:tc>
        <w:tc>
          <w:tcPr>
            <w:tcW w:w="1536"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ind w:firstLine="720"/>
              <w:mirrorIndents/>
              <w:rPr>
                <w:color w:val="000000"/>
                <w:sz w:val="20"/>
                <w:szCs w:val="20"/>
              </w:rPr>
            </w:pPr>
            <w:r>
              <w:rPr>
                <w:color w:val="000000"/>
                <w:sz w:val="20"/>
                <w:szCs w:val="20"/>
              </w:rPr>
              <w:t>80</w:t>
            </w:r>
            <w:r w:rsidRPr="00BA60C9">
              <w:rPr>
                <w:color w:val="000000"/>
                <w:sz w:val="20"/>
                <w:szCs w:val="20"/>
              </w:rPr>
              <w:t>.</w:t>
            </w:r>
            <w:r>
              <w:rPr>
                <w:color w:val="000000"/>
                <w:sz w:val="20"/>
                <w:szCs w:val="20"/>
              </w:rPr>
              <w:t>3</w:t>
            </w:r>
            <w:r w:rsidRPr="00BA60C9">
              <w:rPr>
                <w:color w:val="000000"/>
                <w:sz w:val="20"/>
                <w:szCs w:val="20"/>
              </w:rPr>
              <w:t>%</w:t>
            </w:r>
          </w:p>
        </w:tc>
        <w:tc>
          <w:tcPr>
            <w:tcW w:w="1704"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ind w:firstLine="720"/>
              <w:mirrorIndents/>
              <w:rPr>
                <w:color w:val="000000"/>
                <w:sz w:val="20"/>
                <w:szCs w:val="20"/>
              </w:rPr>
            </w:pPr>
            <w:r>
              <w:rPr>
                <w:color w:val="000000"/>
                <w:sz w:val="20"/>
                <w:szCs w:val="20"/>
              </w:rPr>
              <w:t>37</w:t>
            </w:r>
            <w:r w:rsidRPr="00BA60C9">
              <w:rPr>
                <w:color w:val="000000"/>
                <w:sz w:val="20"/>
                <w:szCs w:val="20"/>
              </w:rPr>
              <w:t>.</w:t>
            </w:r>
            <w:r>
              <w:rPr>
                <w:color w:val="000000"/>
                <w:sz w:val="20"/>
                <w:szCs w:val="20"/>
              </w:rPr>
              <w:t>0</w:t>
            </w:r>
            <w:r w:rsidRPr="00BA60C9">
              <w:rPr>
                <w:color w:val="000000"/>
                <w:sz w:val="20"/>
                <w:szCs w:val="20"/>
              </w:rPr>
              <w:t>%</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mirrorIndents/>
              <w:rPr>
                <w:color w:val="000000"/>
                <w:sz w:val="20"/>
                <w:szCs w:val="20"/>
              </w:rPr>
            </w:pPr>
            <w:r w:rsidRPr="00BA60C9">
              <w:rPr>
                <w:color w:val="000000"/>
                <w:sz w:val="20"/>
                <w:szCs w:val="20"/>
              </w:rPr>
              <w:t>6</w:t>
            </w:r>
            <w:r>
              <w:rPr>
                <w:color w:val="000000"/>
                <w:sz w:val="20"/>
                <w:szCs w:val="20"/>
              </w:rPr>
              <w:t>5</w:t>
            </w:r>
            <w:r w:rsidRPr="00BA60C9">
              <w:rPr>
                <w:color w:val="000000"/>
                <w:sz w:val="20"/>
                <w:szCs w:val="20"/>
              </w:rPr>
              <w:t>.</w:t>
            </w:r>
            <w:r>
              <w:rPr>
                <w:color w:val="000000"/>
                <w:sz w:val="20"/>
                <w:szCs w:val="20"/>
              </w:rPr>
              <w:t>4</w:t>
            </w:r>
            <w:r w:rsidRPr="00BA60C9">
              <w:rPr>
                <w:color w:val="000000"/>
                <w:sz w:val="20"/>
                <w:szCs w:val="20"/>
              </w:rPr>
              <w:t>%</w:t>
            </w:r>
          </w:p>
        </w:tc>
        <w:tc>
          <w:tcPr>
            <w:tcW w:w="1080"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mirrorIndents/>
              <w:rPr>
                <w:color w:val="000000"/>
                <w:sz w:val="20"/>
                <w:szCs w:val="20"/>
              </w:rPr>
            </w:pPr>
            <w:r w:rsidRPr="00BA60C9">
              <w:rPr>
                <w:color w:val="000000"/>
                <w:sz w:val="20"/>
                <w:szCs w:val="20"/>
              </w:rPr>
              <w:t>8</w:t>
            </w:r>
            <w:r>
              <w:rPr>
                <w:color w:val="000000"/>
                <w:sz w:val="20"/>
                <w:szCs w:val="20"/>
              </w:rPr>
              <w:t>1</w:t>
            </w:r>
            <w:r w:rsidRPr="00BA60C9">
              <w:rPr>
                <w:color w:val="000000"/>
                <w:sz w:val="20"/>
                <w:szCs w:val="20"/>
              </w:rPr>
              <w:t>.</w:t>
            </w:r>
            <w:r>
              <w:rPr>
                <w:color w:val="000000"/>
                <w:sz w:val="20"/>
                <w:szCs w:val="20"/>
              </w:rPr>
              <w:t>6</w:t>
            </w:r>
            <w:r w:rsidRPr="00BA60C9">
              <w:rPr>
                <w:color w:val="000000"/>
                <w:sz w:val="20"/>
                <w:szCs w:val="20"/>
              </w:rPr>
              <w:t>%</w:t>
            </w:r>
          </w:p>
        </w:tc>
        <w:tc>
          <w:tcPr>
            <w:tcW w:w="1083"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mirrorIndents/>
              <w:rPr>
                <w:color w:val="000000"/>
                <w:sz w:val="20"/>
                <w:szCs w:val="20"/>
              </w:rPr>
            </w:pPr>
            <w:r w:rsidRPr="00BA60C9">
              <w:rPr>
                <w:color w:val="000000"/>
                <w:sz w:val="20"/>
                <w:szCs w:val="20"/>
              </w:rPr>
              <w:t>3</w:t>
            </w:r>
            <w:r>
              <w:rPr>
                <w:color w:val="000000"/>
                <w:sz w:val="20"/>
                <w:szCs w:val="20"/>
              </w:rPr>
              <w:t>2</w:t>
            </w:r>
            <w:r w:rsidRPr="00BA60C9">
              <w:rPr>
                <w:color w:val="000000"/>
                <w:sz w:val="20"/>
                <w:szCs w:val="20"/>
              </w:rPr>
              <w:t>.</w:t>
            </w:r>
            <w:r>
              <w:rPr>
                <w:color w:val="000000"/>
                <w:sz w:val="20"/>
                <w:szCs w:val="20"/>
              </w:rPr>
              <w:t>4</w:t>
            </w:r>
            <w:r w:rsidRPr="00BA60C9">
              <w:rPr>
                <w:color w:val="000000"/>
                <w:sz w:val="20"/>
                <w:szCs w:val="20"/>
              </w:rPr>
              <w:t>%</w:t>
            </w:r>
          </w:p>
        </w:tc>
        <w:tc>
          <w:tcPr>
            <w:tcW w:w="1527" w:type="dxa"/>
            <w:tcBorders>
              <w:top w:val="nil"/>
              <w:left w:val="nil"/>
              <w:bottom w:val="single" w:sz="8" w:space="0" w:color="auto"/>
              <w:right w:val="nil"/>
            </w:tcBorders>
            <w:shd w:val="clear" w:color="auto" w:fill="F2F2F2" w:themeFill="background1" w:themeFillShade="F2"/>
            <w:noWrap/>
            <w:vAlign w:val="center"/>
            <w:hideMark/>
          </w:tcPr>
          <w:p w:rsidR="00E61942" w:rsidRPr="00BA60C9" w:rsidRDefault="00E61942" w:rsidP="00E61942">
            <w:pPr>
              <w:spacing w:after="0" w:line="480" w:lineRule="auto"/>
              <w:ind w:firstLine="720"/>
              <w:mirrorIndents/>
              <w:rPr>
                <w:color w:val="000000"/>
                <w:sz w:val="20"/>
                <w:szCs w:val="20"/>
              </w:rPr>
            </w:pPr>
            <w:r w:rsidRPr="00BA60C9">
              <w:rPr>
                <w:color w:val="000000"/>
                <w:sz w:val="20"/>
                <w:szCs w:val="20"/>
              </w:rPr>
              <w:t>5</w:t>
            </w:r>
            <w:r>
              <w:rPr>
                <w:color w:val="000000"/>
                <w:sz w:val="20"/>
                <w:szCs w:val="20"/>
              </w:rPr>
              <w:t>2</w:t>
            </w:r>
            <w:r w:rsidRPr="00BA60C9">
              <w:rPr>
                <w:color w:val="000000"/>
                <w:sz w:val="20"/>
                <w:szCs w:val="20"/>
              </w:rPr>
              <w:t>.</w:t>
            </w:r>
            <w:r>
              <w:rPr>
                <w:color w:val="000000"/>
                <w:sz w:val="20"/>
                <w:szCs w:val="20"/>
              </w:rPr>
              <w:t>7</w:t>
            </w:r>
            <w:r w:rsidRPr="00BA60C9">
              <w:rPr>
                <w:color w:val="000000"/>
                <w:sz w:val="20"/>
                <w:szCs w:val="20"/>
              </w:rPr>
              <w:t>%</w:t>
            </w:r>
          </w:p>
        </w:tc>
      </w:tr>
    </w:tbl>
    <w:p w:rsidR="004B4742" w:rsidRPr="009F6CE1" w:rsidRDefault="004B4742" w:rsidP="00922908">
      <w:pPr>
        <w:spacing w:after="0" w:line="360" w:lineRule="auto"/>
        <w:mirrorIndents/>
        <w:rPr>
          <w:b/>
          <w:sz w:val="28"/>
          <w:szCs w:val="28"/>
        </w:rPr>
      </w:pPr>
    </w:p>
    <w:tbl>
      <w:tblPr>
        <w:tblpPr w:leftFromText="180" w:rightFromText="180" w:vertAnchor="text" w:horzAnchor="margin" w:tblpY="40"/>
        <w:tblW w:w="9916" w:type="dxa"/>
        <w:shd w:val="clear" w:color="auto" w:fill="F2F2F2" w:themeFill="background1" w:themeFillShade="F2"/>
        <w:tblLook w:val="04A0" w:firstRow="1" w:lastRow="0" w:firstColumn="1" w:lastColumn="0" w:noHBand="0" w:noVBand="1"/>
      </w:tblPr>
      <w:tblGrid>
        <w:gridCol w:w="2889"/>
        <w:gridCol w:w="900"/>
        <w:gridCol w:w="887"/>
        <w:gridCol w:w="887"/>
        <w:gridCol w:w="977"/>
        <w:gridCol w:w="810"/>
        <w:gridCol w:w="887"/>
        <w:gridCol w:w="862"/>
        <w:gridCol w:w="817"/>
      </w:tblGrid>
      <w:tr w:rsidR="00E61942" w:rsidRPr="005D2667" w:rsidTr="00E61942">
        <w:trPr>
          <w:trHeight w:val="288"/>
        </w:trPr>
        <w:tc>
          <w:tcPr>
            <w:tcW w:w="9099" w:type="dxa"/>
            <w:gridSpan w:val="8"/>
            <w:tcBorders>
              <w:top w:val="nil"/>
              <w:left w:val="nil"/>
              <w:bottom w:val="nil"/>
              <w:right w:val="nil"/>
            </w:tcBorders>
            <w:shd w:val="clear" w:color="auto" w:fill="F2F2F2" w:themeFill="background1" w:themeFillShade="F2"/>
            <w:noWrap/>
            <w:vAlign w:val="bottom"/>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 xml:space="preserve">Figure </w:t>
            </w:r>
            <w:r>
              <w:rPr>
                <w:color w:val="000000"/>
                <w:sz w:val="20"/>
                <w:szCs w:val="20"/>
              </w:rPr>
              <w:t>3</w:t>
            </w:r>
            <w:r w:rsidRPr="005D2667">
              <w:rPr>
                <w:color w:val="000000"/>
                <w:sz w:val="20"/>
                <w:szCs w:val="20"/>
              </w:rPr>
              <w:t>. Financial Literacy Index and Financial Markets Participation</w:t>
            </w:r>
          </w:p>
        </w:tc>
        <w:tc>
          <w:tcPr>
            <w:tcW w:w="817" w:type="dxa"/>
            <w:tcBorders>
              <w:top w:val="nil"/>
              <w:left w:val="nil"/>
              <w:bottom w:val="nil"/>
              <w:right w:val="nil"/>
            </w:tcBorders>
            <w:shd w:val="clear" w:color="auto" w:fill="F2F2F2" w:themeFill="background1" w:themeFillShade="F2"/>
          </w:tcPr>
          <w:p w:rsidR="00E61942" w:rsidRPr="005D2667" w:rsidRDefault="00E61942" w:rsidP="00E61942">
            <w:pPr>
              <w:spacing w:after="120" w:line="480" w:lineRule="auto"/>
              <w:mirrorIndents/>
              <w:rPr>
                <w:color w:val="000000"/>
                <w:sz w:val="20"/>
                <w:szCs w:val="20"/>
              </w:rPr>
            </w:pPr>
          </w:p>
        </w:tc>
      </w:tr>
      <w:tr w:rsidR="00E61942" w:rsidRPr="005D2667" w:rsidTr="00E61942">
        <w:trPr>
          <w:trHeight w:val="300"/>
        </w:trPr>
        <w:tc>
          <w:tcPr>
            <w:tcW w:w="2889" w:type="dxa"/>
            <w:tcBorders>
              <w:top w:val="nil"/>
              <w:left w:val="nil"/>
              <w:bottom w:val="nil"/>
              <w:right w:val="nil"/>
            </w:tcBorders>
            <w:shd w:val="clear" w:color="auto" w:fill="D9D9D9" w:themeFill="background1" w:themeFillShade="D9"/>
            <w:noWrap/>
            <w:vAlign w:val="bottom"/>
            <w:hideMark/>
          </w:tcPr>
          <w:p w:rsidR="00E61942" w:rsidRPr="005D2667" w:rsidRDefault="00E61942" w:rsidP="00E61942">
            <w:pPr>
              <w:spacing w:after="120" w:line="480" w:lineRule="auto"/>
              <w:mirrorIndents/>
              <w:rPr>
                <w:color w:val="000000"/>
                <w:sz w:val="20"/>
                <w:szCs w:val="20"/>
              </w:rPr>
            </w:pPr>
          </w:p>
        </w:tc>
        <w:tc>
          <w:tcPr>
            <w:tcW w:w="7027" w:type="dxa"/>
            <w:gridSpan w:val="8"/>
            <w:tcBorders>
              <w:top w:val="nil"/>
              <w:left w:val="nil"/>
              <w:bottom w:val="single" w:sz="8" w:space="0" w:color="auto"/>
              <w:right w:val="nil"/>
            </w:tcBorders>
            <w:shd w:val="clear" w:color="auto" w:fill="D9D9D9" w:themeFill="background1" w:themeFillShade="D9"/>
            <w:noWrap/>
            <w:vAlign w:val="center"/>
            <w:hideMark/>
          </w:tcPr>
          <w:p w:rsidR="00E61942" w:rsidRPr="00175833" w:rsidRDefault="00E61942" w:rsidP="00E61942">
            <w:pPr>
              <w:spacing w:after="0" w:line="480" w:lineRule="auto"/>
              <w:mirrorIndents/>
              <w:rPr>
                <w:i/>
                <w:color w:val="000000"/>
                <w:sz w:val="20"/>
                <w:szCs w:val="20"/>
              </w:rPr>
            </w:pPr>
            <w:r>
              <w:rPr>
                <w:i/>
                <w:color w:val="000000"/>
                <w:sz w:val="20"/>
                <w:szCs w:val="20"/>
              </w:rPr>
              <w:t>Number</w:t>
            </w:r>
            <w:r w:rsidRPr="005D2667">
              <w:rPr>
                <w:i/>
                <w:color w:val="000000"/>
                <w:sz w:val="20"/>
                <w:szCs w:val="20"/>
              </w:rPr>
              <w:t xml:space="preserve"> of correct answers to financial literacy questions (out of six questions)</w:t>
            </w:r>
          </w:p>
        </w:tc>
      </w:tr>
      <w:tr w:rsidR="00E61942" w:rsidRPr="005D2667" w:rsidTr="00E61942">
        <w:trPr>
          <w:trHeight w:val="385"/>
        </w:trPr>
        <w:tc>
          <w:tcPr>
            <w:tcW w:w="2889" w:type="dxa"/>
            <w:tcBorders>
              <w:top w:val="nil"/>
              <w:left w:val="nil"/>
              <w:bottom w:val="single" w:sz="8" w:space="0" w:color="auto"/>
              <w:right w:val="nil"/>
            </w:tcBorders>
            <w:shd w:val="clear" w:color="auto" w:fill="D9D9D9" w:themeFill="background1" w:themeFillShade="D9"/>
            <w:noWrap/>
            <w:vAlign w:val="bottom"/>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 </w:t>
            </w:r>
          </w:p>
        </w:tc>
        <w:tc>
          <w:tcPr>
            <w:tcW w:w="900"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0</w:t>
            </w:r>
          </w:p>
        </w:tc>
        <w:tc>
          <w:tcPr>
            <w:tcW w:w="887"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1</w:t>
            </w:r>
          </w:p>
        </w:tc>
        <w:tc>
          <w:tcPr>
            <w:tcW w:w="887"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2</w:t>
            </w:r>
          </w:p>
        </w:tc>
        <w:tc>
          <w:tcPr>
            <w:tcW w:w="977"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3</w:t>
            </w:r>
          </w:p>
        </w:tc>
        <w:tc>
          <w:tcPr>
            <w:tcW w:w="810"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4</w:t>
            </w:r>
          </w:p>
        </w:tc>
        <w:tc>
          <w:tcPr>
            <w:tcW w:w="887"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5</w:t>
            </w:r>
          </w:p>
        </w:tc>
        <w:tc>
          <w:tcPr>
            <w:tcW w:w="862" w:type="dxa"/>
            <w:tcBorders>
              <w:top w:val="nil"/>
              <w:left w:val="nil"/>
              <w:bottom w:val="single" w:sz="8" w:space="0" w:color="auto"/>
              <w:right w:val="nil"/>
            </w:tcBorders>
            <w:shd w:val="clear" w:color="auto" w:fill="D9D9D9" w:themeFill="background1" w:themeFillShade="D9"/>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6</w:t>
            </w:r>
          </w:p>
        </w:tc>
        <w:tc>
          <w:tcPr>
            <w:tcW w:w="817" w:type="dxa"/>
            <w:tcBorders>
              <w:top w:val="nil"/>
              <w:left w:val="nil"/>
              <w:bottom w:val="single" w:sz="8" w:space="0" w:color="auto"/>
              <w:right w:val="nil"/>
            </w:tcBorders>
            <w:shd w:val="clear" w:color="auto" w:fill="D9D9D9" w:themeFill="background1" w:themeFillShade="D9"/>
            <w:vAlign w:val="center"/>
          </w:tcPr>
          <w:p w:rsidR="00E61942" w:rsidRPr="005D2667" w:rsidRDefault="00E61942" w:rsidP="00E61942">
            <w:pPr>
              <w:spacing w:after="0" w:line="480" w:lineRule="auto"/>
              <w:mirrorIndents/>
              <w:rPr>
                <w:color w:val="000000"/>
                <w:sz w:val="20"/>
                <w:szCs w:val="20"/>
              </w:rPr>
            </w:pPr>
            <w:r>
              <w:rPr>
                <w:color w:val="000000"/>
                <w:sz w:val="20"/>
                <w:szCs w:val="20"/>
              </w:rPr>
              <w:t>Mean</w:t>
            </w:r>
          </w:p>
        </w:tc>
      </w:tr>
      <w:tr w:rsidR="00E61942" w:rsidRPr="00175833" w:rsidTr="00E61942">
        <w:trPr>
          <w:trHeight w:val="430"/>
        </w:trPr>
        <w:tc>
          <w:tcPr>
            <w:tcW w:w="2889"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Proportion of respondents</w:t>
            </w:r>
          </w:p>
        </w:tc>
        <w:tc>
          <w:tcPr>
            <w:tcW w:w="900"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3</w:t>
            </w:r>
            <w:r w:rsidRPr="005D2667">
              <w:rPr>
                <w:color w:val="000000"/>
                <w:sz w:val="20"/>
                <w:szCs w:val="20"/>
              </w:rPr>
              <w:t>.</w:t>
            </w:r>
            <w:r>
              <w:rPr>
                <w:color w:val="000000"/>
                <w:sz w:val="20"/>
                <w:szCs w:val="20"/>
              </w:rPr>
              <w:t>9</w:t>
            </w:r>
            <w:r w:rsidRPr="005D2667">
              <w:rPr>
                <w:color w:val="000000"/>
                <w:sz w:val="20"/>
                <w:szCs w:val="20"/>
              </w:rPr>
              <w:t>%</w:t>
            </w:r>
          </w:p>
        </w:tc>
        <w:tc>
          <w:tcPr>
            <w:tcW w:w="887"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8.</w:t>
            </w:r>
            <w:r>
              <w:rPr>
                <w:color w:val="000000"/>
                <w:sz w:val="20"/>
                <w:szCs w:val="20"/>
              </w:rPr>
              <w:t>2</w:t>
            </w:r>
            <w:r w:rsidRPr="005D2667">
              <w:rPr>
                <w:color w:val="000000"/>
                <w:sz w:val="20"/>
                <w:szCs w:val="20"/>
              </w:rPr>
              <w:t>%</w:t>
            </w:r>
          </w:p>
        </w:tc>
        <w:tc>
          <w:tcPr>
            <w:tcW w:w="887"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15.</w:t>
            </w:r>
            <w:r>
              <w:rPr>
                <w:color w:val="000000"/>
                <w:sz w:val="20"/>
                <w:szCs w:val="20"/>
              </w:rPr>
              <w:t>4</w:t>
            </w:r>
            <w:r w:rsidRPr="005D2667">
              <w:rPr>
                <w:color w:val="000000"/>
                <w:sz w:val="20"/>
                <w:szCs w:val="20"/>
              </w:rPr>
              <w:t>%</w:t>
            </w:r>
          </w:p>
        </w:tc>
        <w:tc>
          <w:tcPr>
            <w:tcW w:w="977"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20.</w:t>
            </w:r>
            <w:r>
              <w:rPr>
                <w:color w:val="000000"/>
                <w:sz w:val="20"/>
                <w:szCs w:val="20"/>
              </w:rPr>
              <w:t>2</w:t>
            </w:r>
            <w:r w:rsidRPr="005D2667">
              <w:rPr>
                <w:color w:val="000000"/>
                <w:sz w:val="20"/>
                <w:szCs w:val="20"/>
              </w:rPr>
              <w:t>%</w:t>
            </w:r>
          </w:p>
        </w:tc>
        <w:tc>
          <w:tcPr>
            <w:tcW w:w="810"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2</w:t>
            </w:r>
            <w:r>
              <w:rPr>
                <w:color w:val="000000"/>
                <w:sz w:val="20"/>
                <w:szCs w:val="20"/>
              </w:rPr>
              <w:t>2</w:t>
            </w:r>
            <w:r w:rsidRPr="005D2667">
              <w:rPr>
                <w:color w:val="000000"/>
                <w:sz w:val="20"/>
                <w:szCs w:val="20"/>
              </w:rPr>
              <w:t>.</w:t>
            </w:r>
            <w:r>
              <w:rPr>
                <w:color w:val="000000"/>
                <w:sz w:val="20"/>
                <w:szCs w:val="20"/>
              </w:rPr>
              <w:t>0</w:t>
            </w:r>
            <w:r w:rsidRPr="005D2667">
              <w:rPr>
                <w:color w:val="000000"/>
                <w:sz w:val="20"/>
                <w:szCs w:val="20"/>
              </w:rPr>
              <w:t>%</w:t>
            </w:r>
          </w:p>
        </w:tc>
        <w:tc>
          <w:tcPr>
            <w:tcW w:w="887"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19.7</w:t>
            </w:r>
            <w:r w:rsidRPr="005D2667">
              <w:rPr>
                <w:color w:val="000000"/>
                <w:sz w:val="20"/>
                <w:szCs w:val="20"/>
              </w:rPr>
              <w:t>%</w:t>
            </w:r>
          </w:p>
        </w:tc>
        <w:tc>
          <w:tcPr>
            <w:tcW w:w="862" w:type="dxa"/>
            <w:tcBorders>
              <w:top w:val="nil"/>
              <w:left w:val="nil"/>
              <w:bottom w:val="nil"/>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10.5</w:t>
            </w:r>
            <w:r w:rsidRPr="005D2667">
              <w:rPr>
                <w:color w:val="000000"/>
                <w:sz w:val="20"/>
                <w:szCs w:val="20"/>
              </w:rPr>
              <w:t>%</w:t>
            </w:r>
          </w:p>
        </w:tc>
        <w:tc>
          <w:tcPr>
            <w:tcW w:w="817" w:type="dxa"/>
            <w:tcBorders>
              <w:top w:val="nil"/>
              <w:left w:val="nil"/>
              <w:bottom w:val="nil"/>
              <w:right w:val="nil"/>
            </w:tcBorders>
            <w:shd w:val="clear" w:color="auto" w:fill="F2F2F2" w:themeFill="background1" w:themeFillShade="F2"/>
            <w:vAlign w:val="center"/>
          </w:tcPr>
          <w:p w:rsidR="00E61942" w:rsidRPr="00175833" w:rsidRDefault="00E61942" w:rsidP="00E61942">
            <w:pPr>
              <w:spacing w:after="0" w:line="480" w:lineRule="auto"/>
              <w:mirrorIndents/>
              <w:rPr>
                <w:b/>
                <w:color w:val="000000"/>
                <w:sz w:val="20"/>
                <w:szCs w:val="20"/>
              </w:rPr>
            </w:pPr>
            <w:r w:rsidRPr="00175833">
              <w:rPr>
                <w:b/>
                <w:color w:val="000000"/>
                <w:sz w:val="20"/>
                <w:szCs w:val="20"/>
              </w:rPr>
              <w:t>3.49</w:t>
            </w:r>
          </w:p>
        </w:tc>
      </w:tr>
      <w:tr w:rsidR="00E61942" w:rsidRPr="00175833" w:rsidTr="00E61942">
        <w:trPr>
          <w:trHeight w:val="270"/>
        </w:trPr>
        <w:tc>
          <w:tcPr>
            <w:tcW w:w="2889"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Financial market participation</w:t>
            </w:r>
          </w:p>
        </w:tc>
        <w:tc>
          <w:tcPr>
            <w:tcW w:w="900"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16</w:t>
            </w:r>
            <w:r w:rsidRPr="005D2667">
              <w:rPr>
                <w:color w:val="000000"/>
                <w:sz w:val="20"/>
                <w:szCs w:val="20"/>
              </w:rPr>
              <w:t>.</w:t>
            </w:r>
            <w:r>
              <w:rPr>
                <w:color w:val="000000"/>
                <w:sz w:val="20"/>
                <w:szCs w:val="20"/>
              </w:rPr>
              <w:t>6</w:t>
            </w:r>
            <w:r w:rsidRPr="005D2667">
              <w:rPr>
                <w:color w:val="000000"/>
                <w:sz w:val="20"/>
                <w:szCs w:val="20"/>
              </w:rPr>
              <w:t>%</w:t>
            </w:r>
          </w:p>
        </w:tc>
        <w:tc>
          <w:tcPr>
            <w:tcW w:w="887"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20</w:t>
            </w:r>
            <w:r w:rsidRPr="005D2667">
              <w:rPr>
                <w:color w:val="000000"/>
                <w:sz w:val="20"/>
                <w:szCs w:val="20"/>
              </w:rPr>
              <w:t>.</w:t>
            </w:r>
            <w:r>
              <w:rPr>
                <w:color w:val="000000"/>
                <w:sz w:val="20"/>
                <w:szCs w:val="20"/>
              </w:rPr>
              <w:t>7</w:t>
            </w:r>
            <w:r w:rsidRPr="005D2667">
              <w:rPr>
                <w:color w:val="000000"/>
                <w:sz w:val="20"/>
                <w:szCs w:val="20"/>
              </w:rPr>
              <w:t>%</w:t>
            </w:r>
          </w:p>
        </w:tc>
        <w:tc>
          <w:tcPr>
            <w:tcW w:w="887"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26</w:t>
            </w:r>
            <w:r w:rsidRPr="005D2667">
              <w:rPr>
                <w:color w:val="000000"/>
                <w:sz w:val="20"/>
                <w:szCs w:val="20"/>
              </w:rPr>
              <w:t>.9%</w:t>
            </w:r>
          </w:p>
        </w:tc>
        <w:tc>
          <w:tcPr>
            <w:tcW w:w="977"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Pr>
                <w:color w:val="000000"/>
                <w:sz w:val="20"/>
                <w:szCs w:val="20"/>
              </w:rPr>
              <w:t>28</w:t>
            </w:r>
            <w:r w:rsidRPr="005D2667">
              <w:rPr>
                <w:color w:val="000000"/>
                <w:sz w:val="20"/>
                <w:szCs w:val="20"/>
              </w:rPr>
              <w:t>.</w:t>
            </w:r>
            <w:r>
              <w:rPr>
                <w:color w:val="000000"/>
                <w:sz w:val="20"/>
                <w:szCs w:val="20"/>
              </w:rPr>
              <w:t>1</w:t>
            </w:r>
            <w:r w:rsidRPr="005D2667">
              <w:rPr>
                <w:color w:val="000000"/>
                <w:sz w:val="20"/>
                <w:szCs w:val="20"/>
              </w:rPr>
              <w:t>%</w:t>
            </w:r>
          </w:p>
        </w:tc>
        <w:tc>
          <w:tcPr>
            <w:tcW w:w="810"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36.</w:t>
            </w:r>
            <w:r>
              <w:rPr>
                <w:color w:val="000000"/>
                <w:sz w:val="20"/>
                <w:szCs w:val="20"/>
              </w:rPr>
              <w:t>8</w:t>
            </w:r>
            <w:r w:rsidRPr="005D2667">
              <w:rPr>
                <w:color w:val="000000"/>
                <w:sz w:val="20"/>
                <w:szCs w:val="20"/>
              </w:rPr>
              <w:t>%</w:t>
            </w:r>
          </w:p>
        </w:tc>
        <w:tc>
          <w:tcPr>
            <w:tcW w:w="887"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49.7%</w:t>
            </w:r>
          </w:p>
        </w:tc>
        <w:tc>
          <w:tcPr>
            <w:tcW w:w="862" w:type="dxa"/>
            <w:tcBorders>
              <w:top w:val="nil"/>
              <w:left w:val="nil"/>
              <w:bottom w:val="single" w:sz="8" w:space="0" w:color="auto"/>
              <w:right w:val="nil"/>
            </w:tcBorders>
            <w:shd w:val="clear" w:color="auto" w:fill="F2F2F2" w:themeFill="background1" w:themeFillShade="F2"/>
            <w:noWrap/>
            <w:vAlign w:val="center"/>
            <w:hideMark/>
          </w:tcPr>
          <w:p w:rsidR="00E61942" w:rsidRPr="005D2667" w:rsidRDefault="00E61942" w:rsidP="00E61942">
            <w:pPr>
              <w:spacing w:after="0" w:line="480" w:lineRule="auto"/>
              <w:mirrorIndents/>
              <w:rPr>
                <w:color w:val="000000"/>
                <w:sz w:val="20"/>
                <w:szCs w:val="20"/>
              </w:rPr>
            </w:pPr>
            <w:r w:rsidRPr="005D2667">
              <w:rPr>
                <w:color w:val="000000"/>
                <w:sz w:val="20"/>
                <w:szCs w:val="20"/>
              </w:rPr>
              <w:t>63.</w:t>
            </w:r>
            <w:r>
              <w:rPr>
                <w:color w:val="000000"/>
                <w:sz w:val="20"/>
                <w:szCs w:val="20"/>
              </w:rPr>
              <w:t>6</w:t>
            </w:r>
            <w:r w:rsidRPr="005D2667">
              <w:rPr>
                <w:color w:val="000000"/>
                <w:sz w:val="20"/>
                <w:szCs w:val="20"/>
              </w:rPr>
              <w:t>%</w:t>
            </w:r>
          </w:p>
        </w:tc>
        <w:tc>
          <w:tcPr>
            <w:tcW w:w="817" w:type="dxa"/>
            <w:tcBorders>
              <w:top w:val="nil"/>
              <w:left w:val="nil"/>
              <w:bottom w:val="single" w:sz="8" w:space="0" w:color="auto"/>
              <w:right w:val="nil"/>
            </w:tcBorders>
            <w:shd w:val="clear" w:color="auto" w:fill="F2F2F2" w:themeFill="background1" w:themeFillShade="F2"/>
            <w:vAlign w:val="center"/>
          </w:tcPr>
          <w:p w:rsidR="00E61942" w:rsidRPr="00175833" w:rsidRDefault="00E61942" w:rsidP="00E61942">
            <w:pPr>
              <w:spacing w:after="0" w:line="480" w:lineRule="auto"/>
              <w:mirrorIndents/>
              <w:rPr>
                <w:b/>
                <w:color w:val="000000"/>
                <w:sz w:val="20"/>
                <w:szCs w:val="20"/>
              </w:rPr>
            </w:pPr>
            <w:r w:rsidRPr="00175833">
              <w:rPr>
                <w:b/>
                <w:color w:val="000000"/>
                <w:sz w:val="20"/>
                <w:szCs w:val="20"/>
              </w:rPr>
              <w:t>36.8%</w:t>
            </w:r>
          </w:p>
        </w:tc>
      </w:tr>
    </w:tbl>
    <w:p w:rsidR="00922908" w:rsidRPr="00E61942" w:rsidRDefault="00922908" w:rsidP="00922908">
      <w:pPr>
        <w:spacing w:after="0" w:line="360" w:lineRule="auto"/>
        <w:mirrorIndents/>
        <w:rPr>
          <w:b/>
          <w:sz w:val="16"/>
          <w:szCs w:val="16"/>
        </w:rPr>
      </w:pPr>
    </w:p>
    <w:tbl>
      <w:tblPr>
        <w:tblpPr w:leftFromText="180" w:rightFromText="180" w:vertAnchor="text" w:horzAnchor="margin" w:tblpY="-699"/>
        <w:tblW w:w="9829" w:type="dxa"/>
        <w:shd w:val="clear" w:color="auto" w:fill="F2F2F2" w:themeFill="background1" w:themeFillShade="F2"/>
        <w:tblLook w:val="04A0" w:firstRow="1" w:lastRow="0" w:firstColumn="1" w:lastColumn="0" w:noHBand="0" w:noVBand="1"/>
      </w:tblPr>
      <w:tblGrid>
        <w:gridCol w:w="4329"/>
        <w:gridCol w:w="1100"/>
        <w:gridCol w:w="1100"/>
        <w:gridCol w:w="1100"/>
        <w:gridCol w:w="1100"/>
        <w:gridCol w:w="1100"/>
      </w:tblGrid>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lastRenderedPageBreak/>
              <w:t xml:space="preserve">Figure </w:t>
            </w:r>
            <w:r>
              <w:rPr>
                <w:color w:val="000000"/>
                <w:sz w:val="20"/>
                <w:szCs w:val="20"/>
              </w:rPr>
              <w:t>4</w:t>
            </w:r>
            <w:r w:rsidRPr="005D3C62">
              <w:rPr>
                <w:color w:val="000000"/>
                <w:sz w:val="20"/>
                <w:szCs w:val="20"/>
              </w:rPr>
              <w:t>. Descriptive Statistics</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16"/>
                <w:szCs w:val="16"/>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16"/>
                <w:szCs w:val="16"/>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16"/>
                <w:szCs w:val="16"/>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16"/>
                <w:szCs w:val="16"/>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16"/>
                <w:szCs w:val="16"/>
              </w:rPr>
            </w:pPr>
          </w:p>
        </w:tc>
      </w:tr>
      <w:tr w:rsidR="00930B34" w:rsidRPr="005D3C62" w:rsidTr="00930B34">
        <w:trPr>
          <w:trHeight w:hRule="exact" w:val="189"/>
        </w:trPr>
        <w:tc>
          <w:tcPr>
            <w:tcW w:w="4329"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Variable</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Obs</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Mean</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Std. Dev.</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Min</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b/>
                <w:color w:val="000000"/>
                <w:sz w:val="20"/>
                <w:szCs w:val="20"/>
              </w:rPr>
            </w:pPr>
            <w:r w:rsidRPr="005D3C62">
              <w:rPr>
                <w:b/>
                <w:color w:val="000000"/>
                <w:sz w:val="20"/>
                <w:szCs w:val="20"/>
              </w:rPr>
              <w:t>Max</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Financial Market Participation</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0.368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Financial Literacy Score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3.494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1.597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6</w:t>
            </w:r>
          </w:p>
        </w:tc>
      </w:tr>
      <w:tr w:rsidR="00930B34" w:rsidRPr="005D3C62" w:rsidTr="00930B34">
        <w:trPr>
          <w:trHeight w:hRule="exact" w:val="288"/>
        </w:trPr>
        <w:tc>
          <w:tcPr>
            <w:tcW w:w="4329" w:type="dxa"/>
            <w:tcBorders>
              <w:top w:val="nil"/>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Risk Aversion</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Risk-averse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0.382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0.486</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Risk-medium</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0.396</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0.489</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Risk-taker</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0.222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0.416</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Time Preference</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single" w:sz="4" w:space="0" w:color="auto"/>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Low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0.675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0.468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Mid</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0.197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0.398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Long</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0.128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0.334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Gender</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single" w:sz="4" w:space="0" w:color="auto"/>
              <w:left w:val="nil"/>
              <w:right w:val="nil"/>
            </w:tcBorders>
            <w:shd w:val="clear" w:color="auto" w:fill="F2F2F2" w:themeFill="background1" w:themeFillShade="F2"/>
            <w:noWrap/>
            <w:vAlign w:val="bottom"/>
            <w:hideMark/>
          </w:tcPr>
          <w:p w:rsidR="00930B34" w:rsidRPr="005F3A06" w:rsidRDefault="00930B34" w:rsidP="00930B34">
            <w:pPr>
              <w:spacing w:line="480" w:lineRule="auto"/>
              <w:mirrorIndents/>
              <w:rPr>
                <w:color w:val="000000"/>
                <w:sz w:val="20"/>
                <w:szCs w:val="20"/>
              </w:rPr>
            </w:pPr>
            <w:r>
              <w:rPr>
                <w:color w:val="000000"/>
                <w:sz w:val="20"/>
                <w:szCs w:val="20"/>
              </w:rPr>
              <w:t>Female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0.540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0.498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1</w:t>
            </w:r>
          </w:p>
        </w:tc>
      </w:tr>
      <w:tr w:rsidR="00930B34" w:rsidRPr="005D3C62" w:rsidTr="00930B34">
        <w:trPr>
          <w:trHeight w:hRule="exact" w:val="288"/>
        </w:trPr>
        <w:tc>
          <w:tcPr>
            <w:tcW w:w="4329" w:type="dxa"/>
            <w:tcBorders>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Male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0.460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0.498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 group</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Ages 18-24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0.108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0.310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Ages 25-34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0.185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0.389</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Ages 35-44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0.165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0.371</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Ages 45-54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0.180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0.384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single" w:sz="2"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Age 55 and more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0.362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0.481</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single" w:sz="2" w:space="0" w:color="auto"/>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Married</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0.563</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0.496</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AF09E6" w:rsidTr="00930B34">
        <w:trPr>
          <w:trHeight w:hRule="exact" w:val="288"/>
        </w:trPr>
        <w:tc>
          <w:tcPr>
            <w:tcW w:w="4329" w:type="dxa"/>
            <w:tcBorders>
              <w:top w:val="nil"/>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Employment status</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 xml:space="preserve">Full-time student, part-/full-time employed employed, homemaker etc. [Reference  </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 xml:space="preserve">homemaker, sick, disabled etc. [Reference group] </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0.725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1</w:t>
            </w:r>
          </w:p>
        </w:tc>
      </w:tr>
      <w:tr w:rsidR="00930B34" w:rsidRPr="005D3C62" w:rsidTr="00930B34">
        <w:trPr>
          <w:trHeight w:hRule="exact" w:val="288"/>
        </w:trPr>
        <w:tc>
          <w:tcPr>
            <w:tcW w:w="4329" w:type="dxa"/>
            <w:tcBorders>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Self-employed</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0.073</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0.260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Retired</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0.202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0.401</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Financially dependent children</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None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0.624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0.160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0.367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0.136</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0.343</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3</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0.052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0.222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4 and more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0.027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0.162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Educational Attainment</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single" w:sz="4" w:space="0" w:color="auto"/>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No high school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0.015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0.121</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High school</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0.198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0.398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Some college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0.389</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Bachelor's</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0.248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0.432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Postgraduate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0.150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0.357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Income Level</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single" w:sz="4" w:space="0" w:color="auto"/>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$25,000 and less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0.189</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0.392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between 25,000 and 50,000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0.252</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0.434</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between 50,000 and 100,000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0.358</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0.480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$100,000 and more</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0.200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0.400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left w:val="nil"/>
              <w:bottom w:val="single" w:sz="4" w:space="0" w:color="auto"/>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Race</w:t>
            </w: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c>
          <w:tcPr>
            <w:tcW w:w="1100" w:type="dxa"/>
            <w:tcBorders>
              <w:top w:val="nil"/>
              <w:left w:val="nil"/>
              <w:bottom w:val="nil"/>
              <w:right w:val="nil"/>
            </w:tcBorders>
            <w:shd w:val="clear" w:color="auto" w:fill="D9D9D9" w:themeFill="background1" w:themeFillShade="D9"/>
            <w:noWrap/>
            <w:vAlign w:val="bottom"/>
            <w:hideMark/>
          </w:tcPr>
          <w:p w:rsidR="00930B34" w:rsidRPr="005D3C62" w:rsidRDefault="00930B34" w:rsidP="00930B34">
            <w:pPr>
              <w:spacing w:line="480" w:lineRule="auto"/>
              <w:mirrorIndents/>
              <w:rPr>
                <w:color w:val="000000"/>
                <w:sz w:val="20"/>
                <w:szCs w:val="20"/>
              </w:rPr>
            </w:pPr>
          </w:p>
        </w:tc>
      </w:tr>
      <w:tr w:rsidR="00930B34" w:rsidRPr="005D3C62" w:rsidTr="00930B34">
        <w:trPr>
          <w:trHeight w:hRule="exact" w:val="288"/>
        </w:trPr>
        <w:tc>
          <w:tcPr>
            <w:tcW w:w="4329" w:type="dxa"/>
            <w:tcBorders>
              <w:top w:val="single" w:sz="4" w:space="0" w:color="auto"/>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Pr>
                <w:color w:val="000000"/>
                <w:sz w:val="20"/>
                <w:szCs w:val="20"/>
              </w:rPr>
              <w:t>Non</w:t>
            </w:r>
            <w:r w:rsidRPr="005D3C62">
              <w:rPr>
                <w:color w:val="000000"/>
                <w:sz w:val="20"/>
                <w:szCs w:val="20"/>
              </w:rPr>
              <w:t>-white [Reference group]</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0.273</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0.445</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nil"/>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r w:rsidR="00930B34" w:rsidRPr="005D3C62" w:rsidTr="00930B34">
        <w:trPr>
          <w:trHeight w:hRule="exact" w:val="288"/>
        </w:trPr>
        <w:tc>
          <w:tcPr>
            <w:tcW w:w="4329"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White</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22447</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0.727</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0.445</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0</w:t>
            </w:r>
          </w:p>
        </w:tc>
        <w:tc>
          <w:tcPr>
            <w:tcW w:w="1100" w:type="dxa"/>
            <w:tcBorders>
              <w:top w:val="nil"/>
              <w:left w:val="nil"/>
              <w:bottom w:val="single" w:sz="8" w:space="0" w:color="auto"/>
              <w:right w:val="nil"/>
            </w:tcBorders>
            <w:shd w:val="clear" w:color="auto" w:fill="F2F2F2" w:themeFill="background1" w:themeFillShade="F2"/>
            <w:noWrap/>
            <w:vAlign w:val="bottom"/>
            <w:hideMark/>
          </w:tcPr>
          <w:p w:rsidR="00930B34" w:rsidRPr="005D3C62" w:rsidRDefault="00930B34" w:rsidP="00930B34">
            <w:pPr>
              <w:spacing w:line="480" w:lineRule="auto"/>
              <w:mirrorIndents/>
              <w:rPr>
                <w:color w:val="000000"/>
                <w:sz w:val="20"/>
                <w:szCs w:val="20"/>
              </w:rPr>
            </w:pPr>
            <w:r w:rsidRPr="005D3C62">
              <w:rPr>
                <w:color w:val="000000"/>
                <w:sz w:val="20"/>
                <w:szCs w:val="20"/>
              </w:rPr>
              <w:t>1</w:t>
            </w:r>
          </w:p>
        </w:tc>
      </w:tr>
    </w:tbl>
    <w:p w:rsidR="004B4742" w:rsidRDefault="004B4742" w:rsidP="00930B34">
      <w:pPr>
        <w:spacing w:after="120" w:line="360" w:lineRule="auto"/>
        <w:mirrorIndents/>
        <w:rPr>
          <w:b/>
          <w:sz w:val="28"/>
          <w:szCs w:val="28"/>
        </w:rPr>
      </w:pPr>
    </w:p>
    <w:tbl>
      <w:tblPr>
        <w:tblStyle w:val="TableGrid"/>
        <w:tblpPr w:leftFromText="180" w:rightFromText="180" w:vertAnchor="text" w:horzAnchor="margin" w:tblpY="25"/>
        <w:tblW w:w="7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69"/>
        <w:gridCol w:w="3569"/>
      </w:tblGrid>
      <w:tr w:rsidR="004B4742" w:rsidTr="003804AA">
        <w:trPr>
          <w:trHeight w:val="430"/>
        </w:trPr>
        <w:tc>
          <w:tcPr>
            <w:tcW w:w="7138" w:type="dxa"/>
            <w:gridSpan w:val="2"/>
            <w:tcBorders>
              <w:bottom w:val="single" w:sz="12" w:space="0" w:color="auto"/>
            </w:tcBorders>
            <w:shd w:val="clear" w:color="auto" w:fill="D9D9D9" w:themeFill="background1" w:themeFillShade="D9"/>
            <w:vAlign w:val="center"/>
          </w:tcPr>
          <w:p w:rsidR="004B4742" w:rsidRDefault="004B4742" w:rsidP="003804AA">
            <w:pPr>
              <w:spacing w:after="120" w:line="480" w:lineRule="auto"/>
              <w:ind w:firstLine="720"/>
              <w:mirrorIndents/>
            </w:pPr>
            <w:r>
              <w:t>Figure 5. RESET specification test</w:t>
            </w:r>
          </w:p>
        </w:tc>
      </w:tr>
      <w:tr w:rsidR="004B4742" w:rsidTr="003804AA">
        <w:trPr>
          <w:trHeight w:val="357"/>
        </w:trPr>
        <w:tc>
          <w:tcPr>
            <w:tcW w:w="7138" w:type="dxa"/>
            <w:gridSpan w:val="2"/>
            <w:tcBorders>
              <w:top w:val="single" w:sz="12" w:space="0" w:color="auto"/>
            </w:tcBorders>
            <w:shd w:val="clear" w:color="auto" w:fill="F2F2F2" w:themeFill="background1" w:themeFillShade="F2"/>
          </w:tcPr>
          <w:p w:rsidR="004B4742" w:rsidRPr="00E25259" w:rsidRDefault="004B4742" w:rsidP="003804AA">
            <w:pPr>
              <w:spacing w:line="480" w:lineRule="auto"/>
              <w:ind w:firstLine="720"/>
              <w:mirrorIndents/>
            </w:pPr>
            <w:r>
              <w:t>H</w:t>
            </w:r>
            <w:r w:rsidRPr="00E25259">
              <w:rPr>
                <w:vertAlign w:val="subscript"/>
              </w:rPr>
              <w:t>0</w:t>
            </w:r>
            <w:r>
              <w:t>: Specification is correct</w:t>
            </w:r>
          </w:p>
        </w:tc>
      </w:tr>
      <w:tr w:rsidR="004B4742" w:rsidTr="003804AA">
        <w:trPr>
          <w:trHeight w:val="373"/>
        </w:trPr>
        <w:tc>
          <w:tcPr>
            <w:tcW w:w="3569" w:type="dxa"/>
            <w:shd w:val="clear" w:color="auto" w:fill="F2F2F2" w:themeFill="background1" w:themeFillShade="F2"/>
          </w:tcPr>
          <w:p w:rsidR="004B4742" w:rsidRDefault="004B4742" w:rsidP="003804AA">
            <w:pPr>
              <w:spacing w:line="480" w:lineRule="auto"/>
              <w:ind w:firstLine="720"/>
              <w:mirrorIndents/>
            </w:pPr>
            <w:r w:rsidRPr="00E25259">
              <w:t>F(3, 22421)</w:t>
            </w:r>
          </w:p>
        </w:tc>
        <w:tc>
          <w:tcPr>
            <w:tcW w:w="3569" w:type="dxa"/>
            <w:shd w:val="clear" w:color="auto" w:fill="F2F2F2" w:themeFill="background1" w:themeFillShade="F2"/>
          </w:tcPr>
          <w:p w:rsidR="004B4742" w:rsidRDefault="004B4742" w:rsidP="003804AA">
            <w:pPr>
              <w:spacing w:line="480" w:lineRule="auto"/>
              <w:ind w:firstLine="720"/>
              <w:mirrorIndents/>
            </w:pPr>
            <w:r w:rsidRPr="00E25259">
              <w:t>49.15</w:t>
            </w:r>
          </w:p>
        </w:tc>
      </w:tr>
      <w:tr w:rsidR="004B4742" w:rsidTr="003804AA">
        <w:trPr>
          <w:trHeight w:val="411"/>
        </w:trPr>
        <w:tc>
          <w:tcPr>
            <w:tcW w:w="3569" w:type="dxa"/>
            <w:shd w:val="clear" w:color="auto" w:fill="F2F2F2" w:themeFill="background1" w:themeFillShade="F2"/>
          </w:tcPr>
          <w:p w:rsidR="004B4742" w:rsidRDefault="004B4742" w:rsidP="003804AA">
            <w:pPr>
              <w:spacing w:line="480" w:lineRule="auto"/>
              <w:ind w:firstLine="720"/>
              <w:mirrorIndents/>
            </w:pPr>
            <w:r w:rsidRPr="00E25259">
              <w:t xml:space="preserve">                  Prob &gt; F</w:t>
            </w:r>
          </w:p>
        </w:tc>
        <w:tc>
          <w:tcPr>
            <w:tcW w:w="3569" w:type="dxa"/>
            <w:shd w:val="clear" w:color="auto" w:fill="F2F2F2" w:themeFill="background1" w:themeFillShade="F2"/>
          </w:tcPr>
          <w:p w:rsidR="004B4742" w:rsidRDefault="004B4742" w:rsidP="003804AA">
            <w:pPr>
              <w:spacing w:line="480" w:lineRule="auto"/>
              <w:ind w:firstLine="720"/>
              <w:mirrorIndents/>
            </w:pPr>
            <w:r w:rsidRPr="00E25259">
              <w:t>0.0000</w:t>
            </w:r>
          </w:p>
        </w:tc>
      </w:tr>
    </w:tbl>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38"/>
        <w:gridCol w:w="1980"/>
      </w:tblGrid>
      <w:tr w:rsidR="004B4742" w:rsidTr="003804AA">
        <w:trPr>
          <w:trHeight w:hRule="exact" w:val="288"/>
        </w:trPr>
        <w:tc>
          <w:tcPr>
            <w:tcW w:w="7218" w:type="dxa"/>
            <w:gridSpan w:val="2"/>
            <w:tcBorders>
              <w:bottom w:val="single" w:sz="12" w:space="0" w:color="auto"/>
            </w:tcBorders>
            <w:shd w:val="clear" w:color="auto" w:fill="D9D9D9" w:themeFill="background1" w:themeFillShade="D9"/>
            <w:vAlign w:val="center"/>
          </w:tcPr>
          <w:p w:rsidR="004B4742" w:rsidRPr="000B27B9" w:rsidRDefault="004B4742" w:rsidP="003804AA">
            <w:pPr>
              <w:spacing w:line="480" w:lineRule="auto"/>
              <w:ind w:firstLine="720"/>
              <w:mirrorIndents/>
              <w:rPr>
                <w:sz w:val="20"/>
                <w:szCs w:val="20"/>
              </w:rPr>
            </w:pPr>
            <w:r w:rsidRPr="000B27B9">
              <w:rPr>
                <w:sz w:val="20"/>
                <w:szCs w:val="20"/>
              </w:rPr>
              <w:t>Figure 6. White’s test for heteroscedasticity</w:t>
            </w:r>
          </w:p>
        </w:tc>
      </w:tr>
      <w:tr w:rsidR="004B4742" w:rsidTr="003804AA">
        <w:trPr>
          <w:trHeight w:hRule="exact" w:val="288"/>
        </w:trPr>
        <w:tc>
          <w:tcPr>
            <w:tcW w:w="7218" w:type="dxa"/>
            <w:gridSpan w:val="2"/>
            <w:tcBorders>
              <w:top w:val="single" w:sz="12" w:space="0" w:color="auto"/>
            </w:tcBorders>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H</w:t>
            </w:r>
            <w:r w:rsidRPr="000B27B9">
              <w:rPr>
                <w:sz w:val="20"/>
                <w:szCs w:val="20"/>
                <w:vertAlign w:val="subscript"/>
              </w:rPr>
              <w:t>0</w:t>
            </w:r>
            <w:r w:rsidRPr="000B27B9">
              <w:rPr>
                <w:sz w:val="20"/>
                <w:szCs w:val="20"/>
              </w:rPr>
              <w:t>: Homoscedasticity</w:t>
            </w:r>
          </w:p>
          <w:p w:rsidR="004B4742" w:rsidRPr="000B27B9" w:rsidRDefault="004B4742" w:rsidP="003804AA">
            <w:pPr>
              <w:spacing w:line="480" w:lineRule="auto"/>
              <w:ind w:firstLine="720"/>
              <w:mirrorIndents/>
              <w:rPr>
                <w:b/>
                <w:sz w:val="20"/>
                <w:szCs w:val="20"/>
              </w:rPr>
            </w:pPr>
            <w:r w:rsidRPr="000B27B9">
              <w:rPr>
                <w:b/>
                <w:sz w:val="20"/>
                <w:szCs w:val="20"/>
              </w:rPr>
              <w:t>1. White’s test</w:t>
            </w:r>
          </w:p>
        </w:tc>
      </w:tr>
      <w:tr w:rsidR="004B4742" w:rsidTr="003804AA">
        <w:trPr>
          <w:trHeight w:hRule="exact" w:val="288"/>
        </w:trPr>
        <w:tc>
          <w:tcPr>
            <w:tcW w:w="5238"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AC24B4">
              <w:rPr>
                <w:sz w:val="20"/>
                <w:szCs w:val="20"/>
              </w:rPr>
              <w:t>Chi</w:t>
            </w:r>
            <w:r>
              <w:rPr>
                <w:sz w:val="20"/>
                <w:szCs w:val="20"/>
                <w:vertAlign w:val="superscript"/>
              </w:rPr>
              <w:t>2</w:t>
            </w:r>
            <w:r w:rsidRPr="000B27B9">
              <w:rPr>
                <w:sz w:val="20"/>
                <w:szCs w:val="20"/>
              </w:rPr>
              <w:t>(302)</w:t>
            </w:r>
          </w:p>
        </w:tc>
        <w:tc>
          <w:tcPr>
            <w:tcW w:w="1980"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2,937.73</w:t>
            </w:r>
          </w:p>
        </w:tc>
      </w:tr>
      <w:tr w:rsidR="004B4742" w:rsidTr="003804AA">
        <w:trPr>
          <w:trHeight w:hRule="exact" w:val="288"/>
        </w:trPr>
        <w:tc>
          <w:tcPr>
            <w:tcW w:w="5238"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Prob &gt; chi2</w:t>
            </w:r>
          </w:p>
        </w:tc>
        <w:tc>
          <w:tcPr>
            <w:tcW w:w="1980"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0.000</w:t>
            </w:r>
          </w:p>
        </w:tc>
      </w:tr>
      <w:tr w:rsidR="004B4742" w:rsidTr="003804AA">
        <w:trPr>
          <w:trHeight w:hRule="exact" w:val="288"/>
        </w:trPr>
        <w:tc>
          <w:tcPr>
            <w:tcW w:w="7218" w:type="dxa"/>
            <w:gridSpan w:val="2"/>
            <w:shd w:val="clear" w:color="auto" w:fill="F2F2F2" w:themeFill="background1" w:themeFillShade="F2"/>
          </w:tcPr>
          <w:p w:rsidR="004B4742" w:rsidRPr="000B27B9" w:rsidRDefault="004B4742" w:rsidP="003804AA">
            <w:pPr>
              <w:spacing w:line="480" w:lineRule="auto"/>
              <w:ind w:firstLine="720"/>
              <w:mirrorIndents/>
              <w:rPr>
                <w:b/>
                <w:sz w:val="20"/>
                <w:szCs w:val="20"/>
              </w:rPr>
            </w:pPr>
            <w:r w:rsidRPr="000B27B9">
              <w:rPr>
                <w:b/>
                <w:sz w:val="20"/>
                <w:szCs w:val="20"/>
              </w:rPr>
              <w:t>2. Breusch-Pagan Lagrange multiplier test</w:t>
            </w:r>
          </w:p>
        </w:tc>
      </w:tr>
      <w:tr w:rsidR="004B4742" w:rsidTr="003804AA">
        <w:trPr>
          <w:trHeight w:hRule="exact" w:val="288"/>
        </w:trPr>
        <w:tc>
          <w:tcPr>
            <w:tcW w:w="5238"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 xml:space="preserve">Breusch-Pagan LM statistic:  </w:t>
            </w:r>
          </w:p>
        </w:tc>
        <w:tc>
          <w:tcPr>
            <w:tcW w:w="1980"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843.8421</w:t>
            </w:r>
          </w:p>
        </w:tc>
      </w:tr>
      <w:tr w:rsidR="004B4742" w:rsidTr="003804AA">
        <w:trPr>
          <w:trHeight w:hRule="exact" w:val="288"/>
        </w:trPr>
        <w:tc>
          <w:tcPr>
            <w:tcW w:w="5238"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Chi</w:t>
            </w:r>
            <w:r>
              <w:rPr>
                <w:sz w:val="20"/>
                <w:szCs w:val="20"/>
                <w:vertAlign w:val="superscript"/>
              </w:rPr>
              <w:t>2</w:t>
            </w:r>
            <w:r w:rsidRPr="000B27B9">
              <w:rPr>
                <w:sz w:val="20"/>
                <w:szCs w:val="20"/>
              </w:rPr>
              <w:t>(25)  P-value</w:t>
            </w:r>
          </w:p>
        </w:tc>
        <w:tc>
          <w:tcPr>
            <w:tcW w:w="1980" w:type="dxa"/>
            <w:shd w:val="clear" w:color="auto" w:fill="F2F2F2" w:themeFill="background1" w:themeFillShade="F2"/>
          </w:tcPr>
          <w:p w:rsidR="004B4742" w:rsidRPr="000B27B9" w:rsidRDefault="004B4742" w:rsidP="003804AA">
            <w:pPr>
              <w:spacing w:line="480" w:lineRule="auto"/>
              <w:ind w:firstLine="720"/>
              <w:mirrorIndents/>
              <w:rPr>
                <w:sz w:val="20"/>
                <w:szCs w:val="20"/>
              </w:rPr>
            </w:pPr>
            <w:r w:rsidRPr="000B27B9">
              <w:rPr>
                <w:sz w:val="20"/>
                <w:szCs w:val="20"/>
              </w:rPr>
              <w:t>0.000</w:t>
            </w:r>
          </w:p>
        </w:tc>
      </w:tr>
    </w:tbl>
    <w:p w:rsidR="004B4742" w:rsidRDefault="004B4742" w:rsidP="00D03F50">
      <w:pPr>
        <w:spacing w:after="120" w:line="360" w:lineRule="auto"/>
        <w:ind w:firstLine="288"/>
        <w:mirrorIndents/>
        <w:rPr>
          <w:b/>
          <w:sz w:val="28"/>
          <w:szCs w:val="28"/>
          <w:lang w:val="ru-RU"/>
        </w:rPr>
      </w:pPr>
    </w:p>
    <w:tbl>
      <w:tblPr>
        <w:tblStyle w:val="TableGrid"/>
        <w:tblpPr w:leftFromText="180" w:rightFromText="180" w:vertAnchor="page" w:horzAnchor="margin" w:tblpY="7949"/>
        <w:tblW w:w="0" w:type="auto"/>
        <w:shd w:val="clear" w:color="auto" w:fill="F2F2F2" w:themeFill="background1" w:themeFillShade="F2"/>
        <w:tblLook w:val="04A0" w:firstRow="1" w:lastRow="0" w:firstColumn="1" w:lastColumn="0" w:noHBand="0" w:noVBand="1"/>
      </w:tblPr>
      <w:tblGrid>
        <w:gridCol w:w="2580"/>
        <w:gridCol w:w="2573"/>
        <w:gridCol w:w="2570"/>
        <w:gridCol w:w="2573"/>
      </w:tblGrid>
      <w:tr w:rsidR="00767979" w:rsidTr="00767979">
        <w:trPr>
          <w:trHeight w:val="755"/>
        </w:trPr>
        <w:tc>
          <w:tcPr>
            <w:tcW w:w="2580" w:type="dxa"/>
            <w:vMerge w:val="restart"/>
            <w:shd w:val="clear" w:color="auto" w:fill="D9D9D9" w:themeFill="background1" w:themeFillShade="D9"/>
          </w:tcPr>
          <w:p w:rsidR="00767979" w:rsidRDefault="00767979" w:rsidP="00767979">
            <w:pPr>
              <w:jc w:val="both"/>
              <w:rPr>
                <w:b/>
              </w:rPr>
            </w:pPr>
            <w:r>
              <w:rPr>
                <w:b/>
              </w:rPr>
              <w:t>Figure 10.</w:t>
            </w:r>
          </w:p>
          <w:p w:rsidR="00767979" w:rsidRPr="00877E5E" w:rsidRDefault="00767979" w:rsidP="00767979">
            <w:pPr>
              <w:jc w:val="both"/>
              <w:rPr>
                <w:b/>
              </w:rPr>
            </w:pPr>
            <w:r>
              <w:rPr>
                <w:b/>
              </w:rPr>
              <w:t xml:space="preserve">Survey </w:t>
            </w:r>
            <w:r w:rsidRPr="00877E5E">
              <w:rPr>
                <w:b/>
              </w:rPr>
              <w:t>question</w:t>
            </w:r>
            <w:r>
              <w:rPr>
                <w:b/>
              </w:rPr>
              <w:t xml:space="preserve">: </w:t>
            </w:r>
          </w:p>
          <w:p w:rsidR="00767979" w:rsidRPr="00877E5E" w:rsidRDefault="00767979" w:rsidP="00767979">
            <w:pPr>
              <w:jc w:val="both"/>
            </w:pPr>
            <w:r w:rsidRPr="00877E5E">
              <w:t xml:space="preserve">When did you receive that financial education? </w:t>
            </w:r>
            <w:r>
              <w:t>–</w:t>
            </w:r>
            <w:r w:rsidRPr="00877E5E">
              <w:t xml:space="preserve"> In high school</w:t>
            </w:r>
          </w:p>
        </w:tc>
        <w:tc>
          <w:tcPr>
            <w:tcW w:w="5143" w:type="dxa"/>
            <w:gridSpan w:val="2"/>
            <w:shd w:val="clear" w:color="auto" w:fill="D9D9D9" w:themeFill="background1" w:themeFillShade="D9"/>
            <w:vAlign w:val="center"/>
          </w:tcPr>
          <w:p w:rsidR="00767979" w:rsidRDefault="00767979" w:rsidP="00767979">
            <w:pPr>
              <w:spacing w:after="120" w:line="360" w:lineRule="auto"/>
              <w:jc w:val="center"/>
            </w:pPr>
            <w:r>
              <w:t>Personal Finance Requirement</w:t>
            </w:r>
          </w:p>
        </w:tc>
        <w:tc>
          <w:tcPr>
            <w:tcW w:w="2573" w:type="dxa"/>
            <w:vMerge w:val="restart"/>
            <w:shd w:val="clear" w:color="auto" w:fill="D9D9D9" w:themeFill="background1" w:themeFillShade="D9"/>
            <w:vAlign w:val="center"/>
          </w:tcPr>
          <w:p w:rsidR="00767979" w:rsidRPr="00877E5E" w:rsidRDefault="00767979" w:rsidP="00767979">
            <w:pPr>
              <w:spacing w:after="120" w:line="360" w:lineRule="auto"/>
              <w:rPr>
                <w:b/>
              </w:rPr>
            </w:pPr>
            <w:r w:rsidRPr="00877E5E">
              <w:rPr>
                <w:b/>
              </w:rPr>
              <w:t>Total</w:t>
            </w:r>
          </w:p>
        </w:tc>
      </w:tr>
      <w:tr w:rsidR="00767979" w:rsidTr="00767979">
        <w:trPr>
          <w:trHeight w:val="359"/>
        </w:trPr>
        <w:tc>
          <w:tcPr>
            <w:tcW w:w="2580" w:type="dxa"/>
            <w:vMerge/>
            <w:shd w:val="clear" w:color="auto" w:fill="F2F2F2" w:themeFill="background1" w:themeFillShade="F2"/>
          </w:tcPr>
          <w:p w:rsidR="00767979" w:rsidRDefault="00767979" w:rsidP="00767979">
            <w:pPr>
              <w:spacing w:after="120" w:line="360" w:lineRule="auto"/>
              <w:jc w:val="both"/>
            </w:pPr>
          </w:p>
        </w:tc>
        <w:tc>
          <w:tcPr>
            <w:tcW w:w="2573" w:type="dxa"/>
            <w:shd w:val="clear" w:color="auto" w:fill="F2F2F2" w:themeFill="background1" w:themeFillShade="F2"/>
          </w:tcPr>
          <w:p w:rsidR="00767979" w:rsidRDefault="00767979" w:rsidP="00767979">
            <w:pPr>
              <w:spacing w:after="120" w:line="360" w:lineRule="auto"/>
              <w:jc w:val="both"/>
            </w:pPr>
            <w:r>
              <w:t>No</w:t>
            </w:r>
          </w:p>
        </w:tc>
        <w:tc>
          <w:tcPr>
            <w:tcW w:w="2570" w:type="dxa"/>
            <w:shd w:val="clear" w:color="auto" w:fill="F2F2F2" w:themeFill="background1" w:themeFillShade="F2"/>
          </w:tcPr>
          <w:p w:rsidR="00767979" w:rsidRDefault="00767979" w:rsidP="00767979">
            <w:pPr>
              <w:spacing w:after="120" w:line="360" w:lineRule="auto"/>
              <w:jc w:val="both"/>
            </w:pPr>
            <w:r>
              <w:t>Yes</w:t>
            </w:r>
          </w:p>
        </w:tc>
        <w:tc>
          <w:tcPr>
            <w:tcW w:w="2573" w:type="dxa"/>
            <w:vMerge/>
            <w:shd w:val="clear" w:color="auto" w:fill="F2F2F2" w:themeFill="background1" w:themeFillShade="F2"/>
          </w:tcPr>
          <w:p w:rsidR="00767979" w:rsidRPr="00877E5E" w:rsidRDefault="00767979" w:rsidP="00767979">
            <w:pPr>
              <w:spacing w:after="120" w:line="360" w:lineRule="auto"/>
              <w:jc w:val="both"/>
              <w:rPr>
                <w:b/>
              </w:rPr>
            </w:pPr>
          </w:p>
        </w:tc>
      </w:tr>
      <w:tr w:rsidR="00767979" w:rsidTr="00767979">
        <w:trPr>
          <w:trHeight w:hRule="exact" w:val="356"/>
        </w:trPr>
        <w:tc>
          <w:tcPr>
            <w:tcW w:w="2580" w:type="dxa"/>
            <w:shd w:val="clear" w:color="auto" w:fill="F2F2F2" w:themeFill="background1" w:themeFillShade="F2"/>
          </w:tcPr>
          <w:p w:rsidR="00767979" w:rsidRDefault="00767979" w:rsidP="00767979">
            <w:pPr>
              <w:spacing w:after="120" w:line="360" w:lineRule="auto"/>
              <w:jc w:val="both"/>
            </w:pPr>
            <w:r>
              <w:t>No</w:t>
            </w:r>
          </w:p>
        </w:tc>
        <w:tc>
          <w:tcPr>
            <w:tcW w:w="2573" w:type="dxa"/>
            <w:shd w:val="clear" w:color="auto" w:fill="F2F2F2" w:themeFill="background1" w:themeFillShade="F2"/>
          </w:tcPr>
          <w:p w:rsidR="00767979" w:rsidRDefault="00767979" w:rsidP="00767979">
            <w:pPr>
              <w:spacing w:after="120" w:line="360" w:lineRule="auto"/>
              <w:jc w:val="both"/>
            </w:pPr>
            <w:r w:rsidRPr="00BD0940">
              <w:t>11,618</w:t>
            </w:r>
          </w:p>
        </w:tc>
        <w:tc>
          <w:tcPr>
            <w:tcW w:w="2570" w:type="dxa"/>
            <w:shd w:val="clear" w:color="auto" w:fill="F2F2F2" w:themeFill="background1" w:themeFillShade="F2"/>
          </w:tcPr>
          <w:p w:rsidR="00767979" w:rsidRDefault="00767979" w:rsidP="00767979">
            <w:pPr>
              <w:spacing w:after="120" w:line="360" w:lineRule="auto"/>
              <w:jc w:val="both"/>
            </w:pPr>
            <w:r w:rsidRPr="00BD0940">
              <w:t>1,777</w:t>
            </w:r>
          </w:p>
        </w:tc>
        <w:tc>
          <w:tcPr>
            <w:tcW w:w="2573" w:type="dxa"/>
            <w:shd w:val="clear" w:color="auto" w:fill="D9D9D9" w:themeFill="background1" w:themeFillShade="D9"/>
          </w:tcPr>
          <w:p w:rsidR="00767979" w:rsidRPr="00877E5E" w:rsidRDefault="00767979" w:rsidP="00767979">
            <w:pPr>
              <w:spacing w:after="120" w:line="360" w:lineRule="auto"/>
              <w:jc w:val="both"/>
              <w:rPr>
                <w:b/>
              </w:rPr>
            </w:pPr>
            <w:r w:rsidRPr="00BD0940">
              <w:rPr>
                <w:b/>
              </w:rPr>
              <w:t>13,395</w:t>
            </w:r>
          </w:p>
        </w:tc>
      </w:tr>
      <w:tr w:rsidR="00767979" w:rsidTr="00767979">
        <w:trPr>
          <w:trHeight w:hRule="exact" w:val="288"/>
        </w:trPr>
        <w:tc>
          <w:tcPr>
            <w:tcW w:w="2580" w:type="dxa"/>
            <w:shd w:val="clear" w:color="auto" w:fill="F2F2F2" w:themeFill="background1" w:themeFillShade="F2"/>
          </w:tcPr>
          <w:p w:rsidR="00767979" w:rsidRDefault="00767979" w:rsidP="00767979">
            <w:pPr>
              <w:spacing w:after="120" w:line="360" w:lineRule="auto"/>
              <w:jc w:val="both"/>
            </w:pPr>
            <w:r>
              <w:t>Yes</w:t>
            </w:r>
          </w:p>
        </w:tc>
        <w:tc>
          <w:tcPr>
            <w:tcW w:w="2573" w:type="dxa"/>
            <w:shd w:val="clear" w:color="auto" w:fill="F2F2F2" w:themeFill="background1" w:themeFillShade="F2"/>
          </w:tcPr>
          <w:p w:rsidR="00767979" w:rsidRDefault="00767979" w:rsidP="00767979">
            <w:pPr>
              <w:spacing w:after="120" w:line="360" w:lineRule="auto"/>
              <w:jc w:val="both"/>
            </w:pPr>
            <w:r>
              <w:t>1,838</w:t>
            </w:r>
          </w:p>
        </w:tc>
        <w:tc>
          <w:tcPr>
            <w:tcW w:w="2570" w:type="dxa"/>
            <w:shd w:val="clear" w:color="auto" w:fill="F2F2F2" w:themeFill="background1" w:themeFillShade="F2"/>
          </w:tcPr>
          <w:p w:rsidR="00767979" w:rsidRDefault="00767979" w:rsidP="00767979">
            <w:pPr>
              <w:spacing w:after="120" w:line="360" w:lineRule="auto"/>
              <w:jc w:val="both"/>
            </w:pPr>
            <w:r>
              <w:t>449</w:t>
            </w:r>
          </w:p>
        </w:tc>
        <w:tc>
          <w:tcPr>
            <w:tcW w:w="2573" w:type="dxa"/>
            <w:shd w:val="clear" w:color="auto" w:fill="D9D9D9" w:themeFill="background1" w:themeFillShade="D9"/>
          </w:tcPr>
          <w:p w:rsidR="00767979" w:rsidRPr="00877E5E" w:rsidRDefault="00767979" w:rsidP="00767979">
            <w:pPr>
              <w:spacing w:after="120" w:line="360" w:lineRule="auto"/>
              <w:jc w:val="both"/>
              <w:rPr>
                <w:b/>
              </w:rPr>
            </w:pPr>
            <w:r w:rsidRPr="00537A97">
              <w:rPr>
                <w:b/>
              </w:rPr>
              <w:t>2,287</w:t>
            </w:r>
          </w:p>
        </w:tc>
      </w:tr>
      <w:tr w:rsidR="00767979" w:rsidTr="00767979">
        <w:trPr>
          <w:trHeight w:hRule="exact" w:val="288"/>
        </w:trPr>
        <w:tc>
          <w:tcPr>
            <w:tcW w:w="2580" w:type="dxa"/>
            <w:shd w:val="clear" w:color="auto" w:fill="D9D9D9" w:themeFill="background1" w:themeFillShade="D9"/>
          </w:tcPr>
          <w:p w:rsidR="00767979" w:rsidRPr="00877E5E" w:rsidRDefault="00767979" w:rsidP="00767979">
            <w:pPr>
              <w:spacing w:after="120" w:line="360" w:lineRule="auto"/>
              <w:jc w:val="both"/>
              <w:rPr>
                <w:b/>
              </w:rPr>
            </w:pPr>
            <w:r w:rsidRPr="00877E5E">
              <w:rPr>
                <w:b/>
              </w:rPr>
              <w:t>Total</w:t>
            </w:r>
          </w:p>
        </w:tc>
        <w:tc>
          <w:tcPr>
            <w:tcW w:w="2573" w:type="dxa"/>
            <w:shd w:val="clear" w:color="auto" w:fill="D9D9D9" w:themeFill="background1" w:themeFillShade="D9"/>
          </w:tcPr>
          <w:p w:rsidR="00767979" w:rsidRPr="00877E5E" w:rsidRDefault="00767979" w:rsidP="00767979">
            <w:pPr>
              <w:spacing w:after="120" w:line="360" w:lineRule="auto"/>
              <w:jc w:val="both"/>
              <w:rPr>
                <w:b/>
              </w:rPr>
            </w:pPr>
            <w:r w:rsidRPr="00BD0940">
              <w:rPr>
                <w:b/>
              </w:rPr>
              <w:t>13,456</w:t>
            </w:r>
          </w:p>
        </w:tc>
        <w:tc>
          <w:tcPr>
            <w:tcW w:w="2570" w:type="dxa"/>
            <w:shd w:val="clear" w:color="auto" w:fill="D9D9D9" w:themeFill="background1" w:themeFillShade="D9"/>
          </w:tcPr>
          <w:p w:rsidR="00767979" w:rsidRPr="00877E5E" w:rsidRDefault="00767979" w:rsidP="00767979">
            <w:pPr>
              <w:spacing w:after="120" w:line="360" w:lineRule="auto"/>
              <w:jc w:val="both"/>
              <w:rPr>
                <w:b/>
              </w:rPr>
            </w:pPr>
            <w:r w:rsidRPr="00BD0940">
              <w:rPr>
                <w:b/>
              </w:rPr>
              <w:t>2,226</w:t>
            </w:r>
          </w:p>
        </w:tc>
        <w:tc>
          <w:tcPr>
            <w:tcW w:w="2573" w:type="dxa"/>
            <w:shd w:val="clear" w:color="auto" w:fill="D9D9D9" w:themeFill="background1" w:themeFillShade="D9"/>
          </w:tcPr>
          <w:p w:rsidR="00767979" w:rsidRPr="00877E5E" w:rsidRDefault="00767979" w:rsidP="00767979">
            <w:pPr>
              <w:spacing w:line="360" w:lineRule="auto"/>
              <w:jc w:val="both"/>
              <w:rPr>
                <w:b/>
              </w:rPr>
            </w:pPr>
            <w:r w:rsidRPr="00BD0940">
              <w:rPr>
                <w:b/>
              </w:rPr>
              <w:t>15,682</w:t>
            </w:r>
          </w:p>
        </w:tc>
      </w:tr>
    </w:tbl>
    <w:p w:rsidR="00C00275" w:rsidRDefault="00C00275" w:rsidP="00D03F50">
      <w:pPr>
        <w:spacing w:after="120" w:line="360" w:lineRule="auto"/>
        <w:ind w:firstLine="288"/>
        <w:mirrorIndents/>
        <w:rPr>
          <w:b/>
          <w:sz w:val="28"/>
          <w:szCs w:val="28"/>
          <w:lang w:val="ru-RU"/>
        </w:rPr>
      </w:pPr>
    </w:p>
    <w:p w:rsidR="00C00275" w:rsidRDefault="00C00275" w:rsidP="00D03F50">
      <w:pPr>
        <w:spacing w:after="120" w:line="360" w:lineRule="auto"/>
        <w:ind w:firstLine="288"/>
        <w:mirrorIndents/>
        <w:rPr>
          <w:b/>
          <w:sz w:val="28"/>
          <w:szCs w:val="28"/>
          <w:lang w:val="ru-RU"/>
        </w:rPr>
      </w:pPr>
    </w:p>
    <w:p w:rsidR="00C00275" w:rsidRDefault="00C00275" w:rsidP="00D03F50">
      <w:pPr>
        <w:spacing w:after="120" w:line="360" w:lineRule="auto"/>
        <w:ind w:firstLine="288"/>
        <w:mirrorIndents/>
        <w:rPr>
          <w:b/>
          <w:sz w:val="28"/>
          <w:szCs w:val="28"/>
          <w:lang w:val="ru-RU"/>
        </w:rPr>
      </w:pPr>
    </w:p>
    <w:p w:rsidR="00C00275" w:rsidRDefault="00C00275" w:rsidP="00D03F50">
      <w:pPr>
        <w:spacing w:after="120" w:line="360" w:lineRule="auto"/>
        <w:ind w:firstLine="288"/>
        <w:mirrorIndents/>
        <w:rPr>
          <w:b/>
          <w:sz w:val="28"/>
          <w:szCs w:val="28"/>
          <w:lang w:val="ru-RU"/>
        </w:rPr>
      </w:pPr>
    </w:p>
    <w:p w:rsidR="00C00275" w:rsidRDefault="00C00275" w:rsidP="00D03F50">
      <w:pPr>
        <w:spacing w:after="120" w:line="360" w:lineRule="auto"/>
        <w:ind w:firstLine="288"/>
        <w:mirrorIndents/>
        <w:rPr>
          <w:b/>
          <w:sz w:val="28"/>
          <w:szCs w:val="28"/>
          <w:lang w:val="ru-RU"/>
        </w:rPr>
      </w:pPr>
    </w:p>
    <w:p w:rsidR="00C00275" w:rsidRDefault="00C00275" w:rsidP="00767979">
      <w:pPr>
        <w:spacing w:after="120" w:line="360" w:lineRule="auto"/>
        <w:mirrorIndents/>
        <w:rPr>
          <w:b/>
          <w:sz w:val="28"/>
          <w:szCs w:val="28"/>
        </w:rPr>
      </w:pPr>
    </w:p>
    <w:p w:rsidR="00767979" w:rsidRPr="00767979" w:rsidRDefault="00767979" w:rsidP="00767979">
      <w:pPr>
        <w:spacing w:after="120" w:line="360" w:lineRule="auto"/>
        <w:mirrorIndents/>
        <w:rPr>
          <w:b/>
          <w:sz w:val="28"/>
          <w:szCs w:val="28"/>
        </w:rPr>
      </w:pPr>
    </w:p>
    <w:tbl>
      <w:tblPr>
        <w:tblW w:w="10197" w:type="dxa"/>
        <w:tblInd w:w="99" w:type="dxa"/>
        <w:tblLook w:val="04A0" w:firstRow="1" w:lastRow="0" w:firstColumn="1" w:lastColumn="0" w:noHBand="0" w:noVBand="1"/>
      </w:tblPr>
      <w:tblGrid>
        <w:gridCol w:w="1677"/>
        <w:gridCol w:w="4343"/>
        <w:gridCol w:w="750"/>
        <w:gridCol w:w="750"/>
        <w:gridCol w:w="750"/>
        <w:gridCol w:w="382"/>
        <w:gridCol w:w="413"/>
        <w:gridCol w:w="382"/>
        <w:gridCol w:w="750"/>
      </w:tblGrid>
      <w:tr w:rsidR="00014470" w:rsidRPr="00BF3AB5" w:rsidTr="009B3611">
        <w:trPr>
          <w:cantSplit/>
          <w:trHeight w:hRule="exact" w:val="270"/>
        </w:trPr>
        <w:tc>
          <w:tcPr>
            <w:tcW w:w="7679" w:type="dxa"/>
            <w:gridSpan w:val="4"/>
            <w:tcBorders>
              <w:top w:val="nil"/>
              <w:left w:val="nil"/>
              <w:bottom w:val="single" w:sz="8" w:space="0" w:color="auto"/>
              <w:right w:val="nil"/>
            </w:tcBorders>
            <w:shd w:val="clear" w:color="000000" w:fill="D8D8D8"/>
            <w:noWrap/>
            <w:vAlign w:val="bottom"/>
            <w:hideMark/>
          </w:tcPr>
          <w:p w:rsidR="00C00275" w:rsidRPr="005B6C88" w:rsidRDefault="00C00275" w:rsidP="00C00275">
            <w:pPr>
              <w:spacing w:after="120" w:line="480" w:lineRule="auto"/>
              <w:mirrorIndents/>
              <w:rPr>
                <w:color w:val="000000"/>
                <w:sz w:val="20"/>
                <w:szCs w:val="20"/>
              </w:rPr>
            </w:pPr>
            <w:r w:rsidRPr="005B6C88">
              <w:rPr>
                <w:color w:val="000000"/>
                <w:sz w:val="20"/>
                <w:szCs w:val="20"/>
              </w:rPr>
              <w:lastRenderedPageBreak/>
              <w:t xml:space="preserve">Figure </w:t>
            </w:r>
            <w:r w:rsidRPr="00C00275">
              <w:rPr>
                <w:color w:val="000000"/>
                <w:sz w:val="20"/>
                <w:szCs w:val="20"/>
              </w:rPr>
              <w:t>8</w:t>
            </w:r>
            <w:r w:rsidRPr="005B6C88">
              <w:rPr>
                <w:color w:val="000000"/>
                <w:sz w:val="20"/>
                <w:szCs w:val="20"/>
              </w:rPr>
              <w:t>. Financial literacy and financial market participation</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605"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188"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r>
      <w:tr w:rsidR="00014470" w:rsidRPr="00BF3AB5" w:rsidTr="009B3611">
        <w:trPr>
          <w:cantSplit/>
          <w:trHeight w:hRule="exact" w:val="290"/>
        </w:trPr>
        <w:tc>
          <w:tcPr>
            <w:tcW w:w="2060"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Variable</w:t>
            </w:r>
          </w:p>
        </w:tc>
        <w:tc>
          <w:tcPr>
            <w:tcW w:w="4169"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(1)</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(3)</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(4)</w:t>
            </w:r>
          </w:p>
        </w:tc>
        <w:tc>
          <w:tcPr>
            <w:tcW w:w="605"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(5)</w:t>
            </w:r>
          </w:p>
        </w:tc>
        <w:tc>
          <w:tcPr>
            <w:tcW w:w="1188"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(6)</w:t>
            </w:r>
          </w:p>
        </w:tc>
      </w:tr>
      <w:tr w:rsidR="00014470" w:rsidRPr="00BF3AB5" w:rsidTr="009B3611">
        <w:trPr>
          <w:cantSplit/>
          <w:trHeight w:hRule="exact" w:val="290"/>
        </w:trPr>
        <w:tc>
          <w:tcPr>
            <w:tcW w:w="2060" w:type="dxa"/>
            <w:vMerge w:val="restart"/>
            <w:tcBorders>
              <w:top w:val="nil"/>
              <w:left w:val="nil"/>
              <w:right w:val="nil"/>
            </w:tcBorders>
            <w:shd w:val="clear" w:color="000000" w:fill="F2F2F2"/>
            <w:noWrap/>
            <w:vAlign w:val="bottom"/>
            <w:hideMark/>
          </w:tcPr>
          <w:p w:rsidR="00C00275" w:rsidRDefault="00C00275" w:rsidP="00C00275">
            <w:pPr>
              <w:spacing w:after="120" w:line="480" w:lineRule="auto"/>
              <w:mirrorIndents/>
              <w:rPr>
                <w:color w:val="000000"/>
                <w:sz w:val="18"/>
                <w:szCs w:val="18"/>
              </w:rPr>
            </w:pPr>
            <w:r w:rsidRPr="00BF3AB5">
              <w:rPr>
                <w:color w:val="000000"/>
                <w:sz w:val="18"/>
                <w:szCs w:val="18"/>
              </w:rPr>
              <w:t xml:space="preserve">Financial Literacy </w:t>
            </w:r>
          </w:p>
          <w:p w:rsidR="00C00275" w:rsidRPr="00BF3AB5" w:rsidRDefault="00C00275" w:rsidP="00C00275">
            <w:pPr>
              <w:spacing w:after="120" w:line="480" w:lineRule="auto"/>
              <w:mirrorIndents/>
              <w:rPr>
                <w:color w:val="000000"/>
                <w:sz w:val="18"/>
                <w:szCs w:val="18"/>
              </w:rPr>
            </w:pP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0.044***</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0.032***</w:t>
            </w:r>
          </w:p>
        </w:tc>
        <w:tc>
          <w:tcPr>
            <w:tcW w:w="605"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0.030***</w:t>
            </w:r>
          </w:p>
        </w:tc>
        <w:tc>
          <w:tcPr>
            <w:tcW w:w="1188"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0.028***   </w:t>
            </w:r>
          </w:p>
        </w:tc>
      </w:tr>
      <w:tr w:rsidR="00014470" w:rsidRPr="00BF3AB5" w:rsidTr="009B3611">
        <w:trPr>
          <w:cantSplit/>
          <w:trHeight w:hRule="exact" w:val="173"/>
        </w:trPr>
        <w:tc>
          <w:tcPr>
            <w:tcW w:w="2060" w:type="dxa"/>
            <w:vMerge/>
            <w:tcBorders>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Risk Aversion (base group: risk averse)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Risk-medium</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0.148***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0.145***</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Risk-taker</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0.282***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0.280***</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Time Preference (base group: low)</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Mid</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Long</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0.133***</w:t>
            </w:r>
          </w:p>
        </w:tc>
      </w:tr>
      <w:tr w:rsidR="00014470" w:rsidRPr="00BF3AB5" w:rsidTr="009B3611">
        <w:trPr>
          <w:cantSplit/>
          <w:trHeight w:hRule="exact" w:val="173"/>
        </w:trPr>
        <w:tc>
          <w:tcPr>
            <w:tcW w:w="2060" w:type="dxa"/>
            <w:tcBorders>
              <w:top w:val="nil"/>
              <w:left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White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0.011*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0.031***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0.027***</w:t>
            </w:r>
          </w:p>
        </w:tc>
      </w:tr>
      <w:tr w:rsidR="00014470" w:rsidRPr="00BF3AB5" w:rsidTr="009B3611">
        <w:trPr>
          <w:cantSplit/>
          <w:trHeight w:hRule="exact" w:val="173"/>
        </w:trPr>
        <w:tc>
          <w:tcPr>
            <w:tcW w:w="2060" w:type="dxa"/>
            <w:tcBorders>
              <w:top w:val="single" w:sz="4" w:space="0" w:color="auto"/>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(0.006)</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Male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(0.006)</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(0.006)</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(0.006)</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Age group (base group: ages 18-24)</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Ages 25-34</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-0.039***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-0.039***</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Ages 35-44</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(0.012)</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Ages 45-54</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-0.028**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-0.041***</w:t>
            </w:r>
          </w:p>
        </w:tc>
      </w:tr>
      <w:tr w:rsidR="00014470" w:rsidRPr="00BF3AB5" w:rsidTr="009B3611">
        <w:trPr>
          <w:cantSplit/>
          <w:trHeight w:hRule="exact" w:val="173"/>
        </w:trPr>
        <w:tc>
          <w:tcPr>
            <w:tcW w:w="2060" w:type="dxa"/>
            <w:tcBorders>
              <w:top w:val="nil"/>
              <w:left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Age 55 and more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0.045***</w:t>
            </w:r>
          </w:p>
        </w:tc>
      </w:tr>
      <w:tr w:rsidR="00014470" w:rsidRPr="00BF3AB5" w:rsidTr="009B3611">
        <w:trPr>
          <w:cantSplit/>
          <w:trHeight w:hRule="exact" w:val="173"/>
        </w:trPr>
        <w:tc>
          <w:tcPr>
            <w:tcW w:w="2060" w:type="dxa"/>
            <w:tcBorders>
              <w:top w:val="single" w:sz="4" w:space="0" w:color="auto"/>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Married</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0.017**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Self-employed</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0.064***</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0.066***</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(0.012)</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Retired</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0.091***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0.100***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0.096***</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(0.010)</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Financially dependent children (base: None)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1</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0.016*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0.005</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(0.010)</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(0.010)</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3</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-0.014</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-0.022*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-0.014</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(0.014)</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(0.013)</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(0.013)</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4 and more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-0.015</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-0.005</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Educational Attainment (base: no high school)</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High school</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0.045*</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0.047**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0.053***</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Some college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0.062**</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0.070***</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0.074***</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0.073***</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Bachelor's</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0.141***</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0.161***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0.153***</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0.149***</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Postgraduate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0.174***</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0.186***</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(0.020)</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(0.020)</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(0.020)</w:t>
            </w:r>
          </w:p>
        </w:tc>
      </w:tr>
      <w:tr w:rsidR="00014470" w:rsidRPr="00BF3AB5" w:rsidTr="009B3611">
        <w:trPr>
          <w:cantSplit/>
          <w:trHeight w:hRule="exact" w:val="173"/>
        </w:trPr>
        <w:tc>
          <w:tcPr>
            <w:tcW w:w="2060" w:type="dxa"/>
            <w:tcBorders>
              <w:top w:val="nil"/>
              <w:left w:val="nil"/>
              <w:bottom w:val="single" w:sz="4"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Income Level (base: $25,000 and less)</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between 25,000 and 50,000</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0.087***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0.055***</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between 50,000 and 100,000</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0.257***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0.231***</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0.233***</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0.190***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0.179***</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$100,000 and more</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xml:space="preserve"> 0.428***</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0.384***</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0.387***</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0.322***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0.300***</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(0.009)</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(0.010)</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(0.011)</w:t>
            </w:r>
          </w:p>
        </w:tc>
      </w:tr>
      <w:tr w:rsidR="00014470" w:rsidRPr="00BF3AB5" w:rsidTr="009B3611">
        <w:trPr>
          <w:cantSplit/>
          <w:trHeight w:hRule="exact" w:val="173"/>
        </w:trPr>
        <w:tc>
          <w:tcPr>
            <w:tcW w:w="2060"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Constant</w:t>
            </w:r>
          </w:p>
        </w:tc>
        <w:tc>
          <w:tcPr>
            <w:tcW w:w="4169"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0.092***</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-0.058**</w:t>
            </w:r>
          </w:p>
        </w:tc>
        <w:tc>
          <w:tcPr>
            <w:tcW w:w="1014"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-0.073***</w:t>
            </w:r>
          </w:p>
        </w:tc>
        <w:tc>
          <w:tcPr>
            <w:tcW w:w="779" w:type="dxa"/>
            <w:gridSpan w:val="2"/>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0.170***</w:t>
            </w:r>
          </w:p>
        </w:tc>
        <w:tc>
          <w:tcPr>
            <w:tcW w:w="725" w:type="dxa"/>
            <w:tcBorders>
              <w:top w:val="nil"/>
              <w:left w:val="nil"/>
              <w:bottom w:val="nil"/>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-0.170***</w:t>
            </w:r>
          </w:p>
        </w:tc>
      </w:tr>
      <w:tr w:rsidR="00014470" w:rsidRPr="00BF3AB5" w:rsidTr="009B3611">
        <w:trPr>
          <w:cantSplit/>
          <w:trHeight w:hRule="exact" w:val="173"/>
        </w:trPr>
        <w:tc>
          <w:tcPr>
            <w:tcW w:w="2060" w:type="dxa"/>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 </w:t>
            </w:r>
          </w:p>
        </w:tc>
        <w:tc>
          <w:tcPr>
            <w:tcW w:w="4169" w:type="dxa"/>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w:t>
            </w:r>
            <w:r w:rsidRPr="00BF3AB5">
              <w:rPr>
                <w:color w:val="000000"/>
                <w:sz w:val="18"/>
                <w:szCs w:val="18"/>
              </w:rPr>
              <w:t>0.007</w:t>
            </w:r>
            <w:r>
              <w:rPr>
                <w:color w:val="000000"/>
                <w:sz w:val="18"/>
                <w:szCs w:val="18"/>
              </w:rPr>
              <w:t>)</w:t>
            </w:r>
          </w:p>
        </w:tc>
        <w:tc>
          <w:tcPr>
            <w:tcW w:w="725" w:type="dxa"/>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(0.007)</w:t>
            </w:r>
          </w:p>
        </w:tc>
        <w:tc>
          <w:tcPr>
            <w:tcW w:w="725" w:type="dxa"/>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(0.018)</w:t>
            </w:r>
          </w:p>
        </w:tc>
        <w:tc>
          <w:tcPr>
            <w:tcW w:w="1014" w:type="dxa"/>
            <w:gridSpan w:val="2"/>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c>
          <w:tcPr>
            <w:tcW w:w="779" w:type="dxa"/>
            <w:gridSpan w:val="2"/>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(0.020)</w:t>
            </w:r>
          </w:p>
        </w:tc>
        <w:tc>
          <w:tcPr>
            <w:tcW w:w="725" w:type="dxa"/>
            <w:tcBorders>
              <w:top w:val="nil"/>
              <w:left w:val="nil"/>
              <w:bottom w:val="single" w:sz="8" w:space="0" w:color="auto"/>
              <w:right w:val="nil"/>
            </w:tcBorders>
            <w:shd w:val="clear" w:color="000000" w:fill="F2F2F2"/>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(0.019)</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 squared</w:t>
            </w: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0.068</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0.155</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0.164</w:t>
            </w: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0.184</w:t>
            </w: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0.226</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0.235</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R squared adj.</w:t>
            </w: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0.068</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0.155</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0.164</w:t>
            </w: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0.183</w:t>
            </w: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0.226</w:t>
            </w: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0.234</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P-value test all education controls=0</w:t>
            </w:r>
          </w:p>
        </w:tc>
        <w:tc>
          <w:tcPr>
            <w:tcW w:w="4169" w:type="dxa"/>
            <w:tcBorders>
              <w:top w:val="nil"/>
              <w:left w:val="nil"/>
              <w:bottom w:val="nil"/>
              <w:right w:val="nil"/>
            </w:tcBorders>
            <w:shd w:val="clear" w:color="000000" w:fill="D8D8D8"/>
            <w:noWrap/>
            <w:vAlign w:val="bottom"/>
            <w:hideMark/>
          </w:tcPr>
          <w:tbl>
            <w:tblPr>
              <w:tblpPr w:leftFromText="180" w:rightFromText="180" w:vertAnchor="text" w:horzAnchor="margin" w:tblpY="-180"/>
              <w:tblW w:w="5099" w:type="dxa"/>
              <w:tblLook w:val="04A0" w:firstRow="1" w:lastRow="0" w:firstColumn="1" w:lastColumn="0" w:noHBand="0" w:noVBand="1"/>
            </w:tblPr>
            <w:tblGrid>
              <w:gridCol w:w="3134"/>
              <w:gridCol w:w="993"/>
            </w:tblGrid>
            <w:tr w:rsidR="00C00275" w:rsidRPr="00866F0C" w:rsidTr="00C00275">
              <w:trPr>
                <w:trHeight w:hRule="exact" w:val="370"/>
              </w:trPr>
              <w:tc>
                <w:tcPr>
                  <w:tcW w:w="3901" w:type="dxa"/>
                  <w:tcBorders>
                    <w:top w:val="nil"/>
                    <w:left w:val="nil"/>
                    <w:bottom w:val="single" w:sz="8" w:space="0" w:color="auto"/>
                    <w:right w:val="nil"/>
                  </w:tcBorders>
                  <w:shd w:val="clear" w:color="000000" w:fill="D8D8D8"/>
                  <w:noWrap/>
                  <w:vAlign w:val="bottom"/>
                </w:tcPr>
                <w:p w:rsidR="00C00275" w:rsidRPr="00866F0C" w:rsidRDefault="00C00275" w:rsidP="00C00275">
                  <w:pPr>
                    <w:spacing w:after="120" w:line="480" w:lineRule="auto"/>
                    <w:ind w:firstLine="288"/>
                    <w:mirrorIndents/>
                    <w:rPr>
                      <w:color w:val="000000"/>
                      <w:sz w:val="18"/>
                      <w:szCs w:val="18"/>
                    </w:rPr>
                  </w:pPr>
                </w:p>
              </w:tc>
              <w:tc>
                <w:tcPr>
                  <w:tcW w:w="1198" w:type="dxa"/>
                  <w:tcBorders>
                    <w:top w:val="nil"/>
                    <w:left w:val="nil"/>
                    <w:bottom w:val="single" w:sz="8" w:space="0" w:color="auto"/>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p>
              </w:tc>
            </w:tr>
            <w:tr w:rsidR="00C00275" w:rsidRPr="00866F0C" w:rsidTr="00C00275">
              <w:trPr>
                <w:trHeight w:hRule="exact" w:val="363"/>
              </w:trPr>
              <w:tc>
                <w:tcPr>
                  <w:tcW w:w="3901" w:type="dxa"/>
                  <w:tcBorders>
                    <w:top w:val="nil"/>
                    <w:left w:val="nil"/>
                    <w:bottom w:val="single" w:sz="8" w:space="0" w:color="auto"/>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Variable</w:t>
                  </w:r>
                </w:p>
              </w:tc>
              <w:tc>
                <w:tcPr>
                  <w:tcW w:w="1198" w:type="dxa"/>
                  <w:tcBorders>
                    <w:top w:val="nil"/>
                    <w:left w:val="nil"/>
                    <w:bottom w:val="single" w:sz="8" w:space="0" w:color="auto"/>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xml:space="preserve">Financial Literacy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xml:space="preserve"> 0.029***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(0.002)</w:t>
                  </w:r>
                </w:p>
              </w:tc>
            </w:tr>
            <w:tr w:rsidR="00C00275" w:rsidRPr="00866F0C" w:rsidTr="00C00275">
              <w:trPr>
                <w:trHeight w:hRule="exact" w:val="180"/>
              </w:trPr>
              <w:tc>
                <w:tcPr>
                  <w:tcW w:w="3901" w:type="dxa"/>
                  <w:tcBorders>
                    <w:top w:val="nil"/>
                    <w:left w:val="nil"/>
                    <w:bottom w:val="single" w:sz="4"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Risk Aversion (base group: risk averse)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Risk-medium</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0.146***</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(0.006)</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Risk-taker</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xml:space="preserve"> 0.284***</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(0.008)</w:t>
                  </w:r>
                </w:p>
              </w:tc>
            </w:tr>
            <w:tr w:rsidR="00C00275" w:rsidRPr="00866F0C" w:rsidTr="00C00275">
              <w:trPr>
                <w:trHeight w:hRule="exact" w:val="180"/>
              </w:trPr>
              <w:tc>
                <w:tcPr>
                  <w:tcW w:w="3901" w:type="dxa"/>
                  <w:tcBorders>
                    <w:top w:val="nil"/>
                    <w:left w:val="nil"/>
                    <w:bottom w:val="single" w:sz="4"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Time Preference (base group: low)</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Mid</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0.060***</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Long</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0.132***</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White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0.027***</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(0.006)</w:t>
                  </w:r>
                </w:p>
              </w:tc>
            </w:tr>
            <w:tr w:rsidR="00C00275" w:rsidRPr="00866F0C" w:rsidTr="00C00275">
              <w:trPr>
                <w:trHeight w:hRule="exact" w:val="180"/>
              </w:trPr>
              <w:tc>
                <w:tcPr>
                  <w:tcW w:w="3901" w:type="dxa"/>
                  <w:tcBorders>
                    <w:top w:val="nil"/>
                    <w:left w:val="nil"/>
                    <w:bottom w:val="single" w:sz="4"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Age group (base group: ages 18-24)</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Ages 25-34</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-0.038***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Ages 35-44</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0.039***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Ages 45-54</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-0.039***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Age 55 and more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xml:space="preserve"> 0.045***</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Married</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(0.007)</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Self-employed</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0.067***</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Retired</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0.096***</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(0.009)</w:t>
                  </w:r>
                </w:p>
              </w:tc>
            </w:tr>
            <w:tr w:rsidR="00C00275" w:rsidRPr="00866F0C" w:rsidTr="00C00275">
              <w:trPr>
                <w:trHeight w:hRule="exact" w:val="180"/>
              </w:trPr>
              <w:tc>
                <w:tcPr>
                  <w:tcW w:w="3901" w:type="dxa"/>
                  <w:tcBorders>
                    <w:top w:val="nil"/>
                    <w:left w:val="nil"/>
                    <w:bottom w:val="single" w:sz="4"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Educational Attainment (base: no high school)</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High school</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0.050***</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Some college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0.072***</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Bachelor's</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0.148***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Postgraduate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0.170***</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(0.020)</w:t>
                  </w:r>
                </w:p>
              </w:tc>
            </w:tr>
            <w:tr w:rsidR="00C00275" w:rsidRPr="00866F0C" w:rsidTr="00C00275">
              <w:trPr>
                <w:trHeight w:hRule="exact" w:val="180"/>
              </w:trPr>
              <w:tc>
                <w:tcPr>
                  <w:tcW w:w="3901" w:type="dxa"/>
                  <w:tcBorders>
                    <w:top w:val="nil"/>
                    <w:left w:val="nil"/>
                    <w:bottom w:val="single" w:sz="4"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Income Level (base: $25,000 and less)</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Pr>
                      <w:color w:val="000000"/>
                      <w:sz w:val="18"/>
                      <w:szCs w:val="18"/>
                    </w:rPr>
                    <w:t>B</w:t>
                  </w:r>
                  <w:r w:rsidRPr="00866F0C">
                    <w:rPr>
                      <w:color w:val="000000"/>
                      <w:sz w:val="18"/>
                      <w:szCs w:val="18"/>
                    </w:rPr>
                    <w:t>etween 25,000 and 50,000</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xml:space="preserve"> 0.055***</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(0.008)</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Pr>
                      <w:color w:val="000000"/>
                      <w:sz w:val="18"/>
                      <w:szCs w:val="18"/>
                    </w:rPr>
                    <w:t>B</w:t>
                  </w:r>
                  <w:r w:rsidRPr="00866F0C">
                    <w:rPr>
                      <w:color w:val="000000"/>
                      <w:sz w:val="18"/>
                      <w:szCs w:val="18"/>
                    </w:rPr>
                    <w:t>etween 50,000 and 100,000</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0.179***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(0.009)</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$100,000 and more</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0.301***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(0.011)</w:t>
                  </w:r>
                </w:p>
              </w:tc>
            </w:tr>
            <w:tr w:rsidR="00C00275" w:rsidRPr="00866F0C" w:rsidTr="00C00275">
              <w:trPr>
                <w:trHeight w:hRule="exact" w:val="180"/>
              </w:trPr>
              <w:tc>
                <w:tcPr>
                  <w:tcW w:w="3901"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Constant</w:t>
                  </w:r>
                </w:p>
              </w:tc>
              <w:tc>
                <w:tcPr>
                  <w:tcW w:w="1198" w:type="dxa"/>
                  <w:tcBorders>
                    <w:top w:val="nil"/>
                    <w:left w:val="nil"/>
                    <w:bottom w:val="nil"/>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-0.166***</w:t>
                  </w:r>
                </w:p>
              </w:tc>
            </w:tr>
            <w:tr w:rsidR="00C00275" w:rsidRPr="00866F0C" w:rsidTr="00C00275">
              <w:trPr>
                <w:trHeight w:hRule="exact" w:val="180"/>
              </w:trPr>
              <w:tc>
                <w:tcPr>
                  <w:tcW w:w="3901" w:type="dxa"/>
                  <w:tcBorders>
                    <w:top w:val="nil"/>
                    <w:left w:val="nil"/>
                    <w:bottom w:val="single" w:sz="8"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 </w:t>
                  </w:r>
                </w:p>
              </w:tc>
              <w:tc>
                <w:tcPr>
                  <w:tcW w:w="1198" w:type="dxa"/>
                  <w:tcBorders>
                    <w:top w:val="nil"/>
                    <w:left w:val="nil"/>
                    <w:bottom w:val="single" w:sz="8" w:space="0" w:color="auto"/>
                    <w:right w:val="nil"/>
                  </w:tcBorders>
                  <w:shd w:val="clear" w:color="000000" w:fill="F2F2F2"/>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(0.019)</w:t>
                  </w:r>
                </w:p>
              </w:tc>
            </w:tr>
            <w:tr w:rsidR="00C00275" w:rsidRPr="00866F0C" w:rsidTr="00C00275">
              <w:trPr>
                <w:trHeight w:hRule="exact" w:val="180"/>
              </w:trPr>
              <w:tc>
                <w:tcPr>
                  <w:tcW w:w="3901" w:type="dxa"/>
                  <w:tcBorders>
                    <w:top w:val="nil"/>
                    <w:left w:val="nil"/>
                    <w:bottom w:val="nil"/>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 squared</w:t>
                  </w:r>
                </w:p>
              </w:tc>
              <w:tc>
                <w:tcPr>
                  <w:tcW w:w="1198" w:type="dxa"/>
                  <w:tcBorders>
                    <w:top w:val="nil"/>
                    <w:left w:val="nil"/>
                    <w:bottom w:val="nil"/>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0.235</w:t>
                  </w:r>
                </w:p>
              </w:tc>
            </w:tr>
            <w:tr w:rsidR="00C00275" w:rsidRPr="00866F0C" w:rsidTr="00C00275">
              <w:trPr>
                <w:trHeight w:hRule="exact" w:val="180"/>
              </w:trPr>
              <w:tc>
                <w:tcPr>
                  <w:tcW w:w="3901" w:type="dxa"/>
                  <w:tcBorders>
                    <w:top w:val="nil"/>
                    <w:left w:val="nil"/>
                    <w:bottom w:val="nil"/>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R squared adj.</w:t>
                  </w:r>
                </w:p>
              </w:tc>
              <w:tc>
                <w:tcPr>
                  <w:tcW w:w="1198" w:type="dxa"/>
                  <w:tcBorders>
                    <w:top w:val="nil"/>
                    <w:left w:val="nil"/>
                    <w:bottom w:val="nil"/>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0.234</w:t>
                  </w:r>
                </w:p>
              </w:tc>
            </w:tr>
            <w:tr w:rsidR="00C00275" w:rsidRPr="00866F0C" w:rsidTr="00C00275">
              <w:trPr>
                <w:trHeight w:hRule="exact" w:val="180"/>
              </w:trPr>
              <w:tc>
                <w:tcPr>
                  <w:tcW w:w="3901" w:type="dxa"/>
                  <w:tcBorders>
                    <w:top w:val="nil"/>
                    <w:left w:val="nil"/>
                    <w:bottom w:val="single" w:sz="8" w:space="0" w:color="auto"/>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Number of observations</w:t>
                  </w:r>
                </w:p>
              </w:tc>
              <w:tc>
                <w:tcPr>
                  <w:tcW w:w="1198" w:type="dxa"/>
                  <w:tcBorders>
                    <w:top w:val="nil"/>
                    <w:left w:val="nil"/>
                    <w:bottom w:val="single" w:sz="8" w:space="0" w:color="auto"/>
                    <w:right w:val="nil"/>
                  </w:tcBorders>
                  <w:shd w:val="clear" w:color="000000" w:fill="D8D8D8"/>
                  <w:noWrap/>
                  <w:vAlign w:val="bottom"/>
                  <w:hideMark/>
                </w:tcPr>
                <w:p w:rsidR="00C00275" w:rsidRPr="00866F0C" w:rsidRDefault="00C00275" w:rsidP="00C00275">
                  <w:pPr>
                    <w:spacing w:after="120" w:line="480" w:lineRule="auto"/>
                    <w:ind w:firstLine="288"/>
                    <w:mirrorIndents/>
                    <w:rPr>
                      <w:color w:val="000000"/>
                      <w:sz w:val="18"/>
                      <w:szCs w:val="18"/>
                    </w:rPr>
                  </w:pPr>
                  <w:r w:rsidRPr="00866F0C">
                    <w:rPr>
                      <w:color w:val="000000"/>
                      <w:sz w:val="18"/>
                      <w:szCs w:val="18"/>
                    </w:rPr>
                    <w:t>22447</w:t>
                  </w:r>
                </w:p>
              </w:tc>
            </w:tr>
          </w:tbl>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w:t>
            </w:r>
            <w:r>
              <w:rPr>
                <w:color w:val="000000"/>
                <w:sz w:val="18"/>
                <w:szCs w:val="18"/>
              </w:rPr>
              <w:t>0</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P-value test all income controls=0</w:t>
            </w: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w:t>
            </w:r>
            <w:r>
              <w:rPr>
                <w:color w:val="000000"/>
                <w:sz w:val="18"/>
                <w:szCs w:val="18"/>
              </w:rPr>
              <w:t>0</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P-value test all risk-aversion controls=0</w:t>
            </w: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w:t>
            </w:r>
            <w:r>
              <w:rPr>
                <w:color w:val="000000"/>
                <w:sz w:val="18"/>
                <w:szCs w:val="18"/>
              </w:rPr>
              <w:t>0</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P-value test all time preference controls=0</w:t>
            </w: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w:t>
            </w:r>
            <w:r>
              <w:rPr>
                <w:color w:val="000000"/>
                <w:sz w:val="18"/>
                <w:szCs w:val="18"/>
              </w:rPr>
              <w:t>0</w:t>
            </w:r>
          </w:p>
        </w:tc>
      </w:tr>
      <w:tr w:rsidR="00014470" w:rsidRPr="00BF3AB5" w:rsidTr="009B3611">
        <w:trPr>
          <w:cantSplit/>
          <w:trHeight w:hRule="exact" w:val="173"/>
        </w:trPr>
        <w:tc>
          <w:tcPr>
            <w:tcW w:w="2060" w:type="dxa"/>
            <w:tcBorders>
              <w:top w:val="nil"/>
              <w:left w:val="nil"/>
              <w:bottom w:val="nil"/>
              <w:right w:val="nil"/>
            </w:tcBorders>
            <w:shd w:val="clear" w:color="000000" w:fill="D8D8D8"/>
            <w:noWrap/>
            <w:vAlign w:val="bottom"/>
            <w:hideMark/>
          </w:tcPr>
          <w:p w:rsidR="00C00275" w:rsidRDefault="00C00275" w:rsidP="00C00275">
            <w:pPr>
              <w:spacing w:after="120" w:line="480" w:lineRule="auto"/>
              <w:mirrorIndents/>
              <w:rPr>
                <w:color w:val="000000"/>
                <w:sz w:val="18"/>
                <w:szCs w:val="18"/>
              </w:rPr>
            </w:pPr>
            <w:r>
              <w:rPr>
                <w:color w:val="000000"/>
                <w:sz w:val="18"/>
                <w:szCs w:val="18"/>
              </w:rPr>
              <w:t>P-value test all kids controls=0</w:t>
            </w:r>
          </w:p>
          <w:p w:rsidR="00C00275" w:rsidRDefault="00C00275" w:rsidP="00C00275">
            <w:pPr>
              <w:spacing w:after="120" w:line="480" w:lineRule="auto"/>
              <w:mirrorIndents/>
              <w:rPr>
                <w:color w:val="000000"/>
                <w:sz w:val="18"/>
                <w:szCs w:val="18"/>
              </w:rPr>
            </w:pPr>
          </w:p>
        </w:tc>
        <w:tc>
          <w:tcPr>
            <w:tcW w:w="4169"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bottom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0.332</w:t>
            </w:r>
          </w:p>
        </w:tc>
      </w:tr>
      <w:tr w:rsidR="00014470" w:rsidRPr="00BF3AB5" w:rsidTr="009B3611">
        <w:trPr>
          <w:cantSplit/>
          <w:trHeight w:hRule="exact" w:val="173"/>
        </w:trPr>
        <w:tc>
          <w:tcPr>
            <w:tcW w:w="2060" w:type="dxa"/>
            <w:tcBorders>
              <w:top w:val="nil"/>
              <w:left w:val="nil"/>
              <w:right w:val="nil"/>
            </w:tcBorders>
            <w:shd w:val="clear" w:color="000000" w:fill="D8D8D8"/>
            <w:noWrap/>
            <w:vAlign w:val="bottom"/>
            <w:hideMark/>
          </w:tcPr>
          <w:p w:rsidR="00C00275" w:rsidRDefault="00C00275" w:rsidP="00C00275">
            <w:pPr>
              <w:spacing w:after="120" w:line="480" w:lineRule="auto"/>
              <w:mirrorIndents/>
              <w:rPr>
                <w:color w:val="000000"/>
                <w:sz w:val="18"/>
                <w:szCs w:val="18"/>
              </w:rPr>
            </w:pPr>
            <w:r>
              <w:rPr>
                <w:color w:val="000000"/>
                <w:sz w:val="18"/>
                <w:szCs w:val="18"/>
              </w:rPr>
              <w:t>P-value test all age controls=0</w:t>
            </w:r>
          </w:p>
        </w:tc>
        <w:tc>
          <w:tcPr>
            <w:tcW w:w="4169" w:type="dxa"/>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1014" w:type="dxa"/>
            <w:gridSpan w:val="2"/>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79" w:type="dxa"/>
            <w:gridSpan w:val="2"/>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p>
        </w:tc>
        <w:tc>
          <w:tcPr>
            <w:tcW w:w="725" w:type="dxa"/>
            <w:tcBorders>
              <w:top w:val="nil"/>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0.00</w:t>
            </w:r>
            <w:r>
              <w:rPr>
                <w:color w:val="000000"/>
                <w:sz w:val="18"/>
                <w:szCs w:val="18"/>
              </w:rPr>
              <w:t>0</w:t>
            </w:r>
          </w:p>
        </w:tc>
      </w:tr>
      <w:tr w:rsidR="00014470" w:rsidRPr="00BF3AB5" w:rsidTr="009B3611">
        <w:trPr>
          <w:cantSplit/>
          <w:trHeight w:hRule="exact" w:val="173"/>
        </w:trPr>
        <w:tc>
          <w:tcPr>
            <w:tcW w:w="2060"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Number of observations</w:t>
            </w:r>
          </w:p>
        </w:tc>
        <w:tc>
          <w:tcPr>
            <w:tcW w:w="4169"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c>
          <w:tcPr>
            <w:tcW w:w="1014"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c>
          <w:tcPr>
            <w:tcW w:w="779" w:type="dxa"/>
            <w:gridSpan w:val="2"/>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c>
          <w:tcPr>
            <w:tcW w:w="725" w:type="dxa"/>
            <w:tcBorders>
              <w:top w:val="nil"/>
              <w:left w:val="nil"/>
              <w:bottom w:val="single" w:sz="8" w:space="0" w:color="auto"/>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sidRPr="00BF3AB5">
              <w:rPr>
                <w:color w:val="000000"/>
                <w:sz w:val="18"/>
                <w:szCs w:val="18"/>
              </w:rPr>
              <w:t>22447</w:t>
            </w:r>
          </w:p>
        </w:tc>
      </w:tr>
      <w:tr w:rsidR="00C00275" w:rsidRPr="00BF3AB5" w:rsidTr="00904299">
        <w:trPr>
          <w:cantSplit/>
          <w:trHeight w:hRule="exact" w:val="245"/>
        </w:trPr>
        <w:tc>
          <w:tcPr>
            <w:tcW w:w="10197" w:type="dxa"/>
            <w:gridSpan w:val="9"/>
            <w:tcBorders>
              <w:top w:val="single" w:sz="8" w:space="0" w:color="auto"/>
              <w:left w:val="nil"/>
              <w:right w:val="nil"/>
            </w:tcBorders>
            <w:shd w:val="clear" w:color="000000" w:fill="D8D8D8"/>
            <w:noWrap/>
            <w:vAlign w:val="bottom"/>
            <w:hideMark/>
          </w:tcPr>
          <w:p w:rsidR="00C00275" w:rsidRPr="00BF3AB5" w:rsidRDefault="00C00275" w:rsidP="00C00275">
            <w:pPr>
              <w:spacing w:after="120" w:line="480" w:lineRule="auto"/>
              <w:mirrorIndents/>
              <w:rPr>
                <w:color w:val="000000"/>
                <w:sz w:val="18"/>
                <w:szCs w:val="18"/>
              </w:rPr>
            </w:pPr>
            <w:r>
              <w:rPr>
                <w:color w:val="000000"/>
                <w:sz w:val="18"/>
                <w:szCs w:val="18"/>
              </w:rPr>
              <w:t xml:space="preserve">*** p&lt;0.001 **p&lt;0.05 *p&lt;0.10         </w:t>
            </w:r>
            <w:r w:rsidRPr="00655240">
              <w:rPr>
                <w:b/>
                <w:color w:val="000000"/>
                <w:sz w:val="18"/>
                <w:szCs w:val="18"/>
              </w:rPr>
              <w:t>Note</w:t>
            </w:r>
            <w:r>
              <w:rPr>
                <w:color w:val="000000"/>
                <w:sz w:val="18"/>
                <w:szCs w:val="18"/>
              </w:rPr>
              <w:t>. robust standard errors are reported in parenthesis</w:t>
            </w:r>
          </w:p>
        </w:tc>
      </w:tr>
    </w:tbl>
    <w:tbl>
      <w:tblPr>
        <w:tblpPr w:leftFromText="180" w:rightFromText="180" w:vertAnchor="text" w:horzAnchor="margin" w:tblpY="-119"/>
        <w:tblW w:w="9431" w:type="dxa"/>
        <w:tblLook w:val="04A0" w:firstRow="1" w:lastRow="0" w:firstColumn="1" w:lastColumn="0" w:noHBand="0" w:noVBand="1"/>
      </w:tblPr>
      <w:tblGrid>
        <w:gridCol w:w="3961"/>
        <w:gridCol w:w="1357"/>
        <w:gridCol w:w="1371"/>
        <w:gridCol w:w="1371"/>
        <w:gridCol w:w="1371"/>
      </w:tblGrid>
      <w:tr w:rsidR="00904299" w:rsidRPr="00866F0C" w:rsidTr="00904299">
        <w:trPr>
          <w:trHeight w:hRule="exact" w:val="402"/>
        </w:trPr>
        <w:tc>
          <w:tcPr>
            <w:tcW w:w="3961"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lastRenderedPageBreak/>
              <w:t xml:space="preserve">Figure </w:t>
            </w:r>
            <w:r>
              <w:rPr>
                <w:color w:val="000000"/>
                <w:sz w:val="18"/>
                <w:szCs w:val="18"/>
                <w:lang w:val="ru-RU"/>
              </w:rPr>
              <w:t>9</w:t>
            </w:r>
            <w:r>
              <w:rPr>
                <w:color w:val="000000"/>
                <w:sz w:val="18"/>
                <w:szCs w:val="18"/>
              </w:rPr>
              <w:t>. Sensitivity analysis</w:t>
            </w:r>
          </w:p>
        </w:tc>
        <w:tc>
          <w:tcPr>
            <w:tcW w:w="1357"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p>
        </w:tc>
      </w:tr>
      <w:tr w:rsidR="00904299" w:rsidRPr="00866F0C" w:rsidTr="00904299">
        <w:trPr>
          <w:trHeight w:hRule="exact" w:val="395"/>
        </w:trPr>
        <w:tc>
          <w:tcPr>
            <w:tcW w:w="3961"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Variable</w:t>
            </w:r>
          </w:p>
        </w:tc>
        <w:tc>
          <w:tcPr>
            <w:tcW w:w="1357"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r>
              <w:rPr>
                <w:color w:val="000000"/>
                <w:sz w:val="18"/>
                <w:szCs w:val="18"/>
              </w:rPr>
              <w:t>(1)</w:t>
            </w: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jc w:val="center"/>
              <w:rPr>
                <w:color w:val="000000"/>
                <w:sz w:val="18"/>
                <w:szCs w:val="18"/>
              </w:rPr>
            </w:pPr>
            <w:r>
              <w:rPr>
                <w:color w:val="000000"/>
                <w:sz w:val="18"/>
                <w:szCs w:val="18"/>
              </w:rPr>
              <w:t>(2)</w:t>
            </w: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(3)</w:t>
            </w:r>
          </w:p>
        </w:tc>
        <w:tc>
          <w:tcPr>
            <w:tcW w:w="1371" w:type="dxa"/>
            <w:tcBorders>
              <w:top w:val="nil"/>
              <w:left w:val="nil"/>
              <w:bottom w:val="single" w:sz="8" w:space="0" w:color="auto"/>
              <w:right w:val="nil"/>
            </w:tcBorders>
            <w:shd w:val="clear" w:color="000000" w:fill="D8D8D8"/>
          </w:tcPr>
          <w:p w:rsidR="00904299" w:rsidRDefault="00904299" w:rsidP="00904299">
            <w:pPr>
              <w:spacing w:after="120" w:line="480" w:lineRule="auto"/>
              <w:ind w:firstLine="288"/>
              <w:mirrorIndents/>
              <w:rPr>
                <w:color w:val="000000"/>
                <w:sz w:val="18"/>
                <w:szCs w:val="18"/>
              </w:rPr>
            </w:pPr>
            <w:r>
              <w:rPr>
                <w:color w:val="000000"/>
                <w:sz w:val="18"/>
                <w:szCs w:val="18"/>
              </w:rPr>
              <w:t>(4)</w:t>
            </w:r>
          </w:p>
        </w:tc>
      </w:tr>
      <w:tr w:rsidR="00904299" w:rsidRPr="00866F0C" w:rsidTr="005663F3">
        <w:trPr>
          <w:trHeight w:hRule="exact" w:val="301"/>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xml:space="preserve">Financial Literacy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0" w:line="480" w:lineRule="auto"/>
              <w:ind w:firstLine="288"/>
              <w:mirrorIndents/>
              <w:rPr>
                <w:color w:val="000000"/>
                <w:sz w:val="18"/>
                <w:szCs w:val="18"/>
              </w:rPr>
            </w:pPr>
            <w:r>
              <w:rPr>
                <w:color w:val="000000"/>
                <w:sz w:val="18"/>
                <w:szCs w:val="18"/>
              </w:rPr>
              <w:t>0.029***</w:t>
            </w:r>
            <w:r w:rsidRPr="00866F0C">
              <w:rPr>
                <w:color w:val="000000"/>
                <w:sz w:val="18"/>
                <w:szCs w:val="18"/>
              </w:rPr>
              <w:t xml:space="preserve"> 0.029***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0.023***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0" w:line="480" w:lineRule="auto"/>
              <w:ind w:firstLine="288"/>
              <w:mirrorIndents/>
              <w:rPr>
                <w:color w:val="000000"/>
                <w:sz w:val="18"/>
                <w:szCs w:val="18"/>
              </w:rPr>
            </w:pPr>
            <w:r w:rsidRPr="00866F0C">
              <w:rPr>
                <w:color w:val="000000"/>
                <w:sz w:val="18"/>
                <w:szCs w:val="18"/>
              </w:rPr>
              <w:t>(0.002)</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(0.002)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(0.003)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(0.003)</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Retirement accounts</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0.187***</w:t>
            </w: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0.206***</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(0.007)</w:t>
            </w: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(0.014)</w:t>
            </w:r>
          </w:p>
        </w:tc>
      </w:tr>
      <w:tr w:rsidR="00904299" w:rsidRPr="00866F0C" w:rsidTr="00904299">
        <w:trPr>
          <w:trHeight w:hRule="exact" w:val="196"/>
        </w:trPr>
        <w:tc>
          <w:tcPr>
            <w:tcW w:w="3961" w:type="dxa"/>
            <w:tcBorders>
              <w:top w:val="nil"/>
              <w:left w:val="nil"/>
              <w:bottom w:val="single" w:sz="4"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Risk Aversion (base group: risk averse)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Risk-medium</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0.146***</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.132</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0.183***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0.173***</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(0.006)</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w:t>
            </w:r>
            <w:r>
              <w:rPr>
                <w:color w:val="000000"/>
                <w:sz w:val="18"/>
                <w:szCs w:val="18"/>
              </w:rPr>
              <w:t>7)</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Risk-taker</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866F0C">
              <w:rPr>
                <w:color w:val="000000"/>
                <w:sz w:val="18"/>
                <w:szCs w:val="18"/>
              </w:rPr>
              <w:t>.284***</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.261</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0.308***</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0.292***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.008</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(0.013)</w:t>
            </w:r>
          </w:p>
        </w:tc>
      </w:tr>
      <w:tr w:rsidR="00904299" w:rsidRPr="00866F0C" w:rsidTr="00904299">
        <w:trPr>
          <w:trHeight w:hRule="exact" w:val="196"/>
        </w:trPr>
        <w:tc>
          <w:tcPr>
            <w:tcW w:w="3961" w:type="dxa"/>
            <w:tcBorders>
              <w:top w:val="nil"/>
              <w:left w:val="nil"/>
              <w:bottom w:val="single" w:sz="4"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Time Preference (base group: low)</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Mid</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0.060***</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.05</w:t>
            </w:r>
            <w:r>
              <w:rPr>
                <w:color w:val="000000"/>
                <w:sz w:val="18"/>
                <w:szCs w:val="18"/>
              </w:rPr>
              <w:t>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0.041***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0.038***</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w:t>
            </w:r>
            <w:r>
              <w:rPr>
                <w:color w:val="000000"/>
                <w:sz w:val="18"/>
                <w:szCs w:val="18"/>
              </w:rPr>
              <w:t>8)</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Long</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0.132***</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.12</w:t>
            </w:r>
            <w:r>
              <w:rPr>
                <w:color w:val="000000"/>
                <w:sz w:val="18"/>
                <w:szCs w:val="18"/>
              </w:rPr>
              <w:t>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0.102***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0.098***</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White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0.027***</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.02</w:t>
            </w:r>
            <w:r>
              <w:rPr>
                <w:color w:val="000000"/>
                <w:sz w:val="18"/>
                <w:szCs w:val="18"/>
              </w:rPr>
              <w:t>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0.014</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(0.006)</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.006</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r>
      <w:tr w:rsidR="00904299" w:rsidRPr="00866F0C" w:rsidTr="00904299">
        <w:trPr>
          <w:trHeight w:hRule="exact" w:val="196"/>
        </w:trPr>
        <w:tc>
          <w:tcPr>
            <w:tcW w:w="3961" w:type="dxa"/>
            <w:tcBorders>
              <w:top w:val="nil"/>
              <w:left w:val="nil"/>
              <w:bottom w:val="single" w:sz="4"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Age group (base group: ages 18-24)</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Ages 25-34</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-0.038***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sidRPr="00014470">
              <w:rPr>
                <w:color w:val="000000"/>
                <w:sz w:val="18"/>
                <w:szCs w:val="18"/>
              </w:rPr>
              <w:t>-</w:t>
            </w:r>
            <w:r>
              <w:rPr>
                <w:color w:val="000000"/>
                <w:sz w:val="18"/>
                <w:szCs w:val="18"/>
              </w:rPr>
              <w:t>0</w:t>
            </w:r>
            <w:r w:rsidRPr="00014470">
              <w:rPr>
                <w:color w:val="000000"/>
                <w:sz w:val="18"/>
                <w:szCs w:val="18"/>
              </w:rPr>
              <w:t>.064</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-0.035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-0.072***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.011</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(0.024)</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Ages 35-44</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0.039***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sidRPr="00014470">
              <w:rPr>
                <w:color w:val="000000"/>
                <w:sz w:val="18"/>
                <w:szCs w:val="18"/>
              </w:rPr>
              <w:t>-</w:t>
            </w:r>
            <w:r>
              <w:rPr>
                <w:color w:val="000000"/>
                <w:sz w:val="18"/>
                <w:szCs w:val="18"/>
              </w:rPr>
              <w:t>0</w:t>
            </w:r>
            <w:r w:rsidRPr="00014470">
              <w:rPr>
                <w:color w:val="000000"/>
                <w:sz w:val="18"/>
                <w:szCs w:val="18"/>
              </w:rPr>
              <w:t>.098</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-0.046*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.01</w:t>
            </w:r>
            <w:r>
              <w:rPr>
                <w:color w:val="000000"/>
                <w:sz w:val="18"/>
                <w:szCs w:val="18"/>
              </w:rPr>
              <w:t>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(0.025)</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Ages 45-54</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-0.039***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sidRPr="00014470">
              <w:rPr>
                <w:color w:val="000000"/>
                <w:sz w:val="18"/>
                <w:szCs w:val="18"/>
              </w:rPr>
              <w:t>-</w:t>
            </w:r>
            <w:r>
              <w:rPr>
                <w:color w:val="000000"/>
                <w:sz w:val="18"/>
                <w:szCs w:val="18"/>
              </w:rPr>
              <w:t>0</w:t>
            </w:r>
            <w:r w:rsidRPr="00014470">
              <w:rPr>
                <w:color w:val="000000"/>
                <w:sz w:val="18"/>
                <w:szCs w:val="18"/>
              </w:rPr>
              <w:t>.07</w:t>
            </w:r>
            <w:r>
              <w:rPr>
                <w:color w:val="000000"/>
                <w:sz w:val="18"/>
                <w:szCs w:val="18"/>
              </w:rPr>
              <w:t>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0.000</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-0.048*</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.011</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(0.024)</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Age 55 and more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xml:space="preserve"> 0.045***</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0.041*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.011</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(0.024)</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Married</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w:t>
            </w:r>
            <w:r>
              <w:rPr>
                <w:color w:val="000000"/>
                <w:sz w:val="18"/>
                <w:szCs w:val="18"/>
              </w:rPr>
              <w:t>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-0.004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(0.007)</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.00</w:t>
            </w:r>
            <w:r>
              <w:rPr>
                <w:color w:val="000000"/>
                <w:sz w:val="18"/>
                <w:szCs w:val="18"/>
              </w:rPr>
              <w:t>7)</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Self-employed</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0.067***</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.08</w:t>
            </w:r>
            <w:r>
              <w:rPr>
                <w:color w:val="000000"/>
                <w:sz w:val="18"/>
                <w:szCs w:val="18"/>
              </w:rPr>
              <w:t>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0.076***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014470">
              <w:rPr>
                <w:color w:val="000000"/>
                <w:sz w:val="18"/>
                <w:szCs w:val="18"/>
              </w:rPr>
              <w:t>.011</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(0.017)</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(0.017)</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Retired</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0.096***</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D14A81">
              <w:rPr>
                <w:color w:val="000000"/>
                <w:sz w:val="18"/>
                <w:szCs w:val="18"/>
              </w:rPr>
              <w:t>.09</w:t>
            </w:r>
            <w:r>
              <w:rPr>
                <w:color w:val="000000"/>
                <w:sz w:val="18"/>
                <w:szCs w:val="18"/>
              </w:rPr>
              <w:t>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0.100***</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0.098***</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D14A81">
              <w:rPr>
                <w:color w:val="000000"/>
                <w:sz w:val="18"/>
                <w:szCs w:val="18"/>
              </w:rPr>
              <w:t>.009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(0.013)</w:t>
            </w:r>
          </w:p>
        </w:tc>
      </w:tr>
      <w:tr w:rsidR="00904299" w:rsidRPr="00866F0C" w:rsidTr="00904299">
        <w:trPr>
          <w:trHeight w:hRule="exact" w:val="196"/>
        </w:trPr>
        <w:tc>
          <w:tcPr>
            <w:tcW w:w="3961" w:type="dxa"/>
            <w:tcBorders>
              <w:top w:val="nil"/>
              <w:left w:val="nil"/>
              <w:bottom w:val="single" w:sz="4"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Educational Attainment (base: no high school)</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High school</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0.050***</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0.029</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0.073</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.018</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(0.053)</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Some college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0.072***</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.04</w:t>
            </w:r>
            <w:r>
              <w:rPr>
                <w:color w:val="000000"/>
                <w:sz w:val="18"/>
                <w:szCs w:val="18"/>
              </w:rPr>
              <w:t>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0.065</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.018</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Bachelor's</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0.148***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.10</w:t>
            </w:r>
            <w:r>
              <w:rPr>
                <w:color w:val="000000"/>
                <w:sz w:val="18"/>
                <w:szCs w:val="18"/>
              </w:rPr>
              <w:t>9**</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0.181***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0.146***</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.019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Postgraduate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0.170***</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.129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0.176***</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0.142***</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(0.020)</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.020</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(0.053)</w:t>
            </w:r>
          </w:p>
        </w:tc>
      </w:tr>
      <w:tr w:rsidR="00904299" w:rsidRPr="00866F0C" w:rsidTr="00904299">
        <w:trPr>
          <w:trHeight w:hRule="exact" w:val="196"/>
        </w:trPr>
        <w:tc>
          <w:tcPr>
            <w:tcW w:w="3961" w:type="dxa"/>
            <w:tcBorders>
              <w:top w:val="nil"/>
              <w:left w:val="nil"/>
              <w:bottom w:val="single" w:sz="4"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Income Level (base: $25,000 and less)</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c>
          <w:tcPr>
            <w:tcW w:w="1371" w:type="dxa"/>
            <w:tcBorders>
              <w:top w:val="nil"/>
              <w:left w:val="nil"/>
              <w:bottom w:val="nil"/>
              <w:right w:val="nil"/>
            </w:tcBorders>
            <w:shd w:val="clear" w:color="000000" w:fill="F2F2F2"/>
          </w:tcPr>
          <w:p w:rsidR="00904299" w:rsidRPr="00904299" w:rsidRDefault="00904299" w:rsidP="00904299">
            <w:pPr>
              <w:spacing w:after="120" w:line="480" w:lineRule="auto"/>
              <w:ind w:firstLine="288"/>
              <w:mirrorIndents/>
              <w:rPr>
                <w:color w:val="000000"/>
                <w:sz w:val="18"/>
                <w:szCs w:val="18"/>
              </w:rPr>
            </w:pP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B</w:t>
            </w:r>
            <w:r w:rsidRPr="00866F0C">
              <w:rPr>
                <w:color w:val="000000"/>
                <w:sz w:val="18"/>
                <w:szCs w:val="18"/>
              </w:rPr>
              <w:t>etween 25,000 and 50,000</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xml:space="preserve"> 0.055***</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.001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0.032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-0.015</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(0.008)</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.00</w:t>
            </w:r>
            <w:r>
              <w:rPr>
                <w:color w:val="000000"/>
                <w:sz w:val="18"/>
                <w:szCs w:val="18"/>
              </w:rPr>
              <w:t>8)</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(0.020)</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(0.020)</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B</w:t>
            </w:r>
            <w:r w:rsidRPr="00866F0C">
              <w:rPr>
                <w:color w:val="000000"/>
                <w:sz w:val="18"/>
                <w:szCs w:val="18"/>
              </w:rPr>
              <w:t>etween 50,000 and 100,000</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0.179***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.099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0.142***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0.076***</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(0.009)</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.009</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(0.019)</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(0.020)</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$100,000 and more</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0.301***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.217</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0.234***</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0.164***</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(0.011)</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.01</w:t>
            </w:r>
            <w:r>
              <w:rPr>
                <w:color w:val="000000"/>
                <w:sz w:val="18"/>
                <w:szCs w:val="18"/>
              </w:rPr>
              <w:t>2)</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(0.021)</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(0.021)</w:t>
            </w:r>
          </w:p>
        </w:tc>
      </w:tr>
      <w:tr w:rsidR="00904299" w:rsidRPr="00866F0C" w:rsidTr="005663F3">
        <w:trPr>
          <w:trHeight w:hRule="exact" w:val="196"/>
        </w:trPr>
        <w:tc>
          <w:tcPr>
            <w:tcW w:w="3961"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Constant</w:t>
            </w:r>
          </w:p>
        </w:tc>
        <w:tc>
          <w:tcPr>
            <w:tcW w:w="1357" w:type="dxa"/>
            <w:tcBorders>
              <w:top w:val="nil"/>
              <w:left w:val="nil"/>
              <w:bottom w:val="nil"/>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-0.166***</w:t>
            </w:r>
          </w:p>
        </w:tc>
        <w:tc>
          <w:tcPr>
            <w:tcW w:w="1371" w:type="dxa"/>
            <w:tcBorders>
              <w:top w:val="nil"/>
              <w:left w:val="nil"/>
              <w:bottom w:val="nil"/>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sidRPr="001740E3">
              <w:rPr>
                <w:color w:val="000000"/>
                <w:sz w:val="18"/>
                <w:szCs w:val="18"/>
              </w:rPr>
              <w:t>-</w:t>
            </w:r>
            <w:r>
              <w:rPr>
                <w:color w:val="000000"/>
                <w:sz w:val="18"/>
                <w:szCs w:val="18"/>
              </w:rPr>
              <w:t>0</w:t>
            </w:r>
            <w:r w:rsidRPr="001740E3">
              <w:rPr>
                <w:color w:val="000000"/>
                <w:sz w:val="18"/>
                <w:szCs w:val="18"/>
              </w:rPr>
              <w:t>.143</w:t>
            </w:r>
            <w:r>
              <w:rPr>
                <w:color w:val="000000"/>
                <w:sz w:val="18"/>
                <w:szCs w:val="18"/>
              </w:rPr>
              <w:t>***</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-0.095</w:t>
            </w:r>
          </w:p>
        </w:tc>
        <w:tc>
          <w:tcPr>
            <w:tcW w:w="1371" w:type="dxa"/>
            <w:tcBorders>
              <w:top w:val="nil"/>
              <w:left w:val="nil"/>
              <w:bottom w:val="nil"/>
              <w:right w:val="nil"/>
            </w:tcBorders>
            <w:shd w:val="clear" w:color="000000" w:fill="F2F2F2"/>
            <w:vAlign w:val="bottom"/>
          </w:tcPr>
          <w:p w:rsidR="00904299" w:rsidRPr="00904299" w:rsidRDefault="00904299" w:rsidP="00904299">
            <w:pPr>
              <w:rPr>
                <w:sz w:val="18"/>
                <w:szCs w:val="18"/>
              </w:rPr>
            </w:pPr>
            <w:r w:rsidRPr="00904299">
              <w:rPr>
                <w:sz w:val="18"/>
                <w:szCs w:val="18"/>
              </w:rPr>
              <w:t>-0.104*</w:t>
            </w:r>
          </w:p>
        </w:tc>
      </w:tr>
      <w:tr w:rsidR="00904299" w:rsidRPr="00866F0C" w:rsidTr="005663F3">
        <w:trPr>
          <w:trHeight w:hRule="exact" w:val="196"/>
        </w:trPr>
        <w:tc>
          <w:tcPr>
            <w:tcW w:w="3961" w:type="dxa"/>
            <w:tcBorders>
              <w:top w:val="nil"/>
              <w:left w:val="nil"/>
              <w:bottom w:val="single" w:sz="8"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 </w:t>
            </w:r>
          </w:p>
        </w:tc>
        <w:tc>
          <w:tcPr>
            <w:tcW w:w="1357" w:type="dxa"/>
            <w:tcBorders>
              <w:top w:val="nil"/>
              <w:left w:val="nil"/>
              <w:bottom w:val="single" w:sz="8" w:space="0" w:color="auto"/>
              <w:right w:val="nil"/>
            </w:tcBorders>
            <w:shd w:val="clear" w:color="000000" w:fill="F2F2F2"/>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(0.019)</w:t>
            </w:r>
          </w:p>
        </w:tc>
        <w:tc>
          <w:tcPr>
            <w:tcW w:w="1371" w:type="dxa"/>
            <w:tcBorders>
              <w:top w:val="nil"/>
              <w:left w:val="nil"/>
              <w:bottom w:val="single" w:sz="8" w:space="0" w:color="auto"/>
              <w:right w:val="nil"/>
            </w:tcBorders>
            <w:shd w:val="clear" w:color="000000" w:fill="F2F2F2"/>
          </w:tcPr>
          <w:p w:rsidR="00904299" w:rsidRPr="00866F0C" w:rsidRDefault="00904299" w:rsidP="00904299">
            <w:pPr>
              <w:spacing w:after="120" w:line="480" w:lineRule="auto"/>
              <w:ind w:firstLine="288"/>
              <w:mirrorIndents/>
              <w:rPr>
                <w:color w:val="000000"/>
                <w:sz w:val="18"/>
                <w:szCs w:val="18"/>
              </w:rPr>
            </w:pPr>
            <w:r>
              <w:rPr>
                <w:color w:val="000000"/>
                <w:sz w:val="18"/>
                <w:szCs w:val="18"/>
              </w:rPr>
              <w:t>(0</w:t>
            </w:r>
            <w:r w:rsidRPr="001740E3">
              <w:rPr>
                <w:color w:val="000000"/>
                <w:sz w:val="18"/>
                <w:szCs w:val="18"/>
              </w:rPr>
              <w:t>.0</w:t>
            </w:r>
            <w:r>
              <w:rPr>
                <w:color w:val="000000"/>
                <w:sz w:val="18"/>
                <w:szCs w:val="18"/>
              </w:rPr>
              <w:t>20)</w:t>
            </w:r>
          </w:p>
        </w:tc>
        <w:tc>
          <w:tcPr>
            <w:tcW w:w="1371" w:type="dxa"/>
            <w:tcBorders>
              <w:top w:val="nil"/>
              <w:left w:val="nil"/>
              <w:bottom w:val="single" w:sz="8" w:space="0" w:color="auto"/>
              <w:right w:val="nil"/>
            </w:tcBorders>
            <w:shd w:val="clear" w:color="000000" w:fill="F2F2F2"/>
            <w:vAlign w:val="bottom"/>
          </w:tcPr>
          <w:p w:rsidR="00904299" w:rsidRPr="00904299" w:rsidRDefault="00904299" w:rsidP="00904299">
            <w:pPr>
              <w:rPr>
                <w:sz w:val="18"/>
                <w:szCs w:val="18"/>
              </w:rPr>
            </w:pPr>
            <w:r w:rsidRPr="00904299">
              <w:rPr>
                <w:sz w:val="18"/>
                <w:szCs w:val="18"/>
              </w:rPr>
              <w:t>(0.059)</w:t>
            </w:r>
          </w:p>
        </w:tc>
        <w:tc>
          <w:tcPr>
            <w:tcW w:w="1371" w:type="dxa"/>
            <w:tcBorders>
              <w:top w:val="nil"/>
              <w:left w:val="nil"/>
              <w:bottom w:val="single" w:sz="8" w:space="0" w:color="auto"/>
              <w:right w:val="nil"/>
            </w:tcBorders>
            <w:shd w:val="clear" w:color="000000" w:fill="F2F2F2"/>
            <w:vAlign w:val="bottom"/>
          </w:tcPr>
          <w:p w:rsidR="00904299" w:rsidRPr="00904299" w:rsidRDefault="00904299" w:rsidP="00904299">
            <w:pPr>
              <w:rPr>
                <w:sz w:val="18"/>
                <w:szCs w:val="18"/>
              </w:rPr>
            </w:pPr>
            <w:r w:rsidRPr="00904299">
              <w:rPr>
                <w:sz w:val="18"/>
                <w:szCs w:val="18"/>
              </w:rPr>
              <w:t>(0.057)</w:t>
            </w:r>
          </w:p>
        </w:tc>
      </w:tr>
      <w:tr w:rsidR="00904299" w:rsidRPr="00866F0C" w:rsidTr="00904299">
        <w:trPr>
          <w:trHeight w:hRule="exact" w:val="196"/>
        </w:trPr>
        <w:tc>
          <w:tcPr>
            <w:tcW w:w="3961" w:type="dxa"/>
            <w:tcBorders>
              <w:top w:val="nil"/>
              <w:left w:val="nil"/>
              <w:bottom w:val="nil"/>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Number of children</w:t>
            </w:r>
          </w:p>
        </w:tc>
        <w:tc>
          <w:tcPr>
            <w:tcW w:w="1357" w:type="dxa"/>
            <w:tcBorders>
              <w:top w:val="nil"/>
              <w:left w:val="nil"/>
              <w:bottom w:val="nil"/>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Pr>
                <w:color w:val="000000"/>
                <w:sz w:val="18"/>
                <w:szCs w:val="18"/>
              </w:rPr>
              <w:t>No</w:t>
            </w:r>
          </w:p>
        </w:tc>
        <w:tc>
          <w:tcPr>
            <w:tcW w:w="1371" w:type="dxa"/>
            <w:tcBorders>
              <w:top w:val="nil"/>
              <w:left w:val="nil"/>
              <w:bottom w:val="nil"/>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Yes</w:t>
            </w:r>
          </w:p>
        </w:tc>
        <w:tc>
          <w:tcPr>
            <w:tcW w:w="1371" w:type="dxa"/>
            <w:tcBorders>
              <w:top w:val="nil"/>
              <w:left w:val="nil"/>
              <w:bottom w:val="nil"/>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Yes</w:t>
            </w:r>
          </w:p>
        </w:tc>
        <w:tc>
          <w:tcPr>
            <w:tcW w:w="1371" w:type="dxa"/>
            <w:tcBorders>
              <w:top w:val="nil"/>
              <w:left w:val="nil"/>
              <w:bottom w:val="nil"/>
              <w:right w:val="nil"/>
            </w:tcBorders>
            <w:shd w:val="clear" w:color="000000" w:fill="D8D8D8"/>
          </w:tcPr>
          <w:p w:rsidR="00904299" w:rsidRDefault="00904299" w:rsidP="00904299">
            <w:pPr>
              <w:spacing w:after="120" w:line="480" w:lineRule="auto"/>
              <w:ind w:firstLine="288"/>
              <w:mirrorIndents/>
              <w:rPr>
                <w:color w:val="000000"/>
                <w:sz w:val="18"/>
                <w:szCs w:val="18"/>
              </w:rPr>
            </w:pPr>
            <w:r>
              <w:rPr>
                <w:color w:val="000000"/>
                <w:sz w:val="18"/>
                <w:szCs w:val="18"/>
              </w:rPr>
              <w:t>Yes</w:t>
            </w:r>
          </w:p>
        </w:tc>
      </w:tr>
      <w:tr w:rsidR="00904299" w:rsidRPr="00866F0C" w:rsidTr="00904299">
        <w:trPr>
          <w:trHeight w:hRule="exact" w:val="196"/>
        </w:trPr>
        <w:tc>
          <w:tcPr>
            <w:tcW w:w="3961" w:type="dxa"/>
            <w:tcBorders>
              <w:top w:val="nil"/>
              <w:left w:val="nil"/>
              <w:bottom w:val="nil"/>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R squared</w:t>
            </w:r>
          </w:p>
        </w:tc>
        <w:tc>
          <w:tcPr>
            <w:tcW w:w="1357" w:type="dxa"/>
            <w:tcBorders>
              <w:top w:val="nil"/>
              <w:left w:val="nil"/>
              <w:bottom w:val="nil"/>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0.235</w:t>
            </w:r>
          </w:p>
        </w:tc>
        <w:tc>
          <w:tcPr>
            <w:tcW w:w="1371" w:type="dxa"/>
            <w:tcBorders>
              <w:top w:val="nil"/>
              <w:left w:val="nil"/>
              <w:bottom w:val="nil"/>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0.259</w:t>
            </w:r>
          </w:p>
        </w:tc>
        <w:tc>
          <w:tcPr>
            <w:tcW w:w="1371" w:type="dxa"/>
            <w:tcBorders>
              <w:top w:val="nil"/>
              <w:left w:val="nil"/>
              <w:bottom w:val="nil"/>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0.166</w:t>
            </w:r>
          </w:p>
        </w:tc>
        <w:tc>
          <w:tcPr>
            <w:tcW w:w="1371" w:type="dxa"/>
            <w:tcBorders>
              <w:top w:val="nil"/>
              <w:left w:val="nil"/>
              <w:bottom w:val="nil"/>
              <w:right w:val="nil"/>
            </w:tcBorders>
            <w:shd w:val="clear" w:color="000000" w:fill="D8D8D8"/>
          </w:tcPr>
          <w:p w:rsidR="00904299" w:rsidRDefault="00904299" w:rsidP="00904299">
            <w:pPr>
              <w:spacing w:after="120" w:line="480" w:lineRule="auto"/>
              <w:ind w:firstLine="288"/>
              <w:mirrorIndents/>
              <w:rPr>
                <w:color w:val="000000"/>
                <w:sz w:val="18"/>
                <w:szCs w:val="18"/>
              </w:rPr>
            </w:pPr>
            <w:r>
              <w:rPr>
                <w:color w:val="000000"/>
                <w:sz w:val="18"/>
                <w:szCs w:val="18"/>
              </w:rPr>
              <w:t>0.181</w:t>
            </w:r>
          </w:p>
        </w:tc>
      </w:tr>
      <w:tr w:rsidR="00904299" w:rsidRPr="00866F0C" w:rsidTr="00904299">
        <w:trPr>
          <w:trHeight w:hRule="exact" w:val="196"/>
        </w:trPr>
        <w:tc>
          <w:tcPr>
            <w:tcW w:w="3961"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Number of observations</w:t>
            </w:r>
          </w:p>
        </w:tc>
        <w:tc>
          <w:tcPr>
            <w:tcW w:w="1357" w:type="dxa"/>
            <w:tcBorders>
              <w:top w:val="nil"/>
              <w:left w:val="nil"/>
              <w:bottom w:val="single" w:sz="8" w:space="0" w:color="auto"/>
              <w:right w:val="nil"/>
            </w:tcBorders>
            <w:shd w:val="clear" w:color="000000" w:fill="D8D8D8"/>
            <w:noWrap/>
            <w:vAlign w:val="bottom"/>
            <w:hideMark/>
          </w:tcPr>
          <w:p w:rsidR="00904299" w:rsidRPr="00866F0C" w:rsidRDefault="00904299" w:rsidP="00904299">
            <w:pPr>
              <w:spacing w:after="120" w:line="480" w:lineRule="auto"/>
              <w:ind w:firstLine="288"/>
              <w:mirrorIndents/>
              <w:rPr>
                <w:color w:val="000000"/>
                <w:sz w:val="18"/>
                <w:szCs w:val="18"/>
              </w:rPr>
            </w:pPr>
            <w:r w:rsidRPr="00866F0C">
              <w:rPr>
                <w:color w:val="000000"/>
                <w:sz w:val="18"/>
                <w:szCs w:val="18"/>
              </w:rPr>
              <w:t>22447</w:t>
            </w: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21517</w:t>
            </w:r>
          </w:p>
        </w:tc>
        <w:tc>
          <w:tcPr>
            <w:tcW w:w="1371" w:type="dxa"/>
            <w:tcBorders>
              <w:top w:val="nil"/>
              <w:left w:val="nil"/>
              <w:bottom w:val="single" w:sz="8" w:space="0" w:color="auto"/>
              <w:right w:val="nil"/>
            </w:tcBorders>
            <w:shd w:val="clear" w:color="000000" w:fill="D8D8D8"/>
          </w:tcPr>
          <w:p w:rsidR="00904299" w:rsidRPr="00866F0C" w:rsidRDefault="00904299" w:rsidP="00904299">
            <w:pPr>
              <w:spacing w:after="120" w:line="480" w:lineRule="auto"/>
              <w:ind w:firstLine="288"/>
              <w:mirrorIndents/>
              <w:rPr>
                <w:color w:val="000000"/>
                <w:sz w:val="18"/>
                <w:szCs w:val="18"/>
              </w:rPr>
            </w:pPr>
            <w:r>
              <w:rPr>
                <w:color w:val="000000"/>
                <w:sz w:val="18"/>
                <w:szCs w:val="18"/>
              </w:rPr>
              <w:t>10288</w:t>
            </w:r>
          </w:p>
        </w:tc>
        <w:tc>
          <w:tcPr>
            <w:tcW w:w="1371" w:type="dxa"/>
            <w:tcBorders>
              <w:top w:val="nil"/>
              <w:left w:val="nil"/>
              <w:bottom w:val="single" w:sz="8" w:space="0" w:color="auto"/>
              <w:right w:val="nil"/>
            </w:tcBorders>
            <w:shd w:val="clear" w:color="000000" w:fill="D8D8D8"/>
          </w:tcPr>
          <w:p w:rsidR="00904299" w:rsidRDefault="00904299" w:rsidP="00904299">
            <w:pPr>
              <w:spacing w:after="120" w:line="480" w:lineRule="auto"/>
              <w:ind w:firstLine="288"/>
              <w:mirrorIndents/>
              <w:rPr>
                <w:color w:val="000000"/>
                <w:sz w:val="18"/>
                <w:szCs w:val="18"/>
              </w:rPr>
            </w:pPr>
            <w:r>
              <w:rPr>
                <w:color w:val="000000"/>
                <w:sz w:val="18"/>
                <w:szCs w:val="18"/>
              </w:rPr>
              <w:t>10288</w:t>
            </w:r>
          </w:p>
        </w:tc>
      </w:tr>
    </w:tbl>
    <w:p w:rsidR="004B4742" w:rsidRDefault="004B4742" w:rsidP="007D7DB1">
      <w:pPr>
        <w:spacing w:after="120" w:line="360" w:lineRule="auto"/>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D03F50">
      <w:pPr>
        <w:spacing w:after="120" w:line="360" w:lineRule="auto"/>
        <w:ind w:firstLine="288"/>
        <w:mirrorIndents/>
        <w:rPr>
          <w:b/>
          <w:sz w:val="28"/>
          <w:szCs w:val="28"/>
        </w:rPr>
      </w:pPr>
    </w:p>
    <w:p w:rsidR="004B4742" w:rsidRDefault="004B4742"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lang w:val="ru-RU"/>
        </w:rPr>
      </w:pPr>
    </w:p>
    <w:p w:rsidR="00C00275" w:rsidRDefault="00C00275" w:rsidP="00930B34">
      <w:pPr>
        <w:spacing w:after="120" w:line="360" w:lineRule="auto"/>
        <w:mirrorIndents/>
        <w:rPr>
          <w:b/>
          <w:sz w:val="28"/>
          <w:szCs w:val="28"/>
        </w:rPr>
      </w:pPr>
    </w:p>
    <w:p w:rsidR="001740E3" w:rsidRDefault="001740E3" w:rsidP="00930B34">
      <w:pPr>
        <w:spacing w:after="120" w:line="360" w:lineRule="auto"/>
        <w:mirrorIndents/>
        <w:rPr>
          <w:b/>
          <w:sz w:val="28"/>
          <w:szCs w:val="28"/>
        </w:rPr>
      </w:pPr>
    </w:p>
    <w:p w:rsidR="001740E3" w:rsidRDefault="001740E3" w:rsidP="00930B34">
      <w:pPr>
        <w:spacing w:after="120" w:line="360" w:lineRule="auto"/>
        <w:mirrorIndents/>
        <w:rPr>
          <w:b/>
          <w:sz w:val="28"/>
          <w:szCs w:val="28"/>
        </w:rPr>
      </w:pPr>
    </w:p>
    <w:p w:rsidR="001740E3" w:rsidRDefault="001740E3" w:rsidP="00930B34">
      <w:pPr>
        <w:spacing w:after="120" w:line="360" w:lineRule="auto"/>
        <w:mirrorIndents/>
        <w:rPr>
          <w:b/>
          <w:sz w:val="28"/>
          <w:szCs w:val="28"/>
        </w:rPr>
      </w:pPr>
    </w:p>
    <w:p w:rsidR="001740E3" w:rsidRDefault="001740E3" w:rsidP="00930B34">
      <w:pPr>
        <w:spacing w:after="120" w:line="360" w:lineRule="auto"/>
        <w:mirrorIndents/>
        <w:rPr>
          <w:b/>
          <w:sz w:val="28"/>
          <w:szCs w:val="28"/>
        </w:rPr>
      </w:pPr>
    </w:p>
    <w:tbl>
      <w:tblPr>
        <w:tblW w:w="9038" w:type="dxa"/>
        <w:tblInd w:w="99" w:type="dxa"/>
        <w:tblLook w:val="04A0" w:firstRow="1" w:lastRow="0" w:firstColumn="1" w:lastColumn="0" w:noHBand="0" w:noVBand="1"/>
      </w:tblPr>
      <w:tblGrid>
        <w:gridCol w:w="4329"/>
        <w:gridCol w:w="1199"/>
        <w:gridCol w:w="1170"/>
        <w:gridCol w:w="1260"/>
        <w:gridCol w:w="1080"/>
      </w:tblGrid>
      <w:tr w:rsidR="00767979" w:rsidTr="00767979">
        <w:trPr>
          <w:trHeight w:hRule="exact" w:val="173"/>
        </w:trPr>
        <w:tc>
          <w:tcPr>
            <w:tcW w:w="4329" w:type="dxa"/>
            <w:tcBorders>
              <w:top w:val="nil"/>
              <w:left w:val="nil"/>
              <w:bottom w:val="single" w:sz="8" w:space="0" w:color="auto"/>
              <w:right w:val="single" w:sz="4" w:space="0" w:color="auto"/>
            </w:tcBorders>
            <w:shd w:val="clear" w:color="000000" w:fill="D8D8D8"/>
            <w:noWrap/>
            <w:vAlign w:val="bottom"/>
            <w:hideMark/>
          </w:tcPr>
          <w:p w:rsidR="00767979" w:rsidRDefault="00767979" w:rsidP="00767979">
            <w:pPr>
              <w:rPr>
                <w:color w:val="000000"/>
                <w:sz w:val="20"/>
                <w:szCs w:val="20"/>
              </w:rPr>
            </w:pPr>
            <w:r>
              <w:rPr>
                <w:color w:val="000000"/>
                <w:sz w:val="20"/>
                <w:szCs w:val="20"/>
              </w:rPr>
              <w:lastRenderedPageBreak/>
              <w:t>Figure 11. Two-Stage Least Square IV Regressions</w:t>
            </w:r>
          </w:p>
        </w:tc>
        <w:tc>
          <w:tcPr>
            <w:tcW w:w="2369" w:type="dxa"/>
            <w:gridSpan w:val="2"/>
            <w:tcBorders>
              <w:top w:val="nil"/>
              <w:left w:val="single" w:sz="4" w:space="0" w:color="auto"/>
              <w:bottom w:val="single" w:sz="8" w:space="0" w:color="auto"/>
              <w:right w:val="nil"/>
            </w:tcBorders>
            <w:shd w:val="clear" w:color="000000" w:fill="D8D8D8"/>
            <w:noWrap/>
            <w:vAlign w:val="bottom"/>
            <w:hideMark/>
          </w:tcPr>
          <w:p w:rsidR="00767979" w:rsidRDefault="00767979" w:rsidP="00745D9B">
            <w:pPr>
              <w:jc w:val="center"/>
              <w:rPr>
                <w:color w:val="000000"/>
                <w:sz w:val="20"/>
                <w:szCs w:val="20"/>
              </w:rPr>
            </w:pPr>
            <w:r>
              <w:rPr>
                <w:color w:val="000000"/>
                <w:sz w:val="20"/>
                <w:szCs w:val="20"/>
              </w:rPr>
              <w:t>(1)</w:t>
            </w:r>
          </w:p>
        </w:tc>
        <w:tc>
          <w:tcPr>
            <w:tcW w:w="2340" w:type="dxa"/>
            <w:gridSpan w:val="2"/>
            <w:tcBorders>
              <w:top w:val="nil"/>
              <w:left w:val="single" w:sz="4" w:space="0" w:color="auto"/>
              <w:bottom w:val="single" w:sz="8" w:space="0" w:color="auto"/>
              <w:right w:val="nil"/>
            </w:tcBorders>
            <w:shd w:val="clear" w:color="000000" w:fill="D8D8D8"/>
            <w:noWrap/>
            <w:vAlign w:val="bottom"/>
            <w:hideMark/>
          </w:tcPr>
          <w:p w:rsidR="00767979" w:rsidRDefault="00767979" w:rsidP="00745D9B">
            <w:pPr>
              <w:jc w:val="center"/>
              <w:rPr>
                <w:color w:val="000000"/>
                <w:sz w:val="20"/>
                <w:szCs w:val="20"/>
              </w:rPr>
            </w:pPr>
            <w:r>
              <w:rPr>
                <w:color w:val="000000"/>
                <w:sz w:val="20"/>
                <w:szCs w:val="20"/>
              </w:rPr>
              <w:t>(2)</w:t>
            </w:r>
          </w:p>
        </w:tc>
      </w:tr>
      <w:tr w:rsidR="00767979" w:rsidTr="00767979">
        <w:trPr>
          <w:trHeight w:hRule="exact" w:val="173"/>
        </w:trPr>
        <w:tc>
          <w:tcPr>
            <w:tcW w:w="4329" w:type="dxa"/>
            <w:tcBorders>
              <w:top w:val="nil"/>
              <w:left w:val="nil"/>
              <w:bottom w:val="single" w:sz="8" w:space="0" w:color="auto"/>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Variable</w:t>
            </w:r>
          </w:p>
        </w:tc>
        <w:tc>
          <w:tcPr>
            <w:tcW w:w="1199" w:type="dxa"/>
            <w:tcBorders>
              <w:top w:val="nil"/>
              <w:left w:val="single" w:sz="4" w:space="0" w:color="auto"/>
              <w:bottom w:val="single" w:sz="8" w:space="0" w:color="auto"/>
              <w:right w:val="nil"/>
            </w:tcBorders>
            <w:shd w:val="clear" w:color="000000" w:fill="D8D8D8"/>
            <w:noWrap/>
            <w:vAlign w:val="bottom"/>
            <w:hideMark/>
          </w:tcPr>
          <w:p w:rsidR="00767979" w:rsidRDefault="00767979" w:rsidP="00745D9B">
            <w:pPr>
              <w:tabs>
                <w:tab w:val="left" w:pos="768"/>
              </w:tabs>
              <w:jc w:val="center"/>
              <w:rPr>
                <w:color w:val="000000"/>
                <w:sz w:val="18"/>
                <w:szCs w:val="18"/>
              </w:rPr>
            </w:pPr>
            <w:r>
              <w:rPr>
                <w:color w:val="000000"/>
                <w:sz w:val="18"/>
                <w:szCs w:val="18"/>
              </w:rPr>
              <w:t>Second Stage</w:t>
            </w:r>
          </w:p>
        </w:tc>
        <w:tc>
          <w:tcPr>
            <w:tcW w:w="1170" w:type="dxa"/>
            <w:tcBorders>
              <w:top w:val="nil"/>
              <w:left w:val="nil"/>
              <w:bottom w:val="single" w:sz="8" w:space="0" w:color="auto"/>
              <w:right w:val="nil"/>
            </w:tcBorders>
            <w:shd w:val="clear" w:color="000000" w:fill="D8D8D8"/>
            <w:noWrap/>
            <w:vAlign w:val="bottom"/>
            <w:hideMark/>
          </w:tcPr>
          <w:p w:rsidR="00767979" w:rsidRDefault="00767979" w:rsidP="00745D9B">
            <w:pPr>
              <w:jc w:val="center"/>
              <w:rPr>
                <w:color w:val="000000"/>
                <w:sz w:val="18"/>
                <w:szCs w:val="18"/>
              </w:rPr>
            </w:pPr>
            <w:r>
              <w:rPr>
                <w:color w:val="000000"/>
                <w:sz w:val="18"/>
                <w:szCs w:val="18"/>
              </w:rPr>
              <w:t>First Stage</w:t>
            </w:r>
          </w:p>
        </w:tc>
        <w:tc>
          <w:tcPr>
            <w:tcW w:w="1260" w:type="dxa"/>
            <w:tcBorders>
              <w:top w:val="nil"/>
              <w:left w:val="single" w:sz="4" w:space="0" w:color="auto"/>
              <w:bottom w:val="single" w:sz="8" w:space="0" w:color="auto"/>
              <w:right w:val="nil"/>
            </w:tcBorders>
            <w:shd w:val="clear" w:color="000000" w:fill="D8D8D8"/>
            <w:noWrap/>
            <w:vAlign w:val="bottom"/>
            <w:hideMark/>
          </w:tcPr>
          <w:p w:rsidR="00767979" w:rsidRDefault="00767979" w:rsidP="00745D9B">
            <w:pPr>
              <w:jc w:val="center"/>
              <w:rPr>
                <w:color w:val="000000"/>
                <w:sz w:val="18"/>
                <w:szCs w:val="18"/>
              </w:rPr>
            </w:pPr>
            <w:r>
              <w:rPr>
                <w:color w:val="000000"/>
                <w:sz w:val="18"/>
                <w:szCs w:val="18"/>
              </w:rPr>
              <w:t>Second Stage</w:t>
            </w:r>
          </w:p>
        </w:tc>
        <w:tc>
          <w:tcPr>
            <w:tcW w:w="1080" w:type="dxa"/>
            <w:tcBorders>
              <w:top w:val="nil"/>
              <w:left w:val="nil"/>
              <w:bottom w:val="single" w:sz="8" w:space="0" w:color="auto"/>
              <w:right w:val="nil"/>
            </w:tcBorders>
            <w:shd w:val="clear" w:color="000000" w:fill="D8D8D8"/>
            <w:noWrap/>
            <w:vAlign w:val="bottom"/>
            <w:hideMark/>
          </w:tcPr>
          <w:p w:rsidR="00767979" w:rsidRDefault="00767979" w:rsidP="00745D9B">
            <w:pPr>
              <w:jc w:val="center"/>
              <w:rPr>
                <w:color w:val="000000"/>
                <w:sz w:val="18"/>
                <w:szCs w:val="18"/>
              </w:rPr>
            </w:pPr>
            <w:r>
              <w:rPr>
                <w:color w:val="000000"/>
                <w:sz w:val="18"/>
                <w:szCs w:val="18"/>
              </w:rPr>
              <w:t>First Stage</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xml:space="preserve">Financial Literacy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0.197**</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0.137**</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(0.094)</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(0.068)</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Personal Finance Mandate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0.282***</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0.797***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(0.076)</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(0.212)</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Pr="00D35652" w:rsidRDefault="00767979" w:rsidP="00745D9B">
            <w:pPr>
              <w:rPr>
                <w:color w:val="000000"/>
                <w:sz w:val="18"/>
                <w:szCs w:val="18"/>
                <w:lang w:val="ru-RU"/>
              </w:rPr>
            </w:pPr>
            <w:r>
              <w:rPr>
                <w:color w:val="000000"/>
                <w:sz w:val="18"/>
                <w:szCs w:val="18"/>
              </w:rPr>
              <w:t>Personal Finance Mandate *Age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(0.007)</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Risk Aversion (base: risk averse)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Risk-medium</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0.103***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0.200***</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0.115***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0.199***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(0.030)</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(0.017)</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(0.030)</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Risk-taker</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0.269***</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0.270***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Time Preference (base group: low)</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Mid</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0.029</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0.149***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0.039**</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0.149***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(0.018)</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(0.034)</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(0.034)</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Long</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0.091***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0.218***</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0.104***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0.217***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(0.025)</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White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0.355***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0.355***</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rFonts w:ascii="Calibri" w:hAnsi="Calibri" w:cs="Calibri"/>
                <w:color w:val="000000"/>
              </w:rPr>
            </w:pPr>
            <w:r>
              <w:rPr>
                <w:rFonts w:ascii="Calibri" w:hAnsi="Calibri" w:cs="Calibri"/>
                <w:color w:val="000000"/>
                <w:sz w:val="22"/>
                <w:szCs w:val="22"/>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(0.035)</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(0.026)</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Male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0.509***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0.507***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(0.049)</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(0.027)</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(0.027)</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Age group (base: ages 18-24)</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Ages 25-34</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-0.046***</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(0.018)</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(0.054)</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(0.016)</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(0.055)</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Ages 35-44</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-0.103***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0.274***</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-0.090***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0.306***</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(0.027)</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(0.057)</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(0.058)</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Ages 45-54</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-0.119***</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0.491***</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-0.094***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0.523***</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(0.044)</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(0.056)</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Age 55 and more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-0.076</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0.625***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0.657***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(0.056)</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(0.057)</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Married</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-0.000</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0.072**</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0.072**</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(0.012)</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(0.031)</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(0.011)</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(0.031)</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Self-employed</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0.060***</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0.154***</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0.069***</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0.157***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(0.019)</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Retired</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0.112*</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0.043**</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0.116**</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(0.059)</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Financially dependent children (base: none)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One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0.048***</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-0.136***</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0.040***</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-0.135***</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(0.018)</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(0.036)</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Two</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-0.170***</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0.043**</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-0.169***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(0.017)</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Three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0.017</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-0.078</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0.013</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(0.020)</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(0.054)</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(0.018)</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(0.054)</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Four and more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-0.140*</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-0.008</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-0.141*</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(0.028)</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(0.075)</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Educational Attainment (base: high school)</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Some college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0.469***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0.471***</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(0.045)</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(0.035)</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Bachelor's</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-0.037</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0.905***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0.018</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0.909***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(0.085)</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(0.040)</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(0.063)</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(0.040)</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Postgraduate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1.065***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1.069***</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(0.101)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(0.047)</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(0.047)</w:t>
            </w:r>
          </w:p>
        </w:tc>
      </w:tr>
      <w:tr w:rsidR="00767979" w:rsidRPr="00BD0940" w:rsidTr="00767979">
        <w:trPr>
          <w:trHeight w:hRule="exact" w:val="173"/>
        </w:trPr>
        <w:tc>
          <w:tcPr>
            <w:tcW w:w="4329" w:type="dxa"/>
            <w:tcBorders>
              <w:top w:val="nil"/>
              <w:left w:val="nil"/>
              <w:bottom w:val="single" w:sz="8" w:space="0" w:color="auto"/>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Income Level (base: $25,000 and less)</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color w:val="000000"/>
                <w:sz w:val="18"/>
                <w:szCs w:val="18"/>
              </w:rPr>
            </w:pPr>
            <w:r w:rsidRPr="00767979">
              <w:rPr>
                <w:color w:val="000000"/>
                <w:sz w:val="18"/>
                <w:szCs w:val="18"/>
              </w:rPr>
              <w:t> </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between 25,000 and 50,000</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-0.001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0.217***</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0.217***</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(0.024)</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(0.019)</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(0.042)</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between 50,000 and 100,000</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0.067*</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0.408***</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0.092***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0.408***</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(0.043)</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(0.031)</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(0.043)</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$100,000 and more</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0.140*</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0.755***</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0.185***</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0.756***</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(0.073)</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(0.051)</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(0.054)</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(0.051)</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Constant</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-0.380**</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1.539***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-0.282**</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1.508***</w:t>
            </w:r>
          </w:p>
        </w:tc>
      </w:tr>
      <w:tr w:rsidR="00767979" w:rsidRPr="00BD0940" w:rsidTr="00767979">
        <w:trPr>
          <w:trHeight w:hRule="exact" w:val="173"/>
        </w:trPr>
        <w:tc>
          <w:tcPr>
            <w:tcW w:w="4329" w:type="dxa"/>
            <w:tcBorders>
              <w:top w:val="nil"/>
              <w:left w:val="nil"/>
              <w:bottom w:val="nil"/>
              <w:right w:val="single" w:sz="4" w:space="0" w:color="auto"/>
            </w:tcBorders>
            <w:shd w:val="clear" w:color="000000" w:fill="F2F2F2"/>
            <w:noWrap/>
            <w:vAlign w:val="bottom"/>
            <w:hideMark/>
          </w:tcPr>
          <w:p w:rsidR="00767979" w:rsidRDefault="00767979" w:rsidP="00745D9B">
            <w:pPr>
              <w:rPr>
                <w:color w:val="000000"/>
                <w:sz w:val="18"/>
                <w:szCs w:val="18"/>
              </w:rPr>
            </w:pPr>
            <w:r>
              <w:rPr>
                <w:color w:val="000000"/>
                <w:sz w:val="18"/>
                <w:szCs w:val="18"/>
              </w:rPr>
              <w:t> </w:t>
            </w:r>
          </w:p>
        </w:tc>
        <w:tc>
          <w:tcPr>
            <w:tcW w:w="1199"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(0.151)</w:t>
            </w:r>
          </w:p>
        </w:tc>
        <w:tc>
          <w:tcPr>
            <w:tcW w:w="117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(0.059)</w:t>
            </w:r>
          </w:p>
        </w:tc>
        <w:tc>
          <w:tcPr>
            <w:tcW w:w="1260" w:type="dxa"/>
            <w:tcBorders>
              <w:top w:val="nil"/>
              <w:left w:val="single" w:sz="4" w:space="0" w:color="auto"/>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(0.111)</w:t>
            </w:r>
          </w:p>
        </w:tc>
        <w:tc>
          <w:tcPr>
            <w:tcW w:w="1080" w:type="dxa"/>
            <w:tcBorders>
              <w:top w:val="nil"/>
              <w:left w:val="nil"/>
              <w:bottom w:val="nil"/>
              <w:right w:val="nil"/>
            </w:tcBorders>
            <w:shd w:val="clear" w:color="000000" w:fill="F2F2F2"/>
            <w:noWrap/>
            <w:vAlign w:val="bottom"/>
            <w:hideMark/>
          </w:tcPr>
          <w:p w:rsidR="00767979" w:rsidRPr="00767979" w:rsidRDefault="00767979" w:rsidP="00745D9B">
            <w:pPr>
              <w:rPr>
                <w:sz w:val="18"/>
                <w:szCs w:val="18"/>
              </w:rPr>
            </w:pPr>
            <w:r w:rsidRPr="00767979">
              <w:rPr>
                <w:sz w:val="18"/>
                <w:szCs w:val="18"/>
              </w:rPr>
              <w:t>(0.060)</w:t>
            </w:r>
          </w:p>
        </w:tc>
      </w:tr>
      <w:tr w:rsidR="00767979" w:rsidTr="00767979">
        <w:trPr>
          <w:trHeight w:hRule="exact" w:val="173"/>
        </w:trPr>
        <w:tc>
          <w:tcPr>
            <w:tcW w:w="4329" w:type="dxa"/>
            <w:tcBorders>
              <w:top w:val="nil"/>
              <w:left w:val="nil"/>
              <w:bottom w:val="nil"/>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F-statistic First Stage Regression</w:t>
            </w:r>
          </w:p>
        </w:tc>
        <w:tc>
          <w:tcPr>
            <w:tcW w:w="2369" w:type="dxa"/>
            <w:gridSpan w:val="2"/>
            <w:tcBorders>
              <w:top w:val="nil"/>
              <w:left w:val="single" w:sz="4" w:space="0" w:color="auto"/>
              <w:bottom w:val="nil"/>
              <w:right w:val="single" w:sz="4" w:space="0" w:color="000000"/>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13.6026</w:t>
            </w:r>
          </w:p>
        </w:tc>
        <w:tc>
          <w:tcPr>
            <w:tcW w:w="2340" w:type="dxa"/>
            <w:gridSpan w:val="2"/>
            <w:tcBorders>
              <w:top w:val="nil"/>
              <w:left w:val="nil"/>
              <w:bottom w:val="nil"/>
              <w:right w:val="nil"/>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9.9221</w:t>
            </w:r>
          </w:p>
        </w:tc>
      </w:tr>
      <w:tr w:rsidR="00767979" w:rsidTr="00767979">
        <w:trPr>
          <w:trHeight w:hRule="exact" w:val="173"/>
        </w:trPr>
        <w:tc>
          <w:tcPr>
            <w:tcW w:w="4329" w:type="dxa"/>
            <w:tcBorders>
              <w:top w:val="nil"/>
              <w:left w:val="nil"/>
              <w:bottom w:val="nil"/>
              <w:right w:val="single" w:sz="4" w:space="0" w:color="auto"/>
            </w:tcBorders>
            <w:shd w:val="clear" w:color="000000" w:fill="D8D8D8"/>
            <w:noWrap/>
            <w:vAlign w:val="bottom"/>
            <w:hideMark/>
          </w:tcPr>
          <w:p w:rsidR="00767979" w:rsidRDefault="00767979" w:rsidP="00745D9B">
            <w:pPr>
              <w:rPr>
                <w:color w:val="000000"/>
                <w:sz w:val="18"/>
                <w:szCs w:val="18"/>
              </w:rPr>
            </w:pPr>
            <w:r w:rsidRPr="00925DD4">
              <w:rPr>
                <w:color w:val="000000"/>
                <w:sz w:val="18"/>
                <w:szCs w:val="18"/>
              </w:rPr>
              <w:t>Kleibergen-Paap Wald rk F statistic</w:t>
            </w:r>
          </w:p>
        </w:tc>
        <w:tc>
          <w:tcPr>
            <w:tcW w:w="2369" w:type="dxa"/>
            <w:gridSpan w:val="2"/>
            <w:tcBorders>
              <w:top w:val="nil"/>
              <w:left w:val="single" w:sz="4" w:space="0" w:color="auto"/>
              <w:bottom w:val="nil"/>
              <w:right w:val="single" w:sz="4" w:space="0" w:color="000000"/>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13.60</w:t>
            </w:r>
          </w:p>
        </w:tc>
        <w:tc>
          <w:tcPr>
            <w:tcW w:w="2340" w:type="dxa"/>
            <w:gridSpan w:val="2"/>
            <w:tcBorders>
              <w:top w:val="nil"/>
              <w:left w:val="nil"/>
              <w:bottom w:val="nil"/>
              <w:right w:val="nil"/>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9.92</w:t>
            </w:r>
          </w:p>
        </w:tc>
      </w:tr>
      <w:tr w:rsidR="00767979" w:rsidTr="00767979">
        <w:trPr>
          <w:trHeight w:hRule="exact" w:val="173"/>
        </w:trPr>
        <w:tc>
          <w:tcPr>
            <w:tcW w:w="4329" w:type="dxa"/>
            <w:tcBorders>
              <w:top w:val="nil"/>
              <w:left w:val="nil"/>
              <w:bottom w:val="nil"/>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Exogeneity test p-value</w:t>
            </w:r>
          </w:p>
        </w:tc>
        <w:tc>
          <w:tcPr>
            <w:tcW w:w="2369" w:type="dxa"/>
            <w:gridSpan w:val="2"/>
            <w:tcBorders>
              <w:top w:val="nil"/>
              <w:left w:val="single" w:sz="4" w:space="0" w:color="auto"/>
              <w:bottom w:val="nil"/>
              <w:right w:val="single" w:sz="4" w:space="0" w:color="000000"/>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0.0309</w:t>
            </w:r>
          </w:p>
        </w:tc>
        <w:tc>
          <w:tcPr>
            <w:tcW w:w="2340" w:type="dxa"/>
            <w:gridSpan w:val="2"/>
            <w:tcBorders>
              <w:top w:val="nil"/>
              <w:left w:val="nil"/>
              <w:bottom w:val="nil"/>
              <w:right w:val="nil"/>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0.0825</w:t>
            </w:r>
          </w:p>
        </w:tc>
      </w:tr>
      <w:tr w:rsidR="00767979" w:rsidTr="00767979">
        <w:trPr>
          <w:trHeight w:hRule="exact" w:val="173"/>
        </w:trPr>
        <w:tc>
          <w:tcPr>
            <w:tcW w:w="4329" w:type="dxa"/>
            <w:tcBorders>
              <w:top w:val="nil"/>
              <w:left w:val="nil"/>
              <w:bottom w:val="nil"/>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Hansen J test p-value</w:t>
            </w:r>
          </w:p>
        </w:tc>
        <w:tc>
          <w:tcPr>
            <w:tcW w:w="1199" w:type="dxa"/>
            <w:tcBorders>
              <w:top w:val="nil"/>
              <w:left w:val="single" w:sz="4" w:space="0" w:color="auto"/>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1170" w:type="dxa"/>
            <w:tcBorders>
              <w:top w:val="nil"/>
              <w:left w:val="nil"/>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 </w:t>
            </w:r>
          </w:p>
        </w:tc>
        <w:tc>
          <w:tcPr>
            <w:tcW w:w="2340" w:type="dxa"/>
            <w:gridSpan w:val="2"/>
            <w:tcBorders>
              <w:top w:val="nil"/>
              <w:left w:val="single" w:sz="4" w:space="0" w:color="auto"/>
              <w:bottom w:val="nil"/>
              <w:right w:val="nil"/>
            </w:tcBorders>
            <w:shd w:val="clear" w:color="000000" w:fill="D8D8D8"/>
            <w:noWrap/>
            <w:vAlign w:val="bottom"/>
            <w:hideMark/>
          </w:tcPr>
          <w:p w:rsidR="00767979" w:rsidRPr="00767979" w:rsidRDefault="00767979" w:rsidP="00745D9B">
            <w:pPr>
              <w:jc w:val="center"/>
              <w:rPr>
                <w:color w:val="000000"/>
                <w:sz w:val="18"/>
                <w:szCs w:val="18"/>
              </w:rPr>
            </w:pPr>
            <w:r w:rsidRPr="00767979">
              <w:rPr>
                <w:color w:val="000000"/>
                <w:sz w:val="18"/>
                <w:szCs w:val="18"/>
              </w:rPr>
              <w:t>0.2127</w:t>
            </w:r>
          </w:p>
        </w:tc>
      </w:tr>
      <w:tr w:rsidR="00767979" w:rsidTr="00767979">
        <w:trPr>
          <w:trHeight w:hRule="exact" w:val="173"/>
        </w:trPr>
        <w:tc>
          <w:tcPr>
            <w:tcW w:w="4329" w:type="dxa"/>
            <w:tcBorders>
              <w:top w:val="nil"/>
              <w:left w:val="nil"/>
              <w:bottom w:val="nil"/>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R-squared</w:t>
            </w:r>
          </w:p>
        </w:tc>
        <w:tc>
          <w:tcPr>
            <w:tcW w:w="1199" w:type="dxa"/>
            <w:tcBorders>
              <w:top w:val="nil"/>
              <w:left w:val="single" w:sz="4" w:space="0" w:color="auto"/>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0.0012</w:t>
            </w:r>
          </w:p>
        </w:tc>
        <w:tc>
          <w:tcPr>
            <w:tcW w:w="1170" w:type="dxa"/>
            <w:tcBorders>
              <w:top w:val="nil"/>
              <w:left w:val="nil"/>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0.215</w:t>
            </w:r>
          </w:p>
        </w:tc>
        <w:tc>
          <w:tcPr>
            <w:tcW w:w="1260" w:type="dxa"/>
            <w:tcBorders>
              <w:top w:val="nil"/>
              <w:left w:val="single" w:sz="4" w:space="0" w:color="auto"/>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0.108</w:t>
            </w:r>
          </w:p>
        </w:tc>
        <w:tc>
          <w:tcPr>
            <w:tcW w:w="1080" w:type="dxa"/>
            <w:tcBorders>
              <w:top w:val="nil"/>
              <w:left w:val="nil"/>
              <w:bottom w:val="nil"/>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0.215</w:t>
            </w:r>
          </w:p>
        </w:tc>
      </w:tr>
      <w:tr w:rsidR="00767979" w:rsidTr="00767979">
        <w:trPr>
          <w:trHeight w:hRule="exact" w:val="173"/>
        </w:trPr>
        <w:tc>
          <w:tcPr>
            <w:tcW w:w="4329" w:type="dxa"/>
            <w:tcBorders>
              <w:top w:val="nil"/>
              <w:left w:val="nil"/>
              <w:bottom w:val="single" w:sz="8" w:space="0" w:color="auto"/>
              <w:right w:val="single" w:sz="4" w:space="0" w:color="auto"/>
            </w:tcBorders>
            <w:shd w:val="clear" w:color="000000" w:fill="D8D8D8"/>
            <w:noWrap/>
            <w:vAlign w:val="bottom"/>
            <w:hideMark/>
          </w:tcPr>
          <w:p w:rsidR="00767979" w:rsidRDefault="00767979" w:rsidP="00745D9B">
            <w:pPr>
              <w:rPr>
                <w:color w:val="000000"/>
                <w:sz w:val="18"/>
                <w:szCs w:val="18"/>
              </w:rPr>
            </w:pPr>
            <w:r>
              <w:rPr>
                <w:color w:val="000000"/>
                <w:sz w:val="18"/>
                <w:szCs w:val="18"/>
              </w:rPr>
              <w:t>Number of observations</w:t>
            </w:r>
          </w:p>
        </w:tc>
        <w:tc>
          <w:tcPr>
            <w:tcW w:w="1199" w:type="dxa"/>
            <w:tcBorders>
              <w:top w:val="nil"/>
              <w:left w:val="single" w:sz="4" w:space="0" w:color="auto"/>
              <w:bottom w:val="single" w:sz="8" w:space="0" w:color="auto"/>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12067</w:t>
            </w:r>
          </w:p>
        </w:tc>
        <w:tc>
          <w:tcPr>
            <w:tcW w:w="1170" w:type="dxa"/>
            <w:tcBorders>
              <w:top w:val="nil"/>
              <w:left w:val="nil"/>
              <w:bottom w:val="single" w:sz="8" w:space="0" w:color="auto"/>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12067</w:t>
            </w:r>
          </w:p>
        </w:tc>
        <w:tc>
          <w:tcPr>
            <w:tcW w:w="1260" w:type="dxa"/>
            <w:tcBorders>
              <w:top w:val="nil"/>
              <w:left w:val="single" w:sz="4" w:space="0" w:color="auto"/>
              <w:bottom w:val="single" w:sz="8" w:space="0" w:color="auto"/>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12067</w:t>
            </w:r>
          </w:p>
        </w:tc>
        <w:tc>
          <w:tcPr>
            <w:tcW w:w="1080" w:type="dxa"/>
            <w:tcBorders>
              <w:top w:val="nil"/>
              <w:left w:val="nil"/>
              <w:bottom w:val="single" w:sz="8" w:space="0" w:color="auto"/>
              <w:right w:val="nil"/>
            </w:tcBorders>
            <w:shd w:val="clear" w:color="000000" w:fill="D8D8D8"/>
            <w:noWrap/>
            <w:vAlign w:val="bottom"/>
            <w:hideMark/>
          </w:tcPr>
          <w:p w:rsidR="00767979" w:rsidRPr="00767979" w:rsidRDefault="00767979" w:rsidP="00745D9B">
            <w:pPr>
              <w:rPr>
                <w:color w:val="000000"/>
                <w:sz w:val="18"/>
                <w:szCs w:val="18"/>
              </w:rPr>
            </w:pPr>
            <w:r w:rsidRPr="00767979">
              <w:rPr>
                <w:color w:val="000000"/>
                <w:sz w:val="18"/>
                <w:szCs w:val="18"/>
              </w:rPr>
              <w:t>12067</w:t>
            </w:r>
          </w:p>
        </w:tc>
      </w:tr>
      <w:tr w:rsidR="00767979" w:rsidTr="00767979">
        <w:trPr>
          <w:trHeight w:hRule="exact" w:val="317"/>
        </w:trPr>
        <w:tc>
          <w:tcPr>
            <w:tcW w:w="6698" w:type="dxa"/>
            <w:gridSpan w:val="3"/>
            <w:tcBorders>
              <w:top w:val="nil"/>
              <w:left w:val="nil"/>
              <w:bottom w:val="nil"/>
              <w:right w:val="nil"/>
            </w:tcBorders>
            <w:shd w:val="clear" w:color="000000" w:fill="D8D8D8"/>
            <w:noWrap/>
            <w:vAlign w:val="bottom"/>
            <w:hideMark/>
          </w:tcPr>
          <w:p w:rsidR="00767979" w:rsidRPr="00767979" w:rsidRDefault="00767979" w:rsidP="00745D9B">
            <w:pPr>
              <w:rPr>
                <w:color w:val="000000"/>
                <w:sz w:val="16"/>
                <w:szCs w:val="16"/>
              </w:rPr>
            </w:pPr>
            <w:r w:rsidRPr="00767979">
              <w:rPr>
                <w:color w:val="000000"/>
                <w:sz w:val="16"/>
                <w:szCs w:val="16"/>
              </w:rPr>
              <w:t xml:space="preserve">*** p&lt;0.001 **p&lt;0.05 *p&lt;0.10         </w:t>
            </w:r>
            <w:r w:rsidRPr="00767979">
              <w:rPr>
                <w:b/>
                <w:bCs/>
                <w:color w:val="000000"/>
                <w:sz w:val="16"/>
                <w:szCs w:val="16"/>
              </w:rPr>
              <w:t>Note</w:t>
            </w:r>
            <w:r w:rsidRPr="00767979">
              <w:rPr>
                <w:color w:val="000000"/>
                <w:sz w:val="16"/>
                <w:szCs w:val="16"/>
              </w:rPr>
              <w:t>. robust standard errors are reported in parenthesis</w:t>
            </w:r>
          </w:p>
        </w:tc>
        <w:tc>
          <w:tcPr>
            <w:tcW w:w="2340" w:type="dxa"/>
            <w:gridSpan w:val="2"/>
            <w:tcBorders>
              <w:top w:val="nil"/>
              <w:left w:val="nil"/>
              <w:bottom w:val="nil"/>
              <w:right w:val="nil"/>
            </w:tcBorders>
            <w:shd w:val="clear" w:color="000000" w:fill="D8D8D8"/>
            <w:noWrap/>
            <w:vAlign w:val="bottom"/>
            <w:hideMark/>
          </w:tcPr>
          <w:p w:rsidR="00767979" w:rsidRDefault="00767979" w:rsidP="00745D9B">
            <w:pPr>
              <w:rPr>
                <w:color w:val="000000"/>
                <w:sz w:val="18"/>
                <w:szCs w:val="18"/>
              </w:rPr>
            </w:pPr>
            <w:r>
              <w:rPr>
                <w:color w:val="000000"/>
                <w:sz w:val="18"/>
                <w:szCs w:val="18"/>
              </w:rPr>
              <w:t> </w:t>
            </w:r>
          </w:p>
        </w:tc>
      </w:tr>
    </w:tbl>
    <w:p w:rsidR="001740E3" w:rsidRDefault="001740E3" w:rsidP="00930B34">
      <w:pPr>
        <w:spacing w:after="120" w:line="360" w:lineRule="auto"/>
        <w:mirrorIndents/>
        <w:rPr>
          <w:b/>
          <w:sz w:val="28"/>
          <w:szCs w:val="28"/>
        </w:rPr>
      </w:pPr>
    </w:p>
    <w:tbl>
      <w:tblPr>
        <w:tblW w:w="8100" w:type="dxa"/>
        <w:tblInd w:w="99" w:type="dxa"/>
        <w:tblLook w:val="04A0" w:firstRow="1" w:lastRow="0" w:firstColumn="1" w:lastColumn="0" w:noHBand="0" w:noVBand="1"/>
      </w:tblPr>
      <w:tblGrid>
        <w:gridCol w:w="5466"/>
        <w:gridCol w:w="1317"/>
        <w:gridCol w:w="1317"/>
      </w:tblGrid>
      <w:tr w:rsidR="00767979" w:rsidTr="00767979">
        <w:trPr>
          <w:trHeight w:hRule="exact" w:val="270"/>
        </w:trPr>
        <w:tc>
          <w:tcPr>
            <w:tcW w:w="8100" w:type="dxa"/>
            <w:gridSpan w:val="3"/>
            <w:tcBorders>
              <w:top w:val="nil"/>
              <w:left w:val="nil"/>
              <w:bottom w:val="single" w:sz="8" w:space="0" w:color="auto"/>
              <w:right w:val="nil"/>
            </w:tcBorders>
            <w:shd w:val="clear" w:color="000000" w:fill="D8D8D8"/>
            <w:noWrap/>
            <w:vAlign w:val="bottom"/>
            <w:hideMark/>
          </w:tcPr>
          <w:p w:rsidR="00767979" w:rsidRDefault="00767979" w:rsidP="00767979">
            <w:pPr>
              <w:spacing w:line="360" w:lineRule="auto"/>
              <w:rPr>
                <w:color w:val="000000"/>
                <w:sz w:val="20"/>
                <w:szCs w:val="20"/>
              </w:rPr>
            </w:pPr>
            <w:r>
              <w:rPr>
                <w:color w:val="000000"/>
                <w:sz w:val="20"/>
                <w:szCs w:val="20"/>
              </w:rPr>
              <w:lastRenderedPageBreak/>
              <w:t>Figure 12. Logit and Probit Models</w:t>
            </w:r>
          </w:p>
        </w:tc>
      </w:tr>
      <w:tr w:rsidR="00767979" w:rsidTr="00767979">
        <w:trPr>
          <w:trHeight w:hRule="exact" w:val="299"/>
        </w:trPr>
        <w:tc>
          <w:tcPr>
            <w:tcW w:w="5466" w:type="dxa"/>
            <w:tcBorders>
              <w:top w:val="nil"/>
              <w:left w:val="nil"/>
              <w:bottom w:val="single" w:sz="8" w:space="0" w:color="auto"/>
              <w:right w:val="nil"/>
            </w:tcBorders>
            <w:shd w:val="clear" w:color="000000" w:fill="D8D8D8"/>
            <w:noWrap/>
            <w:vAlign w:val="bottom"/>
            <w:hideMark/>
          </w:tcPr>
          <w:p w:rsidR="00767979" w:rsidRDefault="00767979" w:rsidP="00745D9B">
            <w:pPr>
              <w:spacing w:line="360" w:lineRule="auto"/>
              <w:rPr>
                <w:color w:val="000000"/>
                <w:sz w:val="18"/>
                <w:szCs w:val="18"/>
              </w:rPr>
            </w:pPr>
            <w:r>
              <w:rPr>
                <w:color w:val="000000"/>
                <w:sz w:val="18"/>
                <w:szCs w:val="18"/>
              </w:rPr>
              <w:t>Variable</w:t>
            </w:r>
          </w:p>
        </w:tc>
        <w:tc>
          <w:tcPr>
            <w:tcW w:w="1317" w:type="dxa"/>
            <w:tcBorders>
              <w:top w:val="nil"/>
              <w:left w:val="nil"/>
              <w:bottom w:val="single" w:sz="8" w:space="0" w:color="auto"/>
              <w:right w:val="nil"/>
            </w:tcBorders>
            <w:shd w:val="clear" w:color="000000" w:fill="D8D8D8"/>
            <w:noWrap/>
            <w:vAlign w:val="bottom"/>
            <w:hideMark/>
          </w:tcPr>
          <w:p w:rsidR="00767979" w:rsidRDefault="00767979" w:rsidP="00745D9B">
            <w:pPr>
              <w:spacing w:line="360" w:lineRule="auto"/>
              <w:jc w:val="center"/>
              <w:rPr>
                <w:color w:val="000000"/>
                <w:sz w:val="18"/>
                <w:szCs w:val="18"/>
              </w:rPr>
            </w:pPr>
            <w:r>
              <w:rPr>
                <w:color w:val="000000"/>
                <w:sz w:val="18"/>
                <w:szCs w:val="18"/>
              </w:rPr>
              <w:t>Logit</w:t>
            </w:r>
          </w:p>
        </w:tc>
        <w:tc>
          <w:tcPr>
            <w:tcW w:w="1317" w:type="dxa"/>
            <w:tcBorders>
              <w:top w:val="nil"/>
              <w:left w:val="nil"/>
              <w:bottom w:val="single" w:sz="8" w:space="0" w:color="auto"/>
              <w:right w:val="nil"/>
            </w:tcBorders>
            <w:shd w:val="clear" w:color="000000" w:fill="D8D8D8"/>
            <w:noWrap/>
            <w:vAlign w:val="bottom"/>
            <w:hideMark/>
          </w:tcPr>
          <w:p w:rsidR="00767979" w:rsidRDefault="00767979" w:rsidP="00745D9B">
            <w:pPr>
              <w:spacing w:line="360" w:lineRule="auto"/>
              <w:jc w:val="center"/>
              <w:rPr>
                <w:color w:val="000000"/>
                <w:sz w:val="18"/>
                <w:szCs w:val="18"/>
              </w:rPr>
            </w:pPr>
            <w:r>
              <w:rPr>
                <w:color w:val="000000"/>
                <w:sz w:val="18"/>
                <w:szCs w:val="18"/>
              </w:rPr>
              <w:t>Probit</w:t>
            </w:r>
          </w:p>
        </w:tc>
      </w:tr>
      <w:tr w:rsidR="00767979" w:rsidTr="00767979">
        <w:trPr>
          <w:trHeight w:hRule="exact" w:val="173"/>
        </w:trPr>
        <w:tc>
          <w:tcPr>
            <w:tcW w:w="5466" w:type="dxa"/>
            <w:vMerge w:val="restart"/>
            <w:tcBorders>
              <w:top w:val="nil"/>
              <w:left w:val="nil"/>
              <w:bottom w:val="nil"/>
              <w:right w:val="nil"/>
            </w:tcBorders>
            <w:shd w:val="clear" w:color="000000" w:fill="F2F2F2"/>
            <w:noWrap/>
            <w:vAlign w:val="center"/>
            <w:hideMark/>
          </w:tcPr>
          <w:p w:rsidR="00767979" w:rsidRDefault="00767979" w:rsidP="00745D9B">
            <w:pPr>
              <w:spacing w:line="360" w:lineRule="auto"/>
              <w:rPr>
                <w:color w:val="000000"/>
                <w:sz w:val="18"/>
                <w:szCs w:val="18"/>
              </w:rPr>
            </w:pPr>
            <w:r>
              <w:rPr>
                <w:color w:val="000000"/>
                <w:sz w:val="18"/>
                <w:szCs w:val="18"/>
              </w:rPr>
              <w:t xml:space="preserve">Financial Literacy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0.034***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0.034***</w:t>
            </w:r>
          </w:p>
        </w:tc>
      </w:tr>
      <w:tr w:rsidR="00767979" w:rsidTr="00767979">
        <w:trPr>
          <w:trHeight w:hRule="exact" w:val="173"/>
        </w:trPr>
        <w:tc>
          <w:tcPr>
            <w:tcW w:w="5466" w:type="dxa"/>
            <w:vMerge/>
            <w:tcBorders>
              <w:top w:val="nil"/>
              <w:left w:val="nil"/>
              <w:bottom w:val="nil"/>
              <w:right w:val="nil"/>
            </w:tcBorders>
            <w:vAlign w:val="center"/>
            <w:hideMark/>
          </w:tcPr>
          <w:p w:rsidR="00767979" w:rsidRDefault="00767979" w:rsidP="00745D9B">
            <w:pPr>
              <w:spacing w:line="360" w:lineRule="auto"/>
              <w:rPr>
                <w:color w:val="000000"/>
                <w:sz w:val="18"/>
                <w:szCs w:val="18"/>
              </w:rPr>
            </w:pP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(0.003)</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(0.002)</w:t>
            </w:r>
          </w:p>
        </w:tc>
      </w:tr>
      <w:tr w:rsidR="00767979" w:rsidTr="00767979">
        <w:trPr>
          <w:trHeight w:hRule="exact" w:val="173"/>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Risk Aversion (base group: risk averse)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200"/>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Risk-medium</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0.188***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0.183***</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(0.009)</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Risk-taker</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0.356***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0.342***</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(0.027)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(0.010)</w:t>
            </w:r>
          </w:p>
        </w:tc>
      </w:tr>
      <w:tr w:rsidR="00767979" w:rsidTr="00767979">
        <w:trPr>
          <w:trHeight w:hRule="exact" w:val="173"/>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Time Preference (base group: low)</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218"/>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Mid</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0.071***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0.070***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(0.009)</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(0.009)</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Long</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0.157***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0.153***</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(0.011)</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White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0.031***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0.032***</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rFonts w:ascii="Calibri" w:hAnsi="Calibri" w:cs="Calibri"/>
                <w:color w:val="000000"/>
              </w:rPr>
            </w:pPr>
            <w:r>
              <w:rPr>
                <w:rFonts w:ascii="Calibri" w:hAnsi="Calibri" w:cs="Calibri"/>
                <w:color w:val="000000"/>
                <w:sz w:val="22"/>
                <w:szCs w:val="22"/>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Male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0.010</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0.011</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(0.007)</w:t>
            </w:r>
          </w:p>
        </w:tc>
      </w:tr>
      <w:tr w:rsidR="00767979" w:rsidTr="00767979">
        <w:trPr>
          <w:trHeight w:hRule="exact" w:val="261"/>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Age group (base group: ages 18-24)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281"/>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Ages 25-34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(0.015)</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Ages 35-44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-0.081***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-0.083***</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Ages 45-54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-0.053***</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-0.053***</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(0.015)</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Age 55 and more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0.051***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(0.015)</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Married</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Self-employed</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0.082***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0.080***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Retired</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0.122***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0.116***</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(0.013)</w:t>
            </w:r>
          </w:p>
        </w:tc>
      </w:tr>
      <w:tr w:rsidR="00767979" w:rsidTr="00767979">
        <w:trPr>
          <w:trHeight w:hRule="exact" w:val="173"/>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Financially dependent children (base: None)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One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0.011</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Two</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(0.011)</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Three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-0.019</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(0.016)</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Four and more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-0.004</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(0.023)</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(0.022)</w:t>
            </w:r>
          </w:p>
        </w:tc>
      </w:tr>
      <w:tr w:rsidR="00767979" w:rsidTr="00767979">
        <w:trPr>
          <w:trHeight w:hRule="exact" w:val="173"/>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Educational Attainment (base: no high school)</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26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High school</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0.129***</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0.110***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Some college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0.157***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0.137***</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(0.043)</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(0.038)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Bachelor's</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0.252***</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0.228***</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(0.046)</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Postgraduate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0.278***</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0.252***</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(0.047)</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(0.040)</w:t>
            </w:r>
          </w:p>
        </w:tc>
      </w:tr>
      <w:tr w:rsidR="00767979" w:rsidTr="00767979">
        <w:trPr>
          <w:trHeight w:hRule="exact" w:val="173"/>
        </w:trPr>
        <w:tc>
          <w:tcPr>
            <w:tcW w:w="5466" w:type="dxa"/>
            <w:tcBorders>
              <w:top w:val="nil"/>
              <w:left w:val="nil"/>
              <w:bottom w:val="single" w:sz="8" w:space="0" w:color="auto"/>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Income Level (base: $25,000 and less)</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r>
      <w:tr w:rsidR="00767979" w:rsidTr="00767979">
        <w:trPr>
          <w:trHeight w:hRule="exact" w:val="236"/>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between 25,000 and 50,000</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0.111***</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0.099***</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between 50,000 and 100,000</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0.254***</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0.240***</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(0.013)</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(0.012)</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$100,000 and more</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0.385***</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0.367***</w:t>
            </w:r>
          </w:p>
        </w:tc>
      </w:tr>
      <w:tr w:rsidR="00767979" w:rsidTr="00767979">
        <w:trPr>
          <w:trHeight w:hRule="exact" w:val="173"/>
        </w:trPr>
        <w:tc>
          <w:tcPr>
            <w:tcW w:w="5466"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 </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(0.015)</w:t>
            </w:r>
          </w:p>
        </w:tc>
        <w:tc>
          <w:tcPr>
            <w:tcW w:w="1317" w:type="dxa"/>
            <w:tcBorders>
              <w:top w:val="nil"/>
              <w:left w:val="nil"/>
              <w:bottom w:val="nil"/>
              <w:right w:val="nil"/>
            </w:tcBorders>
            <w:shd w:val="clear" w:color="000000" w:fill="F2F2F2"/>
            <w:noWrap/>
            <w:vAlign w:val="bottom"/>
            <w:hideMark/>
          </w:tcPr>
          <w:p w:rsidR="00767979" w:rsidRDefault="00767979" w:rsidP="00745D9B">
            <w:pPr>
              <w:spacing w:line="360" w:lineRule="auto"/>
              <w:rPr>
                <w:color w:val="000000"/>
                <w:sz w:val="18"/>
                <w:szCs w:val="18"/>
              </w:rPr>
            </w:pPr>
            <w:r>
              <w:rPr>
                <w:color w:val="000000"/>
                <w:sz w:val="18"/>
                <w:szCs w:val="18"/>
              </w:rPr>
              <w:t>(0.014)</w:t>
            </w:r>
          </w:p>
        </w:tc>
      </w:tr>
      <w:tr w:rsidR="00767979" w:rsidTr="00767979">
        <w:trPr>
          <w:trHeight w:hRule="exact" w:val="173"/>
        </w:trPr>
        <w:tc>
          <w:tcPr>
            <w:tcW w:w="5466" w:type="dxa"/>
            <w:tcBorders>
              <w:top w:val="nil"/>
              <w:left w:val="nil"/>
              <w:bottom w:val="nil"/>
              <w:right w:val="nil"/>
            </w:tcBorders>
            <w:shd w:val="clear" w:color="000000" w:fill="D8D8D8"/>
            <w:noWrap/>
            <w:vAlign w:val="bottom"/>
            <w:hideMark/>
          </w:tcPr>
          <w:p w:rsidR="00767979" w:rsidRDefault="00767979" w:rsidP="00745D9B">
            <w:pPr>
              <w:spacing w:line="360" w:lineRule="auto"/>
              <w:rPr>
                <w:color w:val="000000"/>
                <w:sz w:val="18"/>
                <w:szCs w:val="18"/>
              </w:rPr>
            </w:pPr>
            <w:r>
              <w:rPr>
                <w:color w:val="000000"/>
                <w:sz w:val="18"/>
                <w:szCs w:val="18"/>
              </w:rPr>
              <w:t>Pseudo R squared</w:t>
            </w:r>
          </w:p>
        </w:tc>
        <w:tc>
          <w:tcPr>
            <w:tcW w:w="1317" w:type="dxa"/>
            <w:tcBorders>
              <w:top w:val="nil"/>
              <w:left w:val="nil"/>
              <w:bottom w:val="nil"/>
              <w:right w:val="nil"/>
            </w:tcBorders>
            <w:shd w:val="clear" w:color="000000" w:fill="D8D8D8"/>
            <w:noWrap/>
            <w:vAlign w:val="bottom"/>
            <w:hideMark/>
          </w:tcPr>
          <w:p w:rsidR="00767979" w:rsidRDefault="00767979" w:rsidP="00745D9B">
            <w:pPr>
              <w:spacing w:line="360" w:lineRule="auto"/>
              <w:jc w:val="right"/>
              <w:rPr>
                <w:color w:val="000000"/>
                <w:sz w:val="18"/>
                <w:szCs w:val="18"/>
              </w:rPr>
            </w:pPr>
            <w:r>
              <w:rPr>
                <w:color w:val="000000"/>
                <w:sz w:val="18"/>
                <w:szCs w:val="18"/>
              </w:rPr>
              <w:t>0.197</w:t>
            </w:r>
          </w:p>
        </w:tc>
        <w:tc>
          <w:tcPr>
            <w:tcW w:w="1317" w:type="dxa"/>
            <w:tcBorders>
              <w:top w:val="nil"/>
              <w:left w:val="nil"/>
              <w:bottom w:val="nil"/>
              <w:right w:val="nil"/>
            </w:tcBorders>
            <w:shd w:val="clear" w:color="000000" w:fill="D8D8D8"/>
            <w:noWrap/>
            <w:vAlign w:val="bottom"/>
            <w:hideMark/>
          </w:tcPr>
          <w:p w:rsidR="00767979" w:rsidRDefault="00767979" w:rsidP="00745D9B">
            <w:pPr>
              <w:spacing w:line="360" w:lineRule="auto"/>
              <w:jc w:val="right"/>
              <w:rPr>
                <w:color w:val="000000"/>
                <w:sz w:val="18"/>
                <w:szCs w:val="18"/>
              </w:rPr>
            </w:pPr>
            <w:r>
              <w:rPr>
                <w:color w:val="000000"/>
                <w:sz w:val="18"/>
                <w:szCs w:val="18"/>
              </w:rPr>
              <w:t>0.197</w:t>
            </w:r>
          </w:p>
        </w:tc>
      </w:tr>
      <w:tr w:rsidR="00767979" w:rsidTr="00767979">
        <w:trPr>
          <w:trHeight w:hRule="exact" w:val="173"/>
        </w:trPr>
        <w:tc>
          <w:tcPr>
            <w:tcW w:w="5466" w:type="dxa"/>
            <w:tcBorders>
              <w:top w:val="nil"/>
              <w:left w:val="nil"/>
              <w:bottom w:val="nil"/>
              <w:right w:val="nil"/>
            </w:tcBorders>
            <w:shd w:val="clear" w:color="000000" w:fill="D8D8D8"/>
            <w:noWrap/>
            <w:vAlign w:val="bottom"/>
            <w:hideMark/>
          </w:tcPr>
          <w:p w:rsidR="00767979" w:rsidRDefault="00767979" w:rsidP="00745D9B">
            <w:pPr>
              <w:spacing w:line="360" w:lineRule="auto"/>
              <w:rPr>
                <w:color w:val="000000"/>
                <w:sz w:val="18"/>
                <w:szCs w:val="18"/>
              </w:rPr>
            </w:pPr>
            <w:r>
              <w:rPr>
                <w:color w:val="000000"/>
                <w:sz w:val="18"/>
                <w:szCs w:val="18"/>
              </w:rPr>
              <w:t>Percent Correctly Predicted</w:t>
            </w:r>
          </w:p>
        </w:tc>
        <w:tc>
          <w:tcPr>
            <w:tcW w:w="1317" w:type="dxa"/>
            <w:tcBorders>
              <w:top w:val="nil"/>
              <w:left w:val="nil"/>
              <w:bottom w:val="nil"/>
              <w:right w:val="nil"/>
            </w:tcBorders>
            <w:shd w:val="clear" w:color="000000" w:fill="D8D8D8"/>
            <w:noWrap/>
            <w:vAlign w:val="bottom"/>
            <w:hideMark/>
          </w:tcPr>
          <w:p w:rsidR="00767979" w:rsidRDefault="00767979" w:rsidP="00745D9B">
            <w:pPr>
              <w:spacing w:line="360" w:lineRule="auto"/>
              <w:jc w:val="right"/>
              <w:rPr>
                <w:color w:val="000000"/>
                <w:sz w:val="18"/>
                <w:szCs w:val="18"/>
              </w:rPr>
            </w:pPr>
            <w:r>
              <w:rPr>
                <w:color w:val="000000"/>
                <w:sz w:val="18"/>
                <w:szCs w:val="18"/>
              </w:rPr>
              <w:t>73.31%</w:t>
            </w:r>
          </w:p>
        </w:tc>
        <w:tc>
          <w:tcPr>
            <w:tcW w:w="1317" w:type="dxa"/>
            <w:tcBorders>
              <w:top w:val="nil"/>
              <w:left w:val="nil"/>
              <w:bottom w:val="nil"/>
              <w:right w:val="nil"/>
            </w:tcBorders>
            <w:shd w:val="clear" w:color="000000" w:fill="D8D8D8"/>
            <w:noWrap/>
            <w:vAlign w:val="bottom"/>
            <w:hideMark/>
          </w:tcPr>
          <w:p w:rsidR="00767979" w:rsidRDefault="00767979" w:rsidP="00745D9B">
            <w:pPr>
              <w:spacing w:line="360" w:lineRule="auto"/>
              <w:jc w:val="right"/>
              <w:rPr>
                <w:color w:val="000000"/>
                <w:sz w:val="18"/>
                <w:szCs w:val="18"/>
              </w:rPr>
            </w:pPr>
            <w:r>
              <w:rPr>
                <w:color w:val="000000"/>
                <w:sz w:val="18"/>
                <w:szCs w:val="18"/>
              </w:rPr>
              <w:t>73.34%</w:t>
            </w:r>
          </w:p>
        </w:tc>
      </w:tr>
      <w:tr w:rsidR="00767979" w:rsidTr="00767979">
        <w:trPr>
          <w:trHeight w:hRule="exact" w:val="308"/>
        </w:trPr>
        <w:tc>
          <w:tcPr>
            <w:tcW w:w="8100" w:type="dxa"/>
            <w:gridSpan w:val="3"/>
            <w:tcBorders>
              <w:top w:val="single" w:sz="8" w:space="0" w:color="auto"/>
              <w:left w:val="nil"/>
              <w:bottom w:val="nil"/>
              <w:right w:val="nil"/>
            </w:tcBorders>
            <w:shd w:val="clear" w:color="000000" w:fill="D8D8D8"/>
            <w:noWrap/>
            <w:vAlign w:val="bottom"/>
            <w:hideMark/>
          </w:tcPr>
          <w:p w:rsidR="00767979" w:rsidRDefault="00767979" w:rsidP="00745D9B">
            <w:pPr>
              <w:spacing w:line="360" w:lineRule="auto"/>
              <w:rPr>
                <w:color w:val="000000"/>
                <w:sz w:val="18"/>
                <w:szCs w:val="18"/>
              </w:rPr>
            </w:pPr>
            <w:r>
              <w:rPr>
                <w:color w:val="000000"/>
                <w:sz w:val="18"/>
                <w:szCs w:val="18"/>
              </w:rPr>
              <w:t xml:space="preserve">*** p&lt;0.001 **p&lt;0.05 *p&lt;0.10         </w:t>
            </w:r>
            <w:r>
              <w:rPr>
                <w:b/>
                <w:bCs/>
                <w:color w:val="000000"/>
                <w:sz w:val="18"/>
                <w:szCs w:val="18"/>
              </w:rPr>
              <w:t>Note</w:t>
            </w:r>
            <w:r>
              <w:rPr>
                <w:color w:val="000000"/>
                <w:sz w:val="18"/>
                <w:szCs w:val="18"/>
              </w:rPr>
              <w:t>. robust standard errors are reported in parenthesis</w:t>
            </w:r>
          </w:p>
        </w:tc>
      </w:tr>
    </w:tbl>
    <w:p w:rsidR="00C00275" w:rsidRPr="007D7DB1" w:rsidRDefault="00C00275" w:rsidP="00930B34">
      <w:pPr>
        <w:spacing w:after="120" w:line="360" w:lineRule="auto"/>
        <w:mirrorIndents/>
        <w:rPr>
          <w:b/>
          <w:sz w:val="28"/>
          <w:szCs w:val="28"/>
        </w:rPr>
      </w:pPr>
    </w:p>
    <w:sectPr w:rsidR="00C00275" w:rsidRPr="007D7DB1" w:rsidSect="00226A8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50" w:rsidRDefault="00825F50" w:rsidP="000E7859">
      <w:r>
        <w:separator/>
      </w:r>
    </w:p>
  </w:endnote>
  <w:endnote w:type="continuationSeparator" w:id="0">
    <w:p w:rsidR="00825F50" w:rsidRDefault="00825F50" w:rsidP="000E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25907"/>
      <w:docPartObj>
        <w:docPartGallery w:val="Page Numbers (Bottom of Page)"/>
        <w:docPartUnique/>
      </w:docPartObj>
    </w:sdtPr>
    <w:sdtEndPr/>
    <w:sdtContent>
      <w:p w:rsidR="00E61942" w:rsidRDefault="001D61F3">
        <w:pPr>
          <w:pStyle w:val="Footer"/>
          <w:jc w:val="center"/>
        </w:pPr>
        <w:r>
          <w:fldChar w:fldCharType="begin"/>
        </w:r>
        <w:r w:rsidR="00A16D4B">
          <w:instrText xml:space="preserve"> PAGE   \* MERGEFORMAT </w:instrText>
        </w:r>
        <w:r>
          <w:fldChar w:fldCharType="separate"/>
        </w:r>
        <w:r w:rsidR="00187955">
          <w:rPr>
            <w:noProof/>
          </w:rPr>
          <w:t>1</w:t>
        </w:r>
        <w:r>
          <w:rPr>
            <w:noProof/>
          </w:rPr>
          <w:fldChar w:fldCharType="end"/>
        </w:r>
      </w:p>
    </w:sdtContent>
  </w:sdt>
  <w:p w:rsidR="00E61942" w:rsidRDefault="00E6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50" w:rsidRDefault="00825F50" w:rsidP="000E7859">
      <w:r>
        <w:separator/>
      </w:r>
    </w:p>
  </w:footnote>
  <w:footnote w:type="continuationSeparator" w:id="0">
    <w:p w:rsidR="00825F50" w:rsidRDefault="00825F50" w:rsidP="000E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CF2"/>
    <w:multiLevelType w:val="hybridMultilevel"/>
    <w:tmpl w:val="5FA81D10"/>
    <w:lvl w:ilvl="0" w:tplc="62ACD10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0655F"/>
    <w:multiLevelType w:val="hybridMultilevel"/>
    <w:tmpl w:val="FDE031C4"/>
    <w:lvl w:ilvl="0" w:tplc="25D60E40">
      <w:start w:val="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5D0D0E5B"/>
    <w:multiLevelType w:val="hybridMultilevel"/>
    <w:tmpl w:val="B2F84894"/>
    <w:lvl w:ilvl="0" w:tplc="7400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D4D4C"/>
    <w:multiLevelType w:val="hybridMultilevel"/>
    <w:tmpl w:val="FBE06372"/>
    <w:lvl w:ilvl="0" w:tplc="B62C63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0180D"/>
    <w:multiLevelType w:val="hybridMultilevel"/>
    <w:tmpl w:val="0E16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37B58"/>
    <w:multiLevelType w:val="hybridMultilevel"/>
    <w:tmpl w:val="0F1ABBAC"/>
    <w:lvl w:ilvl="0" w:tplc="48822C3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59"/>
    <w:rsid w:val="00003467"/>
    <w:rsid w:val="00007AB1"/>
    <w:rsid w:val="00014470"/>
    <w:rsid w:val="000232D9"/>
    <w:rsid w:val="00042E8A"/>
    <w:rsid w:val="00057609"/>
    <w:rsid w:val="00081EDA"/>
    <w:rsid w:val="00082D80"/>
    <w:rsid w:val="00083544"/>
    <w:rsid w:val="00087207"/>
    <w:rsid w:val="00092676"/>
    <w:rsid w:val="0009742D"/>
    <w:rsid w:val="000A0F90"/>
    <w:rsid w:val="000A6E53"/>
    <w:rsid w:val="000B27B9"/>
    <w:rsid w:val="000B2DA0"/>
    <w:rsid w:val="000B34F0"/>
    <w:rsid w:val="000B5EBC"/>
    <w:rsid w:val="000C0ECE"/>
    <w:rsid w:val="000C24E1"/>
    <w:rsid w:val="000C4C32"/>
    <w:rsid w:val="000D271A"/>
    <w:rsid w:val="000D4884"/>
    <w:rsid w:val="000E01FF"/>
    <w:rsid w:val="000E1F41"/>
    <w:rsid w:val="000E6B67"/>
    <w:rsid w:val="000E7859"/>
    <w:rsid w:val="000F18E4"/>
    <w:rsid w:val="001025E8"/>
    <w:rsid w:val="0010291B"/>
    <w:rsid w:val="00106472"/>
    <w:rsid w:val="001147FD"/>
    <w:rsid w:val="00122A8C"/>
    <w:rsid w:val="0012485A"/>
    <w:rsid w:val="00150731"/>
    <w:rsid w:val="001515E0"/>
    <w:rsid w:val="00160C6C"/>
    <w:rsid w:val="00166FC5"/>
    <w:rsid w:val="001740E3"/>
    <w:rsid w:val="00175833"/>
    <w:rsid w:val="00175D95"/>
    <w:rsid w:val="0018034F"/>
    <w:rsid w:val="001814CC"/>
    <w:rsid w:val="00187955"/>
    <w:rsid w:val="0019081D"/>
    <w:rsid w:val="001A28DC"/>
    <w:rsid w:val="001A79AB"/>
    <w:rsid w:val="001B6ADF"/>
    <w:rsid w:val="001B6C52"/>
    <w:rsid w:val="001D61F3"/>
    <w:rsid w:val="001D61F9"/>
    <w:rsid w:val="0020347F"/>
    <w:rsid w:val="00203BC9"/>
    <w:rsid w:val="00206309"/>
    <w:rsid w:val="00206DDF"/>
    <w:rsid w:val="00210246"/>
    <w:rsid w:val="00225735"/>
    <w:rsid w:val="00226A8E"/>
    <w:rsid w:val="00232BDC"/>
    <w:rsid w:val="00236DEE"/>
    <w:rsid w:val="00237F3A"/>
    <w:rsid w:val="002744F1"/>
    <w:rsid w:val="00285E2E"/>
    <w:rsid w:val="00287554"/>
    <w:rsid w:val="00293DD5"/>
    <w:rsid w:val="002A04A2"/>
    <w:rsid w:val="002A2F25"/>
    <w:rsid w:val="002B0602"/>
    <w:rsid w:val="002B4D0A"/>
    <w:rsid w:val="002B6D4A"/>
    <w:rsid w:val="002C0CCA"/>
    <w:rsid w:val="002D2C6B"/>
    <w:rsid w:val="002D4446"/>
    <w:rsid w:val="002D70B9"/>
    <w:rsid w:val="002F6DB2"/>
    <w:rsid w:val="00301636"/>
    <w:rsid w:val="0031096A"/>
    <w:rsid w:val="003110C0"/>
    <w:rsid w:val="003141D0"/>
    <w:rsid w:val="00316C84"/>
    <w:rsid w:val="00323FF3"/>
    <w:rsid w:val="003376FE"/>
    <w:rsid w:val="00342282"/>
    <w:rsid w:val="00351A25"/>
    <w:rsid w:val="00363D6A"/>
    <w:rsid w:val="003804AA"/>
    <w:rsid w:val="00380CA5"/>
    <w:rsid w:val="003817CA"/>
    <w:rsid w:val="0039696A"/>
    <w:rsid w:val="003A355A"/>
    <w:rsid w:val="003B4BB2"/>
    <w:rsid w:val="003C4A6D"/>
    <w:rsid w:val="003C51AF"/>
    <w:rsid w:val="003C6B7A"/>
    <w:rsid w:val="003E13B1"/>
    <w:rsid w:val="00411A26"/>
    <w:rsid w:val="004272B6"/>
    <w:rsid w:val="00427AD0"/>
    <w:rsid w:val="00440D3C"/>
    <w:rsid w:val="00446CE5"/>
    <w:rsid w:val="00450393"/>
    <w:rsid w:val="00457CC0"/>
    <w:rsid w:val="004771FA"/>
    <w:rsid w:val="00482D2F"/>
    <w:rsid w:val="0048444E"/>
    <w:rsid w:val="00487D71"/>
    <w:rsid w:val="0049041C"/>
    <w:rsid w:val="00494C56"/>
    <w:rsid w:val="00497984"/>
    <w:rsid w:val="004A486D"/>
    <w:rsid w:val="004B4742"/>
    <w:rsid w:val="004C5A40"/>
    <w:rsid w:val="004E5FD2"/>
    <w:rsid w:val="004E77C4"/>
    <w:rsid w:val="004F0833"/>
    <w:rsid w:val="0051544E"/>
    <w:rsid w:val="00534083"/>
    <w:rsid w:val="005367A9"/>
    <w:rsid w:val="00537A97"/>
    <w:rsid w:val="00550531"/>
    <w:rsid w:val="005538C5"/>
    <w:rsid w:val="005663F3"/>
    <w:rsid w:val="0057264A"/>
    <w:rsid w:val="00576FA5"/>
    <w:rsid w:val="005959C8"/>
    <w:rsid w:val="005B05F5"/>
    <w:rsid w:val="005B6C88"/>
    <w:rsid w:val="005D2667"/>
    <w:rsid w:val="005D3C62"/>
    <w:rsid w:val="005E4E88"/>
    <w:rsid w:val="005F1772"/>
    <w:rsid w:val="005F2C3D"/>
    <w:rsid w:val="005F3A06"/>
    <w:rsid w:val="005F4289"/>
    <w:rsid w:val="005F4AA4"/>
    <w:rsid w:val="005F6EE3"/>
    <w:rsid w:val="00613DBA"/>
    <w:rsid w:val="00614635"/>
    <w:rsid w:val="00632AEF"/>
    <w:rsid w:val="00634678"/>
    <w:rsid w:val="006523DD"/>
    <w:rsid w:val="00655240"/>
    <w:rsid w:val="006564F6"/>
    <w:rsid w:val="0066055A"/>
    <w:rsid w:val="00660D4D"/>
    <w:rsid w:val="00660E0B"/>
    <w:rsid w:val="00677C46"/>
    <w:rsid w:val="00682004"/>
    <w:rsid w:val="006838AB"/>
    <w:rsid w:val="00686B84"/>
    <w:rsid w:val="006A7401"/>
    <w:rsid w:val="006C19E7"/>
    <w:rsid w:val="006C3072"/>
    <w:rsid w:val="006C76E9"/>
    <w:rsid w:val="006D37B8"/>
    <w:rsid w:val="006D3B6F"/>
    <w:rsid w:val="006E09E0"/>
    <w:rsid w:val="006E21B7"/>
    <w:rsid w:val="006E3716"/>
    <w:rsid w:val="006E6D16"/>
    <w:rsid w:val="006F57A0"/>
    <w:rsid w:val="00704B08"/>
    <w:rsid w:val="00713E3F"/>
    <w:rsid w:val="007142AF"/>
    <w:rsid w:val="0072222D"/>
    <w:rsid w:val="007345FB"/>
    <w:rsid w:val="007401DA"/>
    <w:rsid w:val="007408F0"/>
    <w:rsid w:val="00743EF5"/>
    <w:rsid w:val="00745702"/>
    <w:rsid w:val="00755A6A"/>
    <w:rsid w:val="00757531"/>
    <w:rsid w:val="007608B1"/>
    <w:rsid w:val="00767979"/>
    <w:rsid w:val="00771A1B"/>
    <w:rsid w:val="00787407"/>
    <w:rsid w:val="00796FEF"/>
    <w:rsid w:val="007A0238"/>
    <w:rsid w:val="007A35E3"/>
    <w:rsid w:val="007B0DC4"/>
    <w:rsid w:val="007D03ED"/>
    <w:rsid w:val="007D3D14"/>
    <w:rsid w:val="007D7DB1"/>
    <w:rsid w:val="007F08DA"/>
    <w:rsid w:val="007F368B"/>
    <w:rsid w:val="00802E68"/>
    <w:rsid w:val="00807F9E"/>
    <w:rsid w:val="008228CE"/>
    <w:rsid w:val="00825F50"/>
    <w:rsid w:val="00831D8D"/>
    <w:rsid w:val="00852692"/>
    <w:rsid w:val="00853F8B"/>
    <w:rsid w:val="0085613B"/>
    <w:rsid w:val="00861CD4"/>
    <w:rsid w:val="00866F0C"/>
    <w:rsid w:val="00877E5E"/>
    <w:rsid w:val="00885ABE"/>
    <w:rsid w:val="0089014F"/>
    <w:rsid w:val="008B46EE"/>
    <w:rsid w:val="008C5E88"/>
    <w:rsid w:val="008C7EBF"/>
    <w:rsid w:val="008E3747"/>
    <w:rsid w:val="008E68B3"/>
    <w:rsid w:val="008F5EA0"/>
    <w:rsid w:val="008F70BD"/>
    <w:rsid w:val="0090089E"/>
    <w:rsid w:val="0090208D"/>
    <w:rsid w:val="00904299"/>
    <w:rsid w:val="00906BAB"/>
    <w:rsid w:val="00913223"/>
    <w:rsid w:val="00922908"/>
    <w:rsid w:val="00925DD4"/>
    <w:rsid w:val="00930B34"/>
    <w:rsid w:val="009418ED"/>
    <w:rsid w:val="00945758"/>
    <w:rsid w:val="00955779"/>
    <w:rsid w:val="00955BB7"/>
    <w:rsid w:val="00970697"/>
    <w:rsid w:val="00972FB7"/>
    <w:rsid w:val="0097328B"/>
    <w:rsid w:val="00984723"/>
    <w:rsid w:val="00994890"/>
    <w:rsid w:val="009A38A3"/>
    <w:rsid w:val="009A7539"/>
    <w:rsid w:val="009B1F70"/>
    <w:rsid w:val="009B3611"/>
    <w:rsid w:val="009B6FC7"/>
    <w:rsid w:val="009B7D27"/>
    <w:rsid w:val="009E397A"/>
    <w:rsid w:val="009F36B7"/>
    <w:rsid w:val="009F6CE1"/>
    <w:rsid w:val="00A050F3"/>
    <w:rsid w:val="00A16D4B"/>
    <w:rsid w:val="00A17444"/>
    <w:rsid w:val="00A2027E"/>
    <w:rsid w:val="00A34FD1"/>
    <w:rsid w:val="00A5190C"/>
    <w:rsid w:val="00A56D20"/>
    <w:rsid w:val="00A6532A"/>
    <w:rsid w:val="00A73C99"/>
    <w:rsid w:val="00A73FA9"/>
    <w:rsid w:val="00A77063"/>
    <w:rsid w:val="00A90708"/>
    <w:rsid w:val="00A92042"/>
    <w:rsid w:val="00A930DB"/>
    <w:rsid w:val="00A94612"/>
    <w:rsid w:val="00AC24B4"/>
    <w:rsid w:val="00AC50B3"/>
    <w:rsid w:val="00AF09E6"/>
    <w:rsid w:val="00AF101D"/>
    <w:rsid w:val="00B04127"/>
    <w:rsid w:val="00B042C9"/>
    <w:rsid w:val="00B13E13"/>
    <w:rsid w:val="00B165A8"/>
    <w:rsid w:val="00B262BE"/>
    <w:rsid w:val="00B4401C"/>
    <w:rsid w:val="00B440AF"/>
    <w:rsid w:val="00B449BD"/>
    <w:rsid w:val="00B45CC3"/>
    <w:rsid w:val="00B65E21"/>
    <w:rsid w:val="00B7329C"/>
    <w:rsid w:val="00B75132"/>
    <w:rsid w:val="00B83297"/>
    <w:rsid w:val="00B845EF"/>
    <w:rsid w:val="00B879D9"/>
    <w:rsid w:val="00B915E9"/>
    <w:rsid w:val="00B958A6"/>
    <w:rsid w:val="00BA60C9"/>
    <w:rsid w:val="00BB1AB5"/>
    <w:rsid w:val="00BD0940"/>
    <w:rsid w:val="00BF3AB5"/>
    <w:rsid w:val="00C00079"/>
    <w:rsid w:val="00C00275"/>
    <w:rsid w:val="00C105E2"/>
    <w:rsid w:val="00C22C85"/>
    <w:rsid w:val="00C33823"/>
    <w:rsid w:val="00C36339"/>
    <w:rsid w:val="00C40896"/>
    <w:rsid w:val="00C62E69"/>
    <w:rsid w:val="00C665B8"/>
    <w:rsid w:val="00C76C91"/>
    <w:rsid w:val="00C803F1"/>
    <w:rsid w:val="00C81C3E"/>
    <w:rsid w:val="00C83AE2"/>
    <w:rsid w:val="00C840ED"/>
    <w:rsid w:val="00C84B61"/>
    <w:rsid w:val="00C93D0A"/>
    <w:rsid w:val="00C9586A"/>
    <w:rsid w:val="00CA11DA"/>
    <w:rsid w:val="00CA6673"/>
    <w:rsid w:val="00CA7F96"/>
    <w:rsid w:val="00CB20E7"/>
    <w:rsid w:val="00CB3A65"/>
    <w:rsid w:val="00CC10D2"/>
    <w:rsid w:val="00CC3D5A"/>
    <w:rsid w:val="00CC5A62"/>
    <w:rsid w:val="00CE3174"/>
    <w:rsid w:val="00CE6B8A"/>
    <w:rsid w:val="00D00744"/>
    <w:rsid w:val="00D03F50"/>
    <w:rsid w:val="00D12F2D"/>
    <w:rsid w:val="00D14A81"/>
    <w:rsid w:val="00D15C28"/>
    <w:rsid w:val="00D2007C"/>
    <w:rsid w:val="00D2791E"/>
    <w:rsid w:val="00D32898"/>
    <w:rsid w:val="00D346F6"/>
    <w:rsid w:val="00D35652"/>
    <w:rsid w:val="00D479C0"/>
    <w:rsid w:val="00D50861"/>
    <w:rsid w:val="00D51188"/>
    <w:rsid w:val="00D628FA"/>
    <w:rsid w:val="00D6531F"/>
    <w:rsid w:val="00D71BDF"/>
    <w:rsid w:val="00D71DBB"/>
    <w:rsid w:val="00D823CD"/>
    <w:rsid w:val="00D83ABD"/>
    <w:rsid w:val="00D96168"/>
    <w:rsid w:val="00DA4170"/>
    <w:rsid w:val="00DB3EAA"/>
    <w:rsid w:val="00DB41A7"/>
    <w:rsid w:val="00DB48F0"/>
    <w:rsid w:val="00DB75CD"/>
    <w:rsid w:val="00DD03AE"/>
    <w:rsid w:val="00DD0A59"/>
    <w:rsid w:val="00DD4E3D"/>
    <w:rsid w:val="00DF483B"/>
    <w:rsid w:val="00E10EC6"/>
    <w:rsid w:val="00E25259"/>
    <w:rsid w:val="00E462A6"/>
    <w:rsid w:val="00E524E0"/>
    <w:rsid w:val="00E5522F"/>
    <w:rsid w:val="00E61942"/>
    <w:rsid w:val="00E71923"/>
    <w:rsid w:val="00E719EB"/>
    <w:rsid w:val="00E91CAA"/>
    <w:rsid w:val="00E972D2"/>
    <w:rsid w:val="00EA0F4B"/>
    <w:rsid w:val="00EA4E5B"/>
    <w:rsid w:val="00EB5093"/>
    <w:rsid w:val="00EB7718"/>
    <w:rsid w:val="00EC3738"/>
    <w:rsid w:val="00ED00A7"/>
    <w:rsid w:val="00EE3BF2"/>
    <w:rsid w:val="00EF12BF"/>
    <w:rsid w:val="00EF2B12"/>
    <w:rsid w:val="00EF2F21"/>
    <w:rsid w:val="00F07AEF"/>
    <w:rsid w:val="00F159BE"/>
    <w:rsid w:val="00F16988"/>
    <w:rsid w:val="00F21984"/>
    <w:rsid w:val="00F2644C"/>
    <w:rsid w:val="00F27F52"/>
    <w:rsid w:val="00F32263"/>
    <w:rsid w:val="00F37A1B"/>
    <w:rsid w:val="00F508F8"/>
    <w:rsid w:val="00F50956"/>
    <w:rsid w:val="00F56266"/>
    <w:rsid w:val="00F66A49"/>
    <w:rsid w:val="00F72F82"/>
    <w:rsid w:val="00FA538F"/>
    <w:rsid w:val="00FA74E6"/>
    <w:rsid w:val="00FB04A6"/>
    <w:rsid w:val="00FC6A4A"/>
    <w:rsid w:val="00FC7440"/>
    <w:rsid w:val="00FD22EF"/>
    <w:rsid w:val="00FD5116"/>
    <w:rsid w:val="00FE4C51"/>
    <w:rsid w:val="00FE5AF8"/>
    <w:rsid w:val="00FF3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F449D-7091-4770-B591-8952C5EE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859"/>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E7859"/>
    <w:rPr>
      <w:sz w:val="20"/>
      <w:szCs w:val="20"/>
    </w:rPr>
  </w:style>
  <w:style w:type="character" w:styleId="FootnoteReference">
    <w:name w:val="footnote reference"/>
    <w:basedOn w:val="DefaultParagraphFont"/>
    <w:uiPriority w:val="99"/>
    <w:semiHidden/>
    <w:unhideWhenUsed/>
    <w:rsid w:val="000E7859"/>
    <w:rPr>
      <w:vertAlign w:val="superscript"/>
    </w:rPr>
  </w:style>
  <w:style w:type="paragraph" w:styleId="ListParagraph">
    <w:name w:val="List Paragraph"/>
    <w:basedOn w:val="Normal"/>
    <w:uiPriority w:val="34"/>
    <w:qFormat/>
    <w:rsid w:val="00B958A6"/>
    <w:pPr>
      <w:spacing w:after="200" w:line="276" w:lineRule="auto"/>
      <w:ind w:left="720"/>
      <w:contextualSpacing/>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D2007C"/>
    <w:rPr>
      <w:color w:val="808080"/>
    </w:rPr>
  </w:style>
  <w:style w:type="paragraph" w:styleId="BalloonText">
    <w:name w:val="Balloon Text"/>
    <w:basedOn w:val="Normal"/>
    <w:link w:val="BalloonTextChar"/>
    <w:uiPriority w:val="99"/>
    <w:semiHidden/>
    <w:unhideWhenUsed/>
    <w:rsid w:val="00D2007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2007C"/>
    <w:rPr>
      <w:rFonts w:ascii="Tahoma" w:hAnsi="Tahoma" w:cs="Tahoma"/>
      <w:sz w:val="16"/>
      <w:szCs w:val="16"/>
    </w:rPr>
  </w:style>
  <w:style w:type="paragraph" w:styleId="Header">
    <w:name w:val="header"/>
    <w:basedOn w:val="Normal"/>
    <w:link w:val="HeaderChar"/>
    <w:uiPriority w:val="99"/>
    <w:semiHidden/>
    <w:unhideWhenUsed/>
    <w:rsid w:val="00FA538F"/>
    <w:pPr>
      <w:tabs>
        <w:tab w:val="center" w:pos="4844"/>
        <w:tab w:val="right" w:pos="9689"/>
      </w:tabs>
    </w:pPr>
  </w:style>
  <w:style w:type="character" w:customStyle="1" w:styleId="HeaderChar">
    <w:name w:val="Header Char"/>
    <w:basedOn w:val="DefaultParagraphFont"/>
    <w:link w:val="Header"/>
    <w:uiPriority w:val="99"/>
    <w:semiHidden/>
    <w:rsid w:val="00FA538F"/>
  </w:style>
  <w:style w:type="paragraph" w:styleId="Footer">
    <w:name w:val="footer"/>
    <w:basedOn w:val="Normal"/>
    <w:link w:val="FooterChar"/>
    <w:uiPriority w:val="99"/>
    <w:unhideWhenUsed/>
    <w:rsid w:val="00FA538F"/>
    <w:pPr>
      <w:tabs>
        <w:tab w:val="center" w:pos="4844"/>
        <w:tab w:val="right" w:pos="9689"/>
      </w:tabs>
    </w:pPr>
  </w:style>
  <w:style w:type="character" w:customStyle="1" w:styleId="FooterChar">
    <w:name w:val="Footer Char"/>
    <w:basedOn w:val="DefaultParagraphFont"/>
    <w:link w:val="Footer"/>
    <w:uiPriority w:val="99"/>
    <w:rsid w:val="00FA538F"/>
  </w:style>
  <w:style w:type="table" w:styleId="TableGrid">
    <w:name w:val="Table Grid"/>
    <w:basedOn w:val="TableNormal"/>
    <w:uiPriority w:val="59"/>
    <w:rsid w:val="00E2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65A8"/>
  </w:style>
  <w:style w:type="character" w:styleId="Hyperlink">
    <w:name w:val="Hyperlink"/>
    <w:basedOn w:val="DefaultParagraphFont"/>
    <w:uiPriority w:val="99"/>
    <w:unhideWhenUsed/>
    <w:rsid w:val="009F6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3279">
      <w:bodyDiv w:val="1"/>
      <w:marLeft w:val="0"/>
      <w:marRight w:val="0"/>
      <w:marTop w:val="0"/>
      <w:marBottom w:val="0"/>
      <w:divBdr>
        <w:top w:val="none" w:sz="0" w:space="0" w:color="auto"/>
        <w:left w:val="none" w:sz="0" w:space="0" w:color="auto"/>
        <w:bottom w:val="none" w:sz="0" w:space="0" w:color="auto"/>
        <w:right w:val="none" w:sz="0" w:space="0" w:color="auto"/>
      </w:divBdr>
    </w:div>
    <w:div w:id="285549769">
      <w:bodyDiv w:val="1"/>
      <w:marLeft w:val="0"/>
      <w:marRight w:val="0"/>
      <w:marTop w:val="0"/>
      <w:marBottom w:val="0"/>
      <w:divBdr>
        <w:top w:val="none" w:sz="0" w:space="0" w:color="auto"/>
        <w:left w:val="none" w:sz="0" w:space="0" w:color="auto"/>
        <w:bottom w:val="none" w:sz="0" w:space="0" w:color="auto"/>
        <w:right w:val="none" w:sz="0" w:space="0" w:color="auto"/>
      </w:divBdr>
    </w:div>
    <w:div w:id="294724468">
      <w:bodyDiv w:val="1"/>
      <w:marLeft w:val="0"/>
      <w:marRight w:val="0"/>
      <w:marTop w:val="0"/>
      <w:marBottom w:val="0"/>
      <w:divBdr>
        <w:top w:val="none" w:sz="0" w:space="0" w:color="auto"/>
        <w:left w:val="none" w:sz="0" w:space="0" w:color="auto"/>
        <w:bottom w:val="none" w:sz="0" w:space="0" w:color="auto"/>
        <w:right w:val="none" w:sz="0" w:space="0" w:color="auto"/>
      </w:divBdr>
    </w:div>
    <w:div w:id="338191560">
      <w:bodyDiv w:val="1"/>
      <w:marLeft w:val="0"/>
      <w:marRight w:val="0"/>
      <w:marTop w:val="0"/>
      <w:marBottom w:val="0"/>
      <w:divBdr>
        <w:top w:val="none" w:sz="0" w:space="0" w:color="auto"/>
        <w:left w:val="none" w:sz="0" w:space="0" w:color="auto"/>
        <w:bottom w:val="none" w:sz="0" w:space="0" w:color="auto"/>
        <w:right w:val="none" w:sz="0" w:space="0" w:color="auto"/>
      </w:divBdr>
    </w:div>
    <w:div w:id="380978155">
      <w:bodyDiv w:val="1"/>
      <w:marLeft w:val="0"/>
      <w:marRight w:val="0"/>
      <w:marTop w:val="0"/>
      <w:marBottom w:val="0"/>
      <w:divBdr>
        <w:top w:val="none" w:sz="0" w:space="0" w:color="auto"/>
        <w:left w:val="none" w:sz="0" w:space="0" w:color="auto"/>
        <w:bottom w:val="none" w:sz="0" w:space="0" w:color="auto"/>
        <w:right w:val="none" w:sz="0" w:space="0" w:color="auto"/>
      </w:divBdr>
    </w:div>
    <w:div w:id="542056368">
      <w:bodyDiv w:val="1"/>
      <w:marLeft w:val="0"/>
      <w:marRight w:val="0"/>
      <w:marTop w:val="0"/>
      <w:marBottom w:val="0"/>
      <w:divBdr>
        <w:top w:val="none" w:sz="0" w:space="0" w:color="auto"/>
        <w:left w:val="none" w:sz="0" w:space="0" w:color="auto"/>
        <w:bottom w:val="none" w:sz="0" w:space="0" w:color="auto"/>
        <w:right w:val="none" w:sz="0" w:space="0" w:color="auto"/>
      </w:divBdr>
    </w:div>
    <w:div w:id="720784475">
      <w:bodyDiv w:val="1"/>
      <w:marLeft w:val="0"/>
      <w:marRight w:val="0"/>
      <w:marTop w:val="0"/>
      <w:marBottom w:val="0"/>
      <w:divBdr>
        <w:top w:val="none" w:sz="0" w:space="0" w:color="auto"/>
        <w:left w:val="none" w:sz="0" w:space="0" w:color="auto"/>
        <w:bottom w:val="none" w:sz="0" w:space="0" w:color="auto"/>
        <w:right w:val="none" w:sz="0" w:space="0" w:color="auto"/>
      </w:divBdr>
    </w:div>
    <w:div w:id="920026888">
      <w:bodyDiv w:val="1"/>
      <w:marLeft w:val="0"/>
      <w:marRight w:val="0"/>
      <w:marTop w:val="0"/>
      <w:marBottom w:val="0"/>
      <w:divBdr>
        <w:top w:val="none" w:sz="0" w:space="0" w:color="auto"/>
        <w:left w:val="none" w:sz="0" w:space="0" w:color="auto"/>
        <w:bottom w:val="none" w:sz="0" w:space="0" w:color="auto"/>
        <w:right w:val="none" w:sz="0" w:space="0" w:color="auto"/>
      </w:divBdr>
    </w:div>
    <w:div w:id="1033462369">
      <w:bodyDiv w:val="1"/>
      <w:marLeft w:val="0"/>
      <w:marRight w:val="0"/>
      <w:marTop w:val="0"/>
      <w:marBottom w:val="0"/>
      <w:divBdr>
        <w:top w:val="none" w:sz="0" w:space="0" w:color="auto"/>
        <w:left w:val="none" w:sz="0" w:space="0" w:color="auto"/>
        <w:bottom w:val="none" w:sz="0" w:space="0" w:color="auto"/>
        <w:right w:val="none" w:sz="0" w:space="0" w:color="auto"/>
      </w:divBdr>
    </w:div>
    <w:div w:id="1072775965">
      <w:bodyDiv w:val="1"/>
      <w:marLeft w:val="0"/>
      <w:marRight w:val="0"/>
      <w:marTop w:val="0"/>
      <w:marBottom w:val="0"/>
      <w:divBdr>
        <w:top w:val="none" w:sz="0" w:space="0" w:color="auto"/>
        <w:left w:val="none" w:sz="0" w:space="0" w:color="auto"/>
        <w:bottom w:val="none" w:sz="0" w:space="0" w:color="auto"/>
        <w:right w:val="none" w:sz="0" w:space="0" w:color="auto"/>
      </w:divBdr>
      <w:divsChild>
        <w:div w:id="393968125">
          <w:marLeft w:val="0"/>
          <w:marRight w:val="47"/>
          <w:marTop w:val="0"/>
          <w:marBottom w:val="0"/>
          <w:divBdr>
            <w:top w:val="none" w:sz="0" w:space="0" w:color="auto"/>
            <w:left w:val="none" w:sz="0" w:space="0" w:color="auto"/>
            <w:bottom w:val="none" w:sz="0" w:space="0" w:color="auto"/>
            <w:right w:val="none" w:sz="0" w:space="0" w:color="auto"/>
          </w:divBdr>
        </w:div>
        <w:div w:id="255675075">
          <w:marLeft w:val="0"/>
          <w:marRight w:val="0"/>
          <w:marTop w:val="0"/>
          <w:marBottom w:val="0"/>
          <w:divBdr>
            <w:top w:val="none" w:sz="0" w:space="0" w:color="auto"/>
            <w:left w:val="none" w:sz="0" w:space="0" w:color="auto"/>
            <w:bottom w:val="none" w:sz="0" w:space="0" w:color="auto"/>
            <w:right w:val="none" w:sz="0" w:space="0" w:color="auto"/>
          </w:divBdr>
        </w:div>
      </w:divsChild>
    </w:div>
    <w:div w:id="1149205852">
      <w:bodyDiv w:val="1"/>
      <w:marLeft w:val="0"/>
      <w:marRight w:val="0"/>
      <w:marTop w:val="0"/>
      <w:marBottom w:val="0"/>
      <w:divBdr>
        <w:top w:val="none" w:sz="0" w:space="0" w:color="auto"/>
        <w:left w:val="none" w:sz="0" w:space="0" w:color="auto"/>
        <w:bottom w:val="none" w:sz="0" w:space="0" w:color="auto"/>
        <w:right w:val="none" w:sz="0" w:space="0" w:color="auto"/>
      </w:divBdr>
    </w:div>
    <w:div w:id="1486971723">
      <w:bodyDiv w:val="1"/>
      <w:marLeft w:val="0"/>
      <w:marRight w:val="0"/>
      <w:marTop w:val="0"/>
      <w:marBottom w:val="0"/>
      <w:divBdr>
        <w:top w:val="none" w:sz="0" w:space="0" w:color="auto"/>
        <w:left w:val="none" w:sz="0" w:space="0" w:color="auto"/>
        <w:bottom w:val="none" w:sz="0" w:space="0" w:color="auto"/>
        <w:right w:val="none" w:sz="0" w:space="0" w:color="auto"/>
      </w:divBdr>
    </w:div>
    <w:div w:id="1628970209">
      <w:bodyDiv w:val="1"/>
      <w:marLeft w:val="0"/>
      <w:marRight w:val="0"/>
      <w:marTop w:val="0"/>
      <w:marBottom w:val="0"/>
      <w:divBdr>
        <w:top w:val="none" w:sz="0" w:space="0" w:color="auto"/>
        <w:left w:val="none" w:sz="0" w:space="0" w:color="auto"/>
        <w:bottom w:val="none" w:sz="0" w:space="0" w:color="auto"/>
        <w:right w:val="none" w:sz="0" w:space="0" w:color="auto"/>
      </w:divBdr>
    </w:div>
    <w:div w:id="1728600493">
      <w:bodyDiv w:val="1"/>
      <w:marLeft w:val="0"/>
      <w:marRight w:val="0"/>
      <w:marTop w:val="0"/>
      <w:marBottom w:val="0"/>
      <w:divBdr>
        <w:top w:val="none" w:sz="0" w:space="0" w:color="auto"/>
        <w:left w:val="none" w:sz="0" w:space="0" w:color="auto"/>
        <w:bottom w:val="none" w:sz="0" w:space="0" w:color="auto"/>
        <w:right w:val="none" w:sz="0" w:space="0" w:color="auto"/>
      </w:divBdr>
    </w:div>
    <w:div w:id="1771461698">
      <w:bodyDiv w:val="1"/>
      <w:marLeft w:val="0"/>
      <w:marRight w:val="0"/>
      <w:marTop w:val="0"/>
      <w:marBottom w:val="0"/>
      <w:divBdr>
        <w:top w:val="none" w:sz="0" w:space="0" w:color="auto"/>
        <w:left w:val="none" w:sz="0" w:space="0" w:color="auto"/>
        <w:bottom w:val="none" w:sz="0" w:space="0" w:color="auto"/>
        <w:right w:val="none" w:sz="0" w:space="0" w:color="auto"/>
      </w:divBdr>
    </w:div>
    <w:div w:id="1876775875">
      <w:bodyDiv w:val="1"/>
      <w:marLeft w:val="0"/>
      <w:marRight w:val="0"/>
      <w:marTop w:val="0"/>
      <w:marBottom w:val="0"/>
      <w:divBdr>
        <w:top w:val="none" w:sz="0" w:space="0" w:color="auto"/>
        <w:left w:val="none" w:sz="0" w:space="0" w:color="auto"/>
        <w:bottom w:val="none" w:sz="0" w:space="0" w:color="auto"/>
        <w:right w:val="none" w:sz="0" w:space="0" w:color="auto"/>
      </w:divBdr>
    </w:div>
    <w:div w:id="1914125970">
      <w:bodyDiv w:val="1"/>
      <w:marLeft w:val="0"/>
      <w:marRight w:val="0"/>
      <w:marTop w:val="0"/>
      <w:marBottom w:val="0"/>
      <w:divBdr>
        <w:top w:val="none" w:sz="0" w:space="0" w:color="auto"/>
        <w:left w:val="none" w:sz="0" w:space="0" w:color="auto"/>
        <w:bottom w:val="none" w:sz="0" w:space="0" w:color="auto"/>
        <w:right w:val="none" w:sz="0" w:space="0" w:color="auto"/>
      </w:divBdr>
    </w:div>
    <w:div w:id="20770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4D44-3462-4440-886F-DEFC72E2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8853</Words>
  <Characters>50467</Characters>
  <Application>Microsoft Office Word</Application>
  <DocSecurity>0</DocSecurity>
  <Lines>420</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Rush</dc:creator>
  <cp:keywords/>
  <dc:description/>
  <cp:lastModifiedBy>Jacqueline Pennisi</cp:lastModifiedBy>
  <cp:revision>2</cp:revision>
  <cp:lastPrinted>2017-08-11T21:32:00Z</cp:lastPrinted>
  <dcterms:created xsi:type="dcterms:W3CDTF">2020-11-02T14:40:00Z</dcterms:created>
  <dcterms:modified xsi:type="dcterms:W3CDTF">2020-11-02T14:40:00Z</dcterms:modified>
</cp:coreProperties>
</file>